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Surgeons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Veterinary Surgeons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_Toc473294503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_Toc473294504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_Toc473294506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_Toc473294507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_Toc473294508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_Toc473294509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_Toc473294510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_Toc473294511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_Toc473294512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_Toc473294513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_Toc473294514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_Toc473294515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_Toc473294517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_Toc473294518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_Toc473294519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_Toc473294520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_Toc473294521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_Toc473294522 \h </w:instrText>
      </w:r>
      <w:r>
        <w:fldChar w:fldCharType="separate"/>
      </w:r>
      <w:r>
        <w:t>12</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_Toc473294523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_Toc473294524 \h </w:instrText>
      </w:r>
      <w:r>
        <w:fldChar w:fldCharType="separate"/>
      </w:r>
      <w:r>
        <w:t>13</w:t>
      </w:r>
      <w:r>
        <w:fldChar w:fldCharType="end"/>
      </w:r>
    </w:p>
    <w:p>
      <w:pPr>
        <w:pStyle w:val="TOC8"/>
        <w:rPr>
          <w:rFonts w:asciiTheme="minorHAnsi" w:eastAsiaTheme="minorEastAsia" w:hAnsiTheme="minorHAnsi" w:cstheme="minorBidi"/>
          <w:szCs w:val="22"/>
        </w:rPr>
      </w:pPr>
      <w:r>
        <w:t>20.</w:t>
      </w:r>
      <w:r>
        <w:tab/>
      </w:r>
      <w:r>
        <w:rPr>
          <w:snapToGrid w:val="0"/>
        </w:rPr>
        <w:t>Registration of additional qualifications (Act s. 21(3))</w:t>
      </w:r>
      <w:r>
        <w:tab/>
      </w:r>
      <w:r>
        <w:fldChar w:fldCharType="begin"/>
      </w:r>
      <w:r>
        <w:instrText xml:space="preserve"> PAGEREF _Toc473294525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_Toc473294526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_Toc473294527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_Toc473294528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_Toc473294530 \h </w:instrText>
      </w:r>
      <w:r>
        <w:fldChar w:fldCharType="separate"/>
      </w:r>
      <w:r>
        <w:t>16</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_Toc473294531 \h </w:instrText>
      </w:r>
      <w:r>
        <w:fldChar w:fldCharType="separate"/>
      </w:r>
      <w:r>
        <w:t>17</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_Toc473294532 \h </w:instrText>
      </w:r>
      <w:r>
        <w:fldChar w:fldCharType="separate"/>
      </w:r>
      <w:r>
        <w:t>18</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_Toc473294533 \h </w:instrText>
      </w:r>
      <w:r>
        <w:fldChar w:fldCharType="separate"/>
      </w:r>
      <w:r>
        <w:t>19</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_Toc473294534 \h </w:instrText>
      </w:r>
      <w:r>
        <w:fldChar w:fldCharType="separate"/>
      </w:r>
      <w:r>
        <w:t>20</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_Toc473294535 \h </w:instrText>
      </w:r>
      <w:r>
        <w:fldChar w:fldCharType="separate"/>
      </w:r>
      <w:r>
        <w:t>21</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_Toc473294536 \h </w:instrText>
      </w:r>
      <w:r>
        <w:fldChar w:fldCharType="separate"/>
      </w:r>
      <w:r>
        <w:t>22</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_Toc473294537 \h </w:instrText>
      </w:r>
      <w:r>
        <w:fldChar w:fldCharType="separate"/>
      </w:r>
      <w:r>
        <w:t>22</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_Toc473294538 \h </w:instrText>
      </w:r>
      <w:r>
        <w:fldChar w:fldCharType="separate"/>
      </w:r>
      <w:r>
        <w:t>23</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_Toc473294539 \h </w:instrText>
      </w:r>
      <w:r>
        <w:fldChar w:fldCharType="separate"/>
      </w:r>
      <w:r>
        <w:t>23</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_Toc473294540 \h </w:instrText>
      </w:r>
      <w:r>
        <w:fldChar w:fldCharType="separate"/>
      </w:r>
      <w:r>
        <w:t>24</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_Toc473294541 \h </w:instrText>
      </w:r>
      <w:r>
        <w:fldChar w:fldCharType="separate"/>
      </w:r>
      <w:r>
        <w:t>24</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_Toc473294542 \h </w:instrText>
      </w:r>
      <w:r>
        <w:fldChar w:fldCharType="separate"/>
      </w:r>
      <w:r>
        <w:t>24</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_Toc473294543 \h </w:instrText>
      </w:r>
      <w:r>
        <w:fldChar w:fldCharType="separate"/>
      </w:r>
      <w:r>
        <w:t>25</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_Toc473294544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_Toc473294546 \h </w:instrText>
      </w:r>
      <w:r>
        <w:fldChar w:fldCharType="separate"/>
      </w:r>
      <w:r>
        <w:t>26</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_Toc473294547 \h </w:instrText>
      </w:r>
      <w:r>
        <w:fldChar w:fldCharType="separate"/>
      </w:r>
      <w:r>
        <w:t>26</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_Toc473294548 \h </w:instrText>
      </w:r>
      <w:r>
        <w:fldChar w:fldCharType="separate"/>
      </w:r>
      <w:r>
        <w:t>26</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_Toc473294549 \h </w:instrText>
      </w:r>
      <w:r>
        <w:fldChar w:fldCharType="separate"/>
      </w:r>
      <w:r>
        <w:t>26</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_Toc473294550 \h </w:instrText>
      </w:r>
      <w:r>
        <w:fldChar w:fldCharType="separate"/>
      </w:r>
      <w:r>
        <w:t>27</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_Toc473294551 \h </w:instrText>
      </w:r>
      <w:r>
        <w:fldChar w:fldCharType="separate"/>
      </w:r>
      <w:r>
        <w:t>27</w:t>
      </w:r>
      <w:r>
        <w:fldChar w:fldCharType="end"/>
      </w:r>
    </w:p>
    <w:p>
      <w:pPr>
        <w:pStyle w:val="TOC8"/>
        <w:rPr>
          <w:rFonts w:asciiTheme="minorHAnsi" w:eastAsiaTheme="minorEastAsia" w:hAnsiTheme="minorHAnsi" w:cstheme="minorBidi"/>
          <w:szCs w:val="22"/>
        </w:rPr>
      </w:pPr>
      <w:r>
        <w:t>41.</w:t>
      </w:r>
      <w:r>
        <w:tab/>
        <w:t>Requirements for veterinary hospitals</w:t>
      </w:r>
      <w:r>
        <w:tab/>
      </w:r>
      <w:r>
        <w:fldChar w:fldCharType="begin"/>
      </w:r>
      <w:r>
        <w:instrText xml:space="preserve"> PAGEREF _Toc473294552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_Toc473294553 \h </w:instrText>
      </w:r>
      <w:r>
        <w:fldChar w:fldCharType="separate"/>
      </w:r>
      <w:r>
        <w:t>28</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_Toc473294554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_Toc473294556 \h </w:instrText>
      </w:r>
      <w:r>
        <w:fldChar w:fldCharType="separate"/>
      </w:r>
      <w:r>
        <w:t>29</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_Toc473294557 \h </w:instrText>
      </w:r>
      <w:r>
        <w:fldChar w:fldCharType="separate"/>
      </w:r>
      <w:r>
        <w:t>29</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_Toc473294558 \h </w:instrText>
      </w:r>
      <w:r>
        <w:fldChar w:fldCharType="separate"/>
      </w:r>
      <w:r>
        <w:t>30</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_Toc473294559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_Toc473294561 \h </w:instrText>
      </w:r>
      <w:r>
        <w:fldChar w:fldCharType="separate"/>
      </w:r>
      <w:r>
        <w:t>34</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_Toc473294562 \h </w:instrText>
      </w:r>
      <w:r>
        <w:fldChar w:fldCharType="separate"/>
      </w:r>
      <w:r>
        <w:t>34</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_Toc473294563 \h </w:instrText>
      </w:r>
      <w:r>
        <w:fldChar w:fldCharType="separate"/>
      </w:r>
      <w:r>
        <w:t>35</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_Toc473294564 \h </w:instrText>
      </w:r>
      <w:r>
        <w:fldChar w:fldCharType="separate"/>
      </w:r>
      <w:r>
        <w:t>36</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_Toc473294565 \h </w:instrText>
      </w:r>
      <w:r>
        <w:fldChar w:fldCharType="separate"/>
      </w:r>
      <w:r>
        <w:t>37</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_Toc473294566 \h </w:instrText>
      </w:r>
      <w:r>
        <w:fldChar w:fldCharType="separate"/>
      </w:r>
      <w:r>
        <w:t>37</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_Toc473294567 \h </w:instrText>
      </w:r>
      <w:r>
        <w:fldChar w:fldCharType="separate"/>
      </w:r>
      <w:r>
        <w:t>37</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_Toc473294568 \h </w:instrText>
      </w:r>
      <w:r>
        <w:fldChar w:fldCharType="separate"/>
      </w:r>
      <w:r>
        <w:t>37</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_Toc473294569 \h </w:instrText>
      </w:r>
      <w:r>
        <w:fldChar w:fldCharType="separate"/>
      </w:r>
      <w:r>
        <w:t>38</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_Toc473294570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_Toc473294572 \h </w:instrText>
      </w:r>
      <w:r>
        <w:fldChar w:fldCharType="separate"/>
      </w:r>
      <w:r>
        <w:t>39</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_Toc473294573 \h </w:instrText>
      </w:r>
      <w:r>
        <w:fldChar w:fldCharType="separate"/>
      </w:r>
      <w:r>
        <w:t>39</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_Toc473294574 \h </w:instrText>
      </w:r>
      <w:r>
        <w:fldChar w:fldCharType="separate"/>
      </w:r>
      <w:r>
        <w:t>39</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_Toc473294575 \h </w:instrText>
      </w:r>
      <w:r>
        <w:fldChar w:fldCharType="separate"/>
      </w:r>
      <w:r>
        <w:t>39</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_Toc473294576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_Toc473294578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_Toc473294580 \h </w:instrText>
      </w:r>
      <w:r>
        <w:fldChar w:fldCharType="separate"/>
      </w:r>
      <w:r>
        <w:t>44</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_Toc473294581 \h </w:instrText>
      </w:r>
      <w:r>
        <w:fldChar w:fldCharType="separate"/>
      </w:r>
      <w:r>
        <w:t>45</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_Toc473294582 \h </w:instrText>
      </w:r>
      <w:r>
        <w:fldChar w:fldCharType="separate"/>
      </w:r>
      <w:r>
        <w:t>46</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_Toc473294583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2 — Specialists</w:t>
      </w:r>
    </w:p>
    <w:p>
      <w:pPr>
        <w:pStyle w:val="TOC2"/>
        <w:tabs>
          <w:tab w:val="right" w:leader="dot" w:pos="7077"/>
        </w:tabs>
        <w:rPr>
          <w:rFonts w:asciiTheme="minorHAnsi" w:eastAsiaTheme="minorEastAsia" w:hAnsiTheme="minorHAnsi" w:cstheme="minorBidi"/>
          <w:b w:val="0"/>
          <w:sz w:val="22"/>
          <w:szCs w:val="22"/>
        </w:rPr>
      </w:pPr>
      <w:r>
        <w:t>Schedule 3 — Equivalent specialty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_Toc473294587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3" w:name="_Toc391560646"/>
      <w:bookmarkStart w:id="4" w:name="_Toc421009655"/>
      <w:bookmarkStart w:id="5" w:name="_Toc421009741"/>
      <w:bookmarkStart w:id="6" w:name="_Toc421021798"/>
      <w:bookmarkStart w:id="7" w:name="_Toc438125018"/>
      <w:bookmarkStart w:id="8" w:name="_Toc473279493"/>
      <w:bookmarkStart w:id="9" w:name="_Toc473294502"/>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bookmarkEnd w:id="9"/>
    </w:p>
    <w:p>
      <w:pPr>
        <w:pStyle w:val="Footnoteheading"/>
      </w:pPr>
      <w:r>
        <w:tab/>
        <w:t>[Heading inserted in Gazette 20 Mar 2007 p. 1007.]</w:t>
      </w:r>
    </w:p>
    <w:p>
      <w:pPr>
        <w:pStyle w:val="Heading5"/>
        <w:rPr>
          <w:snapToGrid w:val="0"/>
        </w:rPr>
      </w:pPr>
      <w:bookmarkStart w:id="10" w:name="_Toc391560647"/>
      <w:bookmarkStart w:id="11" w:name="_Toc473294503"/>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12" w:name="_Toc391560648"/>
      <w:bookmarkStart w:id="13" w:name="_Toc473294504"/>
      <w:r>
        <w:rPr>
          <w:rStyle w:val="CharSectno"/>
        </w:rPr>
        <w:t>2</w:t>
      </w:r>
      <w:r>
        <w:t>.</w:t>
      </w:r>
      <w:r>
        <w:tab/>
        <w:t>Terms used</w:t>
      </w:r>
      <w:bookmarkEnd w:id="12"/>
      <w:bookmarkEnd w:id="13"/>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 </w:t>
      </w:r>
    </w:p>
    <w:p>
      <w:pPr>
        <w:pStyle w:val="Defpara"/>
      </w:pPr>
      <w:r>
        <w:tab/>
        <w:t>(a)</w:t>
      </w:r>
      <w:r>
        <w:tab/>
        <w:t>issue a prescription for the scheduled drug; or</w:t>
      </w:r>
    </w:p>
    <w:p>
      <w:pPr>
        <w:pStyle w:val="Defpara"/>
      </w:pPr>
      <w:r>
        <w:tab/>
        <w:t>(b)</w:t>
      </w:r>
      <w:r>
        <w:tab/>
        <w:t xml:space="preserve">give a written order under the </w:t>
      </w:r>
      <w:r>
        <w:rPr>
          <w:i/>
        </w:rPr>
        <w:t xml:space="preserve">Medicines and Poisons Regulations 2016 </w:t>
      </w:r>
      <w:r>
        <w:t>to the holder of a stockfeed manufacture permit to supply a stockfeed mix containing an antibiotic or sulphonamide;</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scheduled drug</w:t>
      </w:r>
      <w:r>
        <w:t xml:space="preserve"> means a Schedule 4 poison or a Schedule 8 poison as those terms are defined in the </w:t>
      </w:r>
      <w:r>
        <w:rPr>
          <w:i/>
        </w:rPr>
        <w:t>Medicines and Poisons Act 2014</w:t>
      </w:r>
      <w:r>
        <w:t xml:space="preserve"> section 3;</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 17 Jan 2017 p. 406.]</w:t>
      </w:r>
    </w:p>
    <w:p>
      <w:pPr>
        <w:pStyle w:val="Heading2"/>
      </w:pPr>
      <w:bookmarkStart w:id="14" w:name="_Toc391560649"/>
      <w:bookmarkStart w:id="15" w:name="_Toc421009658"/>
      <w:bookmarkStart w:id="16" w:name="_Toc421009744"/>
      <w:bookmarkStart w:id="17" w:name="_Toc421021801"/>
      <w:bookmarkStart w:id="18" w:name="_Toc438125021"/>
      <w:bookmarkStart w:id="19" w:name="_Toc473279496"/>
      <w:bookmarkStart w:id="20" w:name="_Toc473294505"/>
      <w:r>
        <w:rPr>
          <w:rStyle w:val="CharPartNo"/>
        </w:rPr>
        <w:t>Part 2</w:t>
      </w:r>
      <w:r>
        <w:t xml:space="preserve"> — </w:t>
      </w:r>
      <w:r>
        <w:rPr>
          <w:rStyle w:val="CharPartText"/>
        </w:rPr>
        <w:t>The Veterinary Surgeons’ Board</w:t>
      </w:r>
      <w:bookmarkEnd w:id="14"/>
      <w:bookmarkEnd w:id="15"/>
      <w:bookmarkEnd w:id="16"/>
      <w:bookmarkEnd w:id="17"/>
      <w:bookmarkEnd w:id="18"/>
      <w:bookmarkEnd w:id="19"/>
      <w:bookmarkEnd w:id="20"/>
    </w:p>
    <w:p>
      <w:pPr>
        <w:pStyle w:val="Footnoteheading"/>
      </w:pPr>
      <w:r>
        <w:tab/>
        <w:t>[Heading inserted in Gazette 20 Mar 2007 p. 1007.]</w:t>
      </w:r>
    </w:p>
    <w:p>
      <w:pPr>
        <w:pStyle w:val="Heading5"/>
        <w:spacing w:before="240"/>
        <w:rPr>
          <w:snapToGrid w:val="0"/>
        </w:rPr>
      </w:pPr>
      <w:bookmarkStart w:id="21" w:name="_Toc391560650"/>
      <w:bookmarkStart w:id="22" w:name="_Toc473294506"/>
      <w:r>
        <w:rPr>
          <w:rStyle w:val="CharSectno"/>
        </w:rPr>
        <w:t>3</w:t>
      </w:r>
      <w:r>
        <w:t>.</w:t>
      </w:r>
      <w:r>
        <w:tab/>
      </w:r>
      <w:r>
        <w:rPr>
          <w:snapToGrid w:val="0"/>
        </w:rPr>
        <w:t>Common Seal</w:t>
      </w:r>
      <w:bookmarkEnd w:id="21"/>
      <w:bookmarkEnd w:id="22"/>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23" w:name="_Toc391560651"/>
      <w:bookmarkStart w:id="24" w:name="_Toc473294507"/>
      <w:r>
        <w:rPr>
          <w:rStyle w:val="CharSectno"/>
        </w:rPr>
        <w:t>4</w:t>
      </w:r>
      <w:r>
        <w:t>.</w:t>
      </w:r>
      <w:r>
        <w:tab/>
      </w:r>
      <w:r>
        <w:rPr>
          <w:snapToGrid w:val="0"/>
        </w:rPr>
        <w:t>Election of elected members (Act s. 5(1)(b))</w:t>
      </w:r>
      <w:bookmarkEnd w:id="23"/>
      <w:bookmarkEnd w:id="24"/>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25" w:name="_Toc391560652"/>
      <w:bookmarkStart w:id="26" w:name="_Toc473294508"/>
      <w:r>
        <w:rPr>
          <w:rStyle w:val="CharSectno"/>
        </w:rPr>
        <w:t>5</w:t>
      </w:r>
      <w:r>
        <w:t>.</w:t>
      </w:r>
      <w:r>
        <w:tab/>
        <w:t>Dates for election and close of nominations</w:t>
      </w:r>
      <w:bookmarkEnd w:id="25"/>
      <w:bookmarkEnd w:id="26"/>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27" w:name="_Toc391560653"/>
      <w:bookmarkStart w:id="28" w:name="_Toc473294509"/>
      <w:r>
        <w:rPr>
          <w:rStyle w:val="CharSectno"/>
        </w:rPr>
        <w:t>6</w:t>
      </w:r>
      <w:r>
        <w:t>.</w:t>
      </w:r>
      <w:r>
        <w:tab/>
        <w:t>Conduct of elections</w:t>
      </w:r>
      <w:bookmarkEnd w:id="27"/>
      <w:bookmarkEnd w:id="28"/>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29" w:name="_Toc391560654"/>
      <w:bookmarkStart w:id="30" w:name="_Toc473294510"/>
      <w:r>
        <w:rPr>
          <w:rStyle w:val="CharSectno"/>
        </w:rPr>
        <w:t>7</w:t>
      </w:r>
      <w:r>
        <w:t>.</w:t>
      </w:r>
      <w:r>
        <w:tab/>
      </w:r>
      <w:r>
        <w:rPr>
          <w:snapToGrid w:val="0"/>
        </w:rPr>
        <w:t>Nominated member</w:t>
      </w:r>
      <w:bookmarkEnd w:id="29"/>
      <w:bookmarkEnd w:id="30"/>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31" w:name="_Toc391560655"/>
      <w:bookmarkStart w:id="32" w:name="_Toc473294511"/>
      <w:r>
        <w:rPr>
          <w:rStyle w:val="CharSectno"/>
        </w:rPr>
        <w:t>8</w:t>
      </w:r>
      <w:r>
        <w:t>.</w:t>
      </w:r>
      <w:r>
        <w:tab/>
        <w:t>Remuneration and travelling expenses (Act s. 9)</w:t>
      </w:r>
      <w:bookmarkEnd w:id="31"/>
      <w:bookmarkEnd w:id="32"/>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33" w:name="_Toc391560656"/>
      <w:bookmarkStart w:id="34" w:name="_Toc473294512"/>
      <w:r>
        <w:rPr>
          <w:rStyle w:val="CharSectno"/>
        </w:rPr>
        <w:t>9</w:t>
      </w:r>
      <w:r>
        <w:t>.</w:t>
      </w:r>
      <w:r>
        <w:tab/>
      </w:r>
      <w:r>
        <w:rPr>
          <w:snapToGrid w:val="0"/>
        </w:rPr>
        <w:t>Meetings</w:t>
      </w:r>
      <w:bookmarkEnd w:id="33"/>
      <w:bookmarkEnd w:id="34"/>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35" w:name="_Toc391560657"/>
      <w:bookmarkStart w:id="36" w:name="_Toc473294513"/>
      <w:r>
        <w:rPr>
          <w:rStyle w:val="CharSectno"/>
        </w:rPr>
        <w:t>10</w:t>
      </w:r>
      <w:r>
        <w:t>.</w:t>
      </w:r>
      <w:r>
        <w:tab/>
        <w:t>Revocation etc. of previous decisions</w:t>
      </w:r>
      <w:bookmarkEnd w:id="35"/>
      <w:bookmarkEnd w:id="36"/>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37" w:name="_Toc391560658"/>
      <w:bookmarkStart w:id="38" w:name="_Toc473294514"/>
      <w:r>
        <w:rPr>
          <w:rStyle w:val="CharSectno"/>
        </w:rPr>
        <w:t>11</w:t>
      </w:r>
      <w:r>
        <w:t>.</w:t>
      </w:r>
      <w:r>
        <w:tab/>
        <w:t>Voting</w:t>
      </w:r>
      <w:bookmarkEnd w:id="37"/>
      <w:bookmarkEnd w:id="38"/>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39" w:name="_Toc391560659"/>
      <w:bookmarkStart w:id="40" w:name="_Toc473294515"/>
      <w:r>
        <w:rPr>
          <w:rStyle w:val="CharSectno"/>
        </w:rPr>
        <w:t>12</w:t>
      </w:r>
      <w:r>
        <w:t>.</w:t>
      </w:r>
      <w:r>
        <w:tab/>
        <w:t>Minutes</w:t>
      </w:r>
      <w:bookmarkEnd w:id="39"/>
      <w:bookmarkEnd w:id="40"/>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41" w:name="_Toc391560660"/>
      <w:bookmarkStart w:id="42" w:name="_Toc421009669"/>
      <w:bookmarkStart w:id="43" w:name="_Toc421009755"/>
      <w:bookmarkStart w:id="44" w:name="_Toc421021812"/>
      <w:bookmarkStart w:id="45" w:name="_Toc438125032"/>
      <w:bookmarkStart w:id="46" w:name="_Toc473279507"/>
      <w:bookmarkStart w:id="47" w:name="_Toc473294516"/>
      <w:r>
        <w:rPr>
          <w:rStyle w:val="CharPartNo"/>
        </w:rPr>
        <w:t>Part 3</w:t>
      </w:r>
      <w:r>
        <w:t xml:space="preserve"> — </w:t>
      </w:r>
      <w:r>
        <w:rPr>
          <w:rStyle w:val="CharPartText"/>
        </w:rPr>
        <w:t>The Register and registration</w:t>
      </w:r>
      <w:bookmarkEnd w:id="41"/>
      <w:bookmarkEnd w:id="42"/>
      <w:bookmarkEnd w:id="43"/>
      <w:bookmarkEnd w:id="44"/>
      <w:bookmarkEnd w:id="45"/>
      <w:bookmarkEnd w:id="46"/>
      <w:bookmarkEnd w:id="47"/>
    </w:p>
    <w:p>
      <w:pPr>
        <w:pStyle w:val="Footnoteheading"/>
      </w:pPr>
      <w:r>
        <w:tab/>
        <w:t>[Heading inserted in Gazette 20 Mar 2007 p. 1008.]</w:t>
      </w:r>
    </w:p>
    <w:p>
      <w:pPr>
        <w:pStyle w:val="Heading5"/>
      </w:pPr>
      <w:bookmarkStart w:id="48" w:name="_Toc391560661"/>
      <w:bookmarkStart w:id="49" w:name="_Toc473294517"/>
      <w:r>
        <w:rPr>
          <w:rStyle w:val="CharSectno"/>
        </w:rPr>
        <w:t>13</w:t>
      </w:r>
      <w:r>
        <w:t>.</w:t>
      </w:r>
      <w:r>
        <w:tab/>
        <w:t>Form of Register (Act s. 17(3)(c))</w:t>
      </w:r>
      <w:bookmarkEnd w:id="48"/>
      <w:bookmarkEnd w:id="49"/>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50" w:name="_Toc391560662"/>
      <w:bookmarkStart w:id="51" w:name="_Toc473294518"/>
      <w:r>
        <w:rPr>
          <w:rStyle w:val="CharSectno"/>
        </w:rPr>
        <w:t>14</w:t>
      </w:r>
      <w:r>
        <w:t>.</w:t>
      </w:r>
      <w:r>
        <w:tab/>
        <w:t>Inspection of Register</w:t>
      </w:r>
      <w:bookmarkEnd w:id="50"/>
      <w:bookmarkEnd w:id="51"/>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52" w:name="_Toc391560663"/>
      <w:bookmarkStart w:id="53" w:name="_Toc473294519"/>
      <w:r>
        <w:rPr>
          <w:rStyle w:val="CharSectno"/>
        </w:rPr>
        <w:t>15</w:t>
      </w:r>
      <w:r>
        <w:t>.</w:t>
      </w:r>
      <w:r>
        <w:tab/>
      </w:r>
      <w:r>
        <w:rPr>
          <w:snapToGrid w:val="0"/>
        </w:rPr>
        <w:t>Registration of veterinary surgeons</w:t>
      </w:r>
      <w:bookmarkEnd w:id="52"/>
      <w:bookmarkEnd w:id="53"/>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54" w:name="_Toc391560664"/>
      <w:bookmarkStart w:id="55" w:name="_Toc473294520"/>
      <w:r>
        <w:rPr>
          <w:rStyle w:val="CharSectno"/>
        </w:rPr>
        <w:t>16</w:t>
      </w:r>
      <w:r>
        <w:t>.</w:t>
      </w:r>
      <w:r>
        <w:tab/>
        <w:t>Applicant to attend before Board</w:t>
      </w:r>
      <w:bookmarkEnd w:id="54"/>
      <w:bookmarkEnd w:id="55"/>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56" w:name="_Toc391560665"/>
      <w:bookmarkStart w:id="57" w:name="_Toc473294521"/>
      <w:r>
        <w:rPr>
          <w:rStyle w:val="CharSectno"/>
        </w:rPr>
        <w:t>16A</w:t>
      </w:r>
      <w:r>
        <w:t>.</w:t>
      </w:r>
      <w:r>
        <w:tab/>
        <w:t>Specialists (Act s. 20AB(1))</w:t>
      </w:r>
      <w:bookmarkEnd w:id="56"/>
      <w:bookmarkEnd w:id="57"/>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58" w:name="_Toc391560666"/>
      <w:bookmarkStart w:id="59" w:name="_Toc473294522"/>
      <w:r>
        <w:rPr>
          <w:rStyle w:val="CharSectno"/>
        </w:rPr>
        <w:t>16B</w:t>
      </w:r>
      <w:r>
        <w:t>.</w:t>
      </w:r>
      <w:r>
        <w:tab/>
        <w:t>Application for registration as specialist</w:t>
      </w:r>
      <w:bookmarkEnd w:id="58"/>
      <w:bookmarkEnd w:id="59"/>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60" w:name="_Toc391560667"/>
      <w:bookmarkStart w:id="61" w:name="_Toc473294523"/>
      <w:r>
        <w:rPr>
          <w:rStyle w:val="CharSectno"/>
        </w:rPr>
        <w:t>16C</w:t>
      </w:r>
      <w:r>
        <w:t>.</w:t>
      </w:r>
      <w:r>
        <w:tab/>
        <w:t>Registration as honorary veterinary surgeon</w:t>
      </w:r>
      <w:bookmarkEnd w:id="60"/>
      <w:bookmarkEnd w:id="61"/>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62" w:name="_Toc391560668"/>
      <w:bookmarkStart w:id="63" w:name="_Toc473294524"/>
      <w:r>
        <w:rPr>
          <w:rStyle w:val="CharSectno"/>
        </w:rPr>
        <w:t>19</w:t>
      </w:r>
      <w:r>
        <w:t>.</w:t>
      </w:r>
      <w:r>
        <w:tab/>
      </w:r>
      <w:r>
        <w:rPr>
          <w:snapToGrid w:val="0"/>
        </w:rPr>
        <w:t>Roll fee (Act s. 18)</w:t>
      </w:r>
      <w:bookmarkEnd w:id="62"/>
      <w:bookmarkEnd w:id="63"/>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64" w:name="_Toc391560669"/>
      <w:bookmarkStart w:id="65" w:name="_Toc473294525"/>
      <w:r>
        <w:rPr>
          <w:rStyle w:val="CharSectno"/>
        </w:rPr>
        <w:t>20</w:t>
      </w:r>
      <w:r>
        <w:t>.</w:t>
      </w:r>
      <w:r>
        <w:tab/>
      </w:r>
      <w:r>
        <w:rPr>
          <w:snapToGrid w:val="0"/>
        </w:rPr>
        <w:t>Registration of additional qualifications (Act s. 21(3))</w:t>
      </w:r>
      <w:bookmarkEnd w:id="64"/>
      <w:bookmarkEnd w:id="65"/>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66" w:name="_Toc391560670"/>
      <w:bookmarkStart w:id="67" w:name="_Toc473294526"/>
      <w:r>
        <w:rPr>
          <w:rStyle w:val="CharSectno"/>
        </w:rPr>
        <w:t>21A</w:t>
      </w:r>
      <w:r>
        <w:t>.</w:t>
      </w:r>
      <w:r>
        <w:tab/>
        <w:t>Degrees (Act s. 20(1)(a))</w:t>
      </w:r>
      <w:bookmarkEnd w:id="66"/>
      <w:bookmarkEnd w:id="67"/>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68" w:name="_Toc391560671"/>
      <w:bookmarkStart w:id="69" w:name="_Toc473294527"/>
      <w:r>
        <w:rPr>
          <w:rStyle w:val="CharSectno"/>
        </w:rPr>
        <w:t>21</w:t>
      </w:r>
      <w:r>
        <w:t>.</w:t>
      </w:r>
      <w:r>
        <w:tab/>
        <w:t>Examinations (Act s. 20(1)(e)(iii))</w:t>
      </w:r>
      <w:bookmarkEnd w:id="68"/>
      <w:bookmarkEnd w:id="69"/>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70" w:name="_Toc391560672"/>
      <w:bookmarkStart w:id="71" w:name="_Toc473294528"/>
      <w:r>
        <w:rPr>
          <w:rStyle w:val="CharSectno"/>
        </w:rPr>
        <w:t>22</w:t>
      </w:r>
      <w:r>
        <w:t>.</w:t>
      </w:r>
      <w:r>
        <w:tab/>
        <w:t>Restoration of name to Register (Act s. 24(4))</w:t>
      </w:r>
      <w:bookmarkEnd w:id="70"/>
      <w:bookmarkEnd w:id="71"/>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72" w:name="_Toc391560673"/>
      <w:bookmarkStart w:id="73" w:name="_Toc421009682"/>
      <w:bookmarkStart w:id="74" w:name="_Toc421009768"/>
      <w:bookmarkStart w:id="75" w:name="_Toc421021825"/>
      <w:bookmarkStart w:id="76" w:name="_Toc438125045"/>
      <w:bookmarkStart w:id="77" w:name="_Toc473279520"/>
      <w:bookmarkStart w:id="78" w:name="_Toc473294529"/>
      <w:r>
        <w:rPr>
          <w:rStyle w:val="CharPartNo"/>
        </w:rPr>
        <w:t>Part 4</w:t>
      </w:r>
      <w:r>
        <w:t xml:space="preserve"> — </w:t>
      </w:r>
      <w:r>
        <w:rPr>
          <w:rStyle w:val="CharPartText"/>
        </w:rPr>
        <w:t>Professional conduct and operation of veterinary practices</w:t>
      </w:r>
      <w:bookmarkEnd w:id="72"/>
      <w:bookmarkEnd w:id="73"/>
      <w:bookmarkEnd w:id="74"/>
      <w:bookmarkEnd w:id="75"/>
      <w:bookmarkEnd w:id="76"/>
      <w:bookmarkEnd w:id="77"/>
      <w:bookmarkEnd w:id="78"/>
    </w:p>
    <w:p>
      <w:pPr>
        <w:pStyle w:val="Footnoteheading"/>
      </w:pPr>
      <w:r>
        <w:tab/>
        <w:t>[Heading inserted in Gazette 20 Mar 2007 p. 1008.]</w:t>
      </w:r>
    </w:p>
    <w:p>
      <w:pPr>
        <w:pStyle w:val="Heading5"/>
      </w:pPr>
      <w:bookmarkStart w:id="79" w:name="_Toc391560674"/>
      <w:bookmarkStart w:id="80" w:name="_Toc473294530"/>
      <w:r>
        <w:rPr>
          <w:rStyle w:val="CharSectno"/>
        </w:rPr>
        <w:t>28</w:t>
      </w:r>
      <w:r>
        <w:t>.</w:t>
      </w:r>
      <w:r>
        <w:tab/>
        <w:t>Unprofessional conduct (Act s. 23(4))</w:t>
      </w:r>
      <w:bookmarkEnd w:id="79"/>
      <w:bookmarkEnd w:id="80"/>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Medicines and Poisons Act 2014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 17 Jan 2017 p. 406.]</w:t>
      </w:r>
    </w:p>
    <w:p>
      <w:pPr>
        <w:pStyle w:val="Ednotesection"/>
      </w:pPr>
      <w:r>
        <w:t>[</w:t>
      </w:r>
      <w:r>
        <w:rPr>
          <w:b/>
        </w:rPr>
        <w:t>28A, 28B.</w:t>
      </w:r>
      <w:r>
        <w:tab/>
        <w:t>Deleted in Gazette 20 Mar 2007 p. 1014.]</w:t>
      </w:r>
    </w:p>
    <w:p>
      <w:pPr>
        <w:pStyle w:val="Heading5"/>
      </w:pPr>
      <w:bookmarkStart w:id="81" w:name="_Toc391560675"/>
      <w:bookmarkStart w:id="82" w:name="_Toc473294531"/>
      <w:r>
        <w:rPr>
          <w:rStyle w:val="CharSectno"/>
        </w:rPr>
        <w:t>29</w:t>
      </w:r>
      <w:r>
        <w:t>.</w:t>
      </w:r>
      <w:r>
        <w:tab/>
        <w:t>Prescribing scheduled drugs</w:t>
      </w:r>
      <w:bookmarkEnd w:id="81"/>
      <w:bookmarkEnd w:id="82"/>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83" w:name="_Toc391560676"/>
      <w:bookmarkStart w:id="84" w:name="_Toc473294532"/>
      <w:r>
        <w:rPr>
          <w:rStyle w:val="CharSectno"/>
        </w:rPr>
        <w:t>29A</w:t>
      </w:r>
      <w:r>
        <w:t>.</w:t>
      </w:r>
      <w:r>
        <w:tab/>
        <w:t>Prescription of scheduled drugs for animals on certain properties in pastoral region</w:t>
      </w:r>
      <w:bookmarkEnd w:id="83"/>
      <w:bookmarkEnd w:id="84"/>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85" w:name="_Toc391560677"/>
      <w:bookmarkStart w:id="86" w:name="_Toc473294533"/>
      <w:r>
        <w:rPr>
          <w:rStyle w:val="CharSectno"/>
        </w:rPr>
        <w:t>29B</w:t>
      </w:r>
      <w:r>
        <w:t>.</w:t>
      </w:r>
      <w:r>
        <w:tab/>
        <w:t>Supply of scheduled drugs prescribed under r. 29A</w:t>
      </w:r>
      <w:bookmarkEnd w:id="85"/>
      <w:bookmarkEnd w:id="86"/>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87" w:name="_Toc391560678"/>
      <w:bookmarkStart w:id="88" w:name="_Toc473294534"/>
      <w:r>
        <w:rPr>
          <w:rStyle w:val="CharSectno"/>
        </w:rPr>
        <w:t>29C</w:t>
      </w:r>
      <w:r>
        <w:t>.</w:t>
      </w:r>
      <w:r>
        <w:tab/>
        <w:t>Directions to administer scheduled drugs prescribed under r. 29A</w:t>
      </w:r>
      <w:bookmarkEnd w:id="87"/>
      <w:bookmarkEnd w:id="88"/>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89" w:name="_Toc391560679"/>
      <w:bookmarkStart w:id="90" w:name="_Toc473294535"/>
      <w:r>
        <w:rPr>
          <w:rStyle w:val="CharSectno"/>
        </w:rPr>
        <w:t>30</w:t>
      </w:r>
      <w:r>
        <w:t>.</w:t>
      </w:r>
      <w:r>
        <w:tab/>
        <w:t>Clinical record of supply or prescription of scheduled drug</w:t>
      </w:r>
      <w:bookmarkEnd w:id="89"/>
      <w:bookmarkEnd w:id="90"/>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91" w:name="_Toc391560680"/>
      <w:bookmarkStart w:id="92" w:name="_Toc473294536"/>
      <w:r>
        <w:rPr>
          <w:rStyle w:val="CharSectno"/>
        </w:rPr>
        <w:t>30A</w:t>
      </w:r>
      <w:r>
        <w:t>.</w:t>
      </w:r>
      <w:r>
        <w:tab/>
        <w:t>Copies of certain documents to be provided to the Board on request</w:t>
      </w:r>
      <w:bookmarkEnd w:id="91"/>
      <w:bookmarkEnd w:id="92"/>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93" w:name="_Toc391560681"/>
      <w:bookmarkStart w:id="94" w:name="_Toc473294537"/>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93"/>
      <w:bookmarkEnd w:id="94"/>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95" w:name="_Toc391560682"/>
      <w:bookmarkStart w:id="96" w:name="_Toc473294538"/>
      <w:r>
        <w:rPr>
          <w:rStyle w:val="CharSectno"/>
        </w:rPr>
        <w:t>32</w:t>
      </w:r>
      <w:r>
        <w:t>.</w:t>
      </w:r>
      <w:r>
        <w:tab/>
        <w:t>Dealings with unregistered persons</w:t>
      </w:r>
      <w:bookmarkEnd w:id="95"/>
      <w:bookmarkEnd w:id="96"/>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97" w:name="_Toc391560683"/>
      <w:bookmarkStart w:id="98" w:name="_Toc473294539"/>
      <w:r>
        <w:rPr>
          <w:rStyle w:val="CharSectno"/>
        </w:rPr>
        <w:t>33</w:t>
      </w:r>
      <w:r>
        <w:t>.</w:t>
      </w:r>
      <w:r>
        <w:tab/>
        <w:t>Attendance at place of practice</w:t>
      </w:r>
      <w:bookmarkEnd w:id="97"/>
      <w:bookmarkEnd w:id="98"/>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99" w:name="_Toc391560684"/>
      <w:bookmarkStart w:id="100" w:name="_Toc473294540"/>
      <w:r>
        <w:rPr>
          <w:rStyle w:val="CharSectno"/>
        </w:rPr>
        <w:t>33A</w:t>
      </w:r>
      <w:r>
        <w:t>.</w:t>
      </w:r>
      <w:r>
        <w:tab/>
        <w:t>Advertising</w:t>
      </w:r>
      <w:bookmarkEnd w:id="99"/>
      <w:bookmarkEnd w:id="100"/>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01" w:name="_Toc391560685"/>
      <w:bookmarkStart w:id="102" w:name="_Toc473294541"/>
      <w:r>
        <w:rPr>
          <w:rStyle w:val="CharSectno"/>
        </w:rPr>
        <w:t>33B</w:t>
      </w:r>
      <w:r>
        <w:t>.</w:t>
      </w:r>
      <w:r>
        <w:tab/>
        <w:t>Locums</w:t>
      </w:r>
      <w:bookmarkEnd w:id="101"/>
      <w:bookmarkEnd w:id="102"/>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03" w:name="_Toc391560686"/>
      <w:bookmarkStart w:id="104" w:name="_Toc473294542"/>
      <w:r>
        <w:rPr>
          <w:rStyle w:val="CharSectno"/>
        </w:rPr>
        <w:t>33C</w:t>
      </w:r>
      <w:r>
        <w:t>.</w:t>
      </w:r>
      <w:r>
        <w:tab/>
        <w:t>Supervisor to ensure competence of persons under supervision</w:t>
      </w:r>
      <w:bookmarkEnd w:id="103"/>
      <w:bookmarkEnd w:id="104"/>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105" w:name="_Toc391560687"/>
      <w:bookmarkStart w:id="106" w:name="_Toc473294543"/>
      <w:r>
        <w:rPr>
          <w:rStyle w:val="CharSectno"/>
        </w:rPr>
        <w:t>33D</w:t>
      </w:r>
      <w:r>
        <w:t>.</w:t>
      </w:r>
      <w:r>
        <w:tab/>
        <w:t>False or inaccurate certificates</w:t>
      </w:r>
      <w:bookmarkEnd w:id="105"/>
      <w:bookmarkEnd w:id="106"/>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07" w:name="_Toc391560688"/>
      <w:bookmarkStart w:id="108" w:name="_Toc473294544"/>
      <w:r>
        <w:rPr>
          <w:rStyle w:val="CharSectno"/>
        </w:rPr>
        <w:t>33E</w:t>
      </w:r>
      <w:r>
        <w:t>.</w:t>
      </w:r>
      <w:r>
        <w:tab/>
        <w:t>Name of practice (Act s. 26A(4))</w:t>
      </w:r>
      <w:bookmarkEnd w:id="107"/>
      <w:bookmarkEnd w:id="108"/>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09" w:name="_Toc391560689"/>
      <w:bookmarkStart w:id="110" w:name="_Toc421009698"/>
      <w:bookmarkStart w:id="111" w:name="_Toc421009784"/>
      <w:bookmarkStart w:id="112" w:name="_Toc421021841"/>
      <w:bookmarkStart w:id="113" w:name="_Toc438125061"/>
      <w:bookmarkStart w:id="114" w:name="_Toc473279536"/>
      <w:bookmarkStart w:id="115" w:name="_Toc473294545"/>
      <w:r>
        <w:rPr>
          <w:rStyle w:val="CharPartNo"/>
        </w:rPr>
        <w:t>Part 5</w:t>
      </w:r>
      <w:r>
        <w:t xml:space="preserve"> — </w:t>
      </w:r>
      <w:r>
        <w:rPr>
          <w:rStyle w:val="CharPartText"/>
        </w:rPr>
        <w:t>Veterinary clinics and veterinary hospitals</w:t>
      </w:r>
      <w:bookmarkEnd w:id="109"/>
      <w:bookmarkEnd w:id="110"/>
      <w:bookmarkEnd w:id="111"/>
      <w:bookmarkEnd w:id="112"/>
      <w:bookmarkEnd w:id="113"/>
      <w:bookmarkEnd w:id="114"/>
      <w:bookmarkEnd w:id="115"/>
    </w:p>
    <w:p>
      <w:pPr>
        <w:pStyle w:val="Footnoteheading"/>
      </w:pPr>
      <w:r>
        <w:tab/>
        <w:t>[Heading inserted in Gazette 20 Mar 2007 p. 1008.]</w:t>
      </w:r>
    </w:p>
    <w:p>
      <w:pPr>
        <w:pStyle w:val="Heading5"/>
        <w:rPr>
          <w:snapToGrid w:val="0"/>
        </w:rPr>
      </w:pPr>
      <w:bookmarkStart w:id="116" w:name="_Toc391560690"/>
      <w:bookmarkStart w:id="117" w:name="_Toc473294546"/>
      <w:r>
        <w:rPr>
          <w:rStyle w:val="CharSectno"/>
        </w:rPr>
        <w:t>34</w:t>
      </w:r>
      <w:r>
        <w:t>.</w:t>
      </w:r>
      <w:r>
        <w:tab/>
      </w:r>
      <w:r>
        <w:rPr>
          <w:snapToGrid w:val="0"/>
        </w:rPr>
        <w:t>Veterinary premises</w:t>
      </w:r>
      <w:bookmarkEnd w:id="116"/>
      <w:bookmarkEnd w:id="11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18" w:name="_Toc391560691"/>
      <w:bookmarkStart w:id="119" w:name="_Toc473294547"/>
      <w:r>
        <w:rPr>
          <w:rStyle w:val="CharSectno"/>
        </w:rPr>
        <w:t>35</w:t>
      </w:r>
      <w:r>
        <w:t>.</w:t>
      </w:r>
      <w:r>
        <w:tab/>
        <w:t>Consideration of applications</w:t>
      </w:r>
      <w:bookmarkEnd w:id="118"/>
      <w:bookmarkEnd w:id="119"/>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20" w:name="_Toc391560692"/>
      <w:bookmarkStart w:id="121" w:name="_Toc473294548"/>
      <w:r>
        <w:rPr>
          <w:rStyle w:val="CharSectno"/>
        </w:rPr>
        <w:t>36</w:t>
      </w:r>
      <w:r>
        <w:t>.</w:t>
      </w:r>
      <w:r>
        <w:tab/>
        <w:t>Unsuitable premises not to be registered</w:t>
      </w:r>
      <w:bookmarkEnd w:id="120"/>
      <w:bookmarkEnd w:id="121"/>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22" w:name="_Toc391560693"/>
      <w:bookmarkStart w:id="123" w:name="_Toc473294549"/>
      <w:r>
        <w:rPr>
          <w:rStyle w:val="CharSectno"/>
        </w:rPr>
        <w:t>37</w:t>
      </w:r>
      <w:r>
        <w:t>.</w:t>
      </w:r>
      <w:r>
        <w:tab/>
        <w:t>Renewal of registration of veterinary clinic or hospital</w:t>
      </w:r>
      <w:bookmarkEnd w:id="122"/>
      <w:bookmarkEnd w:id="123"/>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24" w:name="_Toc391560694"/>
      <w:bookmarkStart w:id="125" w:name="_Toc473294550"/>
      <w:r>
        <w:rPr>
          <w:rStyle w:val="CharSectno"/>
        </w:rPr>
        <w:t>38</w:t>
      </w:r>
      <w:r>
        <w:t>.</w:t>
      </w:r>
      <w:r>
        <w:tab/>
        <w:t>Transfer of management of veterinary clinic or hospital</w:t>
      </w:r>
      <w:bookmarkEnd w:id="124"/>
      <w:bookmarkEnd w:id="125"/>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26" w:name="_Toc391560695"/>
      <w:bookmarkStart w:id="127" w:name="_Toc473294551"/>
      <w:r>
        <w:rPr>
          <w:rStyle w:val="CharSectno"/>
        </w:rPr>
        <w:t>40</w:t>
      </w:r>
      <w:r>
        <w:t>.</w:t>
      </w:r>
      <w:r>
        <w:tab/>
        <w:t>Register of veterinary premises</w:t>
      </w:r>
      <w:bookmarkEnd w:id="126"/>
      <w:bookmarkEnd w:id="127"/>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28" w:name="_Toc391560696"/>
      <w:bookmarkStart w:id="129" w:name="_Toc473294552"/>
      <w:r>
        <w:rPr>
          <w:rStyle w:val="CharSectno"/>
        </w:rPr>
        <w:t>41</w:t>
      </w:r>
      <w:r>
        <w:t>.</w:t>
      </w:r>
      <w:r>
        <w:tab/>
        <w:t>Requirements for veterinary hospitals</w:t>
      </w:r>
      <w:bookmarkEnd w:id="128"/>
      <w:bookmarkEnd w:id="129"/>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30" w:name="_Toc391560697"/>
      <w:bookmarkStart w:id="131" w:name="_Toc473294553"/>
      <w:r>
        <w:rPr>
          <w:rStyle w:val="CharSectno"/>
        </w:rPr>
        <w:t>42</w:t>
      </w:r>
      <w:r>
        <w:t>.</w:t>
      </w:r>
      <w:r>
        <w:tab/>
        <w:t>Requirements for veterinary clinics</w:t>
      </w:r>
      <w:bookmarkEnd w:id="130"/>
      <w:bookmarkEnd w:id="131"/>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32" w:name="_Toc391560698"/>
      <w:bookmarkStart w:id="133" w:name="_Toc473294554"/>
      <w:r>
        <w:rPr>
          <w:rStyle w:val="CharSectno"/>
        </w:rPr>
        <w:t>43</w:t>
      </w:r>
      <w:r>
        <w:t>.</w:t>
      </w:r>
      <w:r>
        <w:tab/>
        <w:t>Supervision of veterinary services in veterinary clinic or hospital</w:t>
      </w:r>
      <w:bookmarkEnd w:id="132"/>
      <w:bookmarkEnd w:id="133"/>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34" w:name="_Toc391560699"/>
      <w:bookmarkStart w:id="135" w:name="_Toc421009708"/>
      <w:bookmarkStart w:id="136" w:name="_Toc421009794"/>
      <w:bookmarkStart w:id="137" w:name="_Toc421021851"/>
      <w:bookmarkStart w:id="138" w:name="_Toc438125071"/>
      <w:bookmarkStart w:id="139" w:name="_Toc473279546"/>
      <w:bookmarkStart w:id="140" w:name="_Toc473294555"/>
      <w:r>
        <w:rPr>
          <w:rStyle w:val="CharPartNo"/>
        </w:rPr>
        <w:t>Part 6</w:t>
      </w:r>
      <w:r>
        <w:t xml:space="preserve"> — </w:t>
      </w:r>
      <w:r>
        <w:rPr>
          <w:rStyle w:val="CharPartText"/>
        </w:rPr>
        <w:t>Practising veterinary surgery</w:t>
      </w:r>
      <w:bookmarkEnd w:id="134"/>
      <w:bookmarkEnd w:id="135"/>
      <w:bookmarkEnd w:id="136"/>
      <w:bookmarkEnd w:id="137"/>
      <w:bookmarkEnd w:id="138"/>
      <w:bookmarkEnd w:id="139"/>
      <w:bookmarkEnd w:id="140"/>
    </w:p>
    <w:p>
      <w:pPr>
        <w:pStyle w:val="Footnoteheading"/>
      </w:pPr>
      <w:r>
        <w:tab/>
        <w:t>[Heading inserted in Gazette 20 Mar 2007 p. 1008.]</w:t>
      </w:r>
    </w:p>
    <w:p>
      <w:pPr>
        <w:pStyle w:val="Heading5"/>
        <w:spacing w:before="260"/>
      </w:pPr>
      <w:bookmarkStart w:id="141" w:name="_Toc391560700"/>
      <w:bookmarkStart w:id="142" w:name="_Toc473294556"/>
      <w:r>
        <w:rPr>
          <w:rStyle w:val="CharSectno"/>
        </w:rPr>
        <w:t>44</w:t>
      </w:r>
      <w:r>
        <w:t>.</w:t>
      </w:r>
      <w:r>
        <w:tab/>
        <w:t>Prescribed area (Act s. 26(3)(c))</w:t>
      </w:r>
      <w:bookmarkEnd w:id="141"/>
      <w:bookmarkEnd w:id="142"/>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143" w:name="_Toc391560701"/>
      <w:bookmarkStart w:id="144" w:name="_Toc473294557"/>
      <w:r>
        <w:rPr>
          <w:rStyle w:val="CharSectno"/>
        </w:rPr>
        <w:t>45</w:t>
      </w:r>
      <w:r>
        <w:t>.</w:t>
      </w:r>
      <w:r>
        <w:tab/>
        <w:t>Veterinary services that may be performed by any person (Act s. 26(3)(e))</w:t>
      </w:r>
      <w:bookmarkEnd w:id="143"/>
      <w:bookmarkEnd w:id="144"/>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145" w:name="_Toc391560702"/>
      <w:bookmarkStart w:id="146" w:name="_Toc473294558"/>
      <w:r>
        <w:rPr>
          <w:rStyle w:val="CharSectno"/>
        </w:rPr>
        <w:t>46</w:t>
      </w:r>
      <w:r>
        <w:t>.</w:t>
      </w:r>
      <w:r>
        <w:tab/>
        <w:t>Veterinary services that may be performed by veterinary students (Act s. 26(4)(a))</w:t>
      </w:r>
      <w:bookmarkEnd w:id="145"/>
      <w:bookmarkEnd w:id="146"/>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47" w:name="_Toc391560703"/>
      <w:bookmarkStart w:id="148" w:name="_Toc473294559"/>
      <w:r>
        <w:rPr>
          <w:rStyle w:val="CharSectno"/>
        </w:rPr>
        <w:t>47</w:t>
      </w:r>
      <w:r>
        <w:t>.</w:t>
      </w:r>
      <w:r>
        <w:tab/>
        <w:t>Veterinary services that may be performed by authorised persons (Act s. 26(4)(b))</w:t>
      </w:r>
      <w:bookmarkEnd w:id="147"/>
      <w:bookmarkEnd w:id="148"/>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 12 Jan 2016 p. 43.]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149" w:name="_Toc391560704"/>
      <w:bookmarkStart w:id="150" w:name="_Toc421009713"/>
      <w:bookmarkStart w:id="151" w:name="_Toc421009799"/>
      <w:bookmarkStart w:id="152" w:name="_Toc421021856"/>
      <w:bookmarkStart w:id="153" w:name="_Toc438125076"/>
      <w:bookmarkStart w:id="154" w:name="_Toc473279551"/>
      <w:bookmarkStart w:id="155" w:name="_Toc473294560"/>
      <w:r>
        <w:rPr>
          <w:rStyle w:val="CharPartNo"/>
        </w:rPr>
        <w:t>Part 7</w:t>
      </w:r>
      <w:r>
        <w:t xml:space="preserve"> — </w:t>
      </w:r>
      <w:r>
        <w:rPr>
          <w:rStyle w:val="CharPartText"/>
        </w:rPr>
        <w:t>Veterinary nurses</w:t>
      </w:r>
      <w:bookmarkEnd w:id="149"/>
      <w:bookmarkEnd w:id="150"/>
      <w:bookmarkEnd w:id="151"/>
      <w:bookmarkEnd w:id="152"/>
      <w:bookmarkEnd w:id="153"/>
      <w:bookmarkEnd w:id="154"/>
      <w:bookmarkEnd w:id="155"/>
    </w:p>
    <w:p>
      <w:pPr>
        <w:pStyle w:val="Footnoteheading"/>
      </w:pPr>
      <w:r>
        <w:tab/>
        <w:t>[Heading inserted in Gazette 20 Mar 2007 p. 1008.]</w:t>
      </w:r>
    </w:p>
    <w:p>
      <w:pPr>
        <w:pStyle w:val="Heading5"/>
      </w:pPr>
      <w:bookmarkStart w:id="156" w:name="_Toc391560705"/>
      <w:bookmarkStart w:id="157" w:name="_Toc473294561"/>
      <w:r>
        <w:rPr>
          <w:rStyle w:val="CharSectno"/>
        </w:rPr>
        <w:t>64</w:t>
      </w:r>
      <w:r>
        <w:t>.</w:t>
      </w:r>
      <w:r>
        <w:tab/>
        <w:t>Approval of veterinary nurses (Act s. 26E)</w:t>
      </w:r>
      <w:bookmarkEnd w:id="156"/>
      <w:bookmarkEnd w:id="157"/>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158" w:name="_Toc391560706"/>
      <w:bookmarkStart w:id="159" w:name="_Toc473294562"/>
      <w:r>
        <w:rPr>
          <w:rStyle w:val="CharSectno"/>
        </w:rPr>
        <w:t>65</w:t>
      </w:r>
      <w:r>
        <w:t>.</w:t>
      </w:r>
      <w:r>
        <w:tab/>
        <w:t>Duties and veterinary services that may be performed by veterinary nurses (Act s. 26(4)(b) and 26E(4))</w:t>
      </w:r>
      <w:bookmarkEnd w:id="158"/>
      <w:bookmarkEnd w:id="159"/>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160" w:name="_Toc391560707"/>
      <w:bookmarkStart w:id="161" w:name="_Toc473294563"/>
      <w:r>
        <w:rPr>
          <w:rStyle w:val="CharSectno"/>
        </w:rPr>
        <w:t>66</w:t>
      </w:r>
      <w:r>
        <w:t>.</w:t>
      </w:r>
      <w:r>
        <w:tab/>
        <w:t>Duties and veterinary services that may be performed by trainee veterinary nurses (Act s. 26(4)(b))</w:t>
      </w:r>
      <w:bookmarkEnd w:id="160"/>
      <w:bookmarkEnd w:id="161"/>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162" w:name="_Toc391560708"/>
      <w:bookmarkStart w:id="163" w:name="_Toc473294564"/>
      <w:r>
        <w:rPr>
          <w:rStyle w:val="CharSectno"/>
        </w:rPr>
        <w:t>68</w:t>
      </w:r>
      <w:r>
        <w:t>.</w:t>
      </w:r>
      <w:r>
        <w:tab/>
        <w:t>Standards of conduct for veterinary nurses</w:t>
      </w:r>
      <w:bookmarkEnd w:id="162"/>
      <w:bookmarkEnd w:id="163"/>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164" w:name="_Toc391560709"/>
      <w:bookmarkStart w:id="165" w:name="_Toc473294565"/>
      <w:r>
        <w:rPr>
          <w:rStyle w:val="CharSectno"/>
        </w:rPr>
        <w:t>69</w:t>
      </w:r>
      <w:r>
        <w:t>.</w:t>
      </w:r>
      <w:r>
        <w:tab/>
      </w:r>
      <w:r>
        <w:rPr>
          <w:snapToGrid w:val="0"/>
        </w:rPr>
        <w:t>Inquiries concerning veterinary nurses</w:t>
      </w:r>
      <w:bookmarkEnd w:id="164"/>
      <w:bookmarkEnd w:id="165"/>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166" w:name="_Toc391560710"/>
      <w:bookmarkStart w:id="167" w:name="_Toc473294566"/>
      <w:r>
        <w:rPr>
          <w:rStyle w:val="CharSectno"/>
        </w:rPr>
        <w:t>70</w:t>
      </w:r>
      <w:r>
        <w:t>.</w:t>
      </w:r>
      <w:r>
        <w:tab/>
        <w:t>Chairman may defer hearing</w:t>
      </w:r>
      <w:bookmarkEnd w:id="166"/>
      <w:bookmarkEnd w:id="167"/>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168" w:name="_Toc391560711"/>
      <w:bookmarkStart w:id="169" w:name="_Toc473294567"/>
      <w:r>
        <w:rPr>
          <w:rStyle w:val="CharSectno"/>
        </w:rPr>
        <w:t>71</w:t>
      </w:r>
      <w:r>
        <w:t>.</w:t>
      </w:r>
      <w:r>
        <w:tab/>
        <w:t>Adjournments</w:t>
      </w:r>
      <w:bookmarkEnd w:id="168"/>
      <w:bookmarkEnd w:id="169"/>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170" w:name="_Toc391560712"/>
      <w:bookmarkStart w:id="171" w:name="_Toc473294568"/>
      <w:r>
        <w:rPr>
          <w:rStyle w:val="CharSectno"/>
        </w:rPr>
        <w:t>72</w:t>
      </w:r>
      <w:r>
        <w:t>.</w:t>
      </w:r>
      <w:r>
        <w:tab/>
        <w:t>Failure to appear</w:t>
      </w:r>
      <w:bookmarkEnd w:id="170"/>
      <w:bookmarkEnd w:id="171"/>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172" w:name="_Toc391560713"/>
      <w:bookmarkStart w:id="173" w:name="_Toc473294569"/>
      <w:r>
        <w:rPr>
          <w:rStyle w:val="CharSectno"/>
        </w:rPr>
        <w:t>73</w:t>
      </w:r>
      <w:r>
        <w:t>.</w:t>
      </w:r>
      <w:r>
        <w:tab/>
        <w:t>Penalty for unprofessional conduct by veterinary nurse</w:t>
      </w:r>
      <w:bookmarkEnd w:id="172"/>
      <w:bookmarkEnd w:id="173"/>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174" w:name="_Toc391560714"/>
      <w:bookmarkStart w:id="175" w:name="_Toc473294570"/>
      <w:r>
        <w:rPr>
          <w:rStyle w:val="CharSectno"/>
        </w:rPr>
        <w:t>73A</w:t>
      </w:r>
      <w:r>
        <w:t>.</w:t>
      </w:r>
      <w:r>
        <w:tab/>
        <w:t>Appeal by veterinary nurse against decision of Board</w:t>
      </w:r>
      <w:bookmarkEnd w:id="174"/>
      <w:bookmarkEnd w:id="175"/>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176" w:name="_Toc391560715"/>
      <w:bookmarkStart w:id="177" w:name="_Toc421009724"/>
      <w:bookmarkStart w:id="178" w:name="_Toc421009810"/>
      <w:bookmarkStart w:id="179" w:name="_Toc421021867"/>
      <w:bookmarkStart w:id="180" w:name="_Toc438125087"/>
      <w:bookmarkStart w:id="181" w:name="_Toc473279562"/>
      <w:bookmarkStart w:id="182" w:name="_Toc473294571"/>
      <w:r>
        <w:rPr>
          <w:rStyle w:val="CharPartNo"/>
        </w:rPr>
        <w:t>Part 8</w:t>
      </w:r>
      <w:r>
        <w:t xml:space="preserve"> — </w:t>
      </w:r>
      <w:r>
        <w:rPr>
          <w:rStyle w:val="CharPartText"/>
        </w:rPr>
        <w:t>Animal welfare societies</w:t>
      </w:r>
      <w:bookmarkEnd w:id="176"/>
      <w:bookmarkEnd w:id="177"/>
      <w:bookmarkEnd w:id="178"/>
      <w:bookmarkEnd w:id="179"/>
      <w:bookmarkEnd w:id="180"/>
      <w:bookmarkEnd w:id="181"/>
      <w:bookmarkEnd w:id="182"/>
    </w:p>
    <w:p>
      <w:pPr>
        <w:pStyle w:val="Footnoteheading"/>
      </w:pPr>
      <w:r>
        <w:tab/>
        <w:t>[Heading inserted in Gazette 20 Mar 2007 p. 1008.]</w:t>
      </w:r>
    </w:p>
    <w:p>
      <w:pPr>
        <w:pStyle w:val="Heading5"/>
      </w:pPr>
      <w:bookmarkStart w:id="183" w:name="_Toc391560716"/>
      <w:bookmarkStart w:id="184" w:name="_Toc473294572"/>
      <w:r>
        <w:rPr>
          <w:rStyle w:val="CharSectno"/>
        </w:rPr>
        <w:t>74</w:t>
      </w:r>
      <w:r>
        <w:t>.</w:t>
      </w:r>
      <w:r>
        <w:tab/>
        <w:t>Licences for animal welfare societies (Act s. 26F)</w:t>
      </w:r>
      <w:bookmarkEnd w:id="183"/>
      <w:bookmarkEnd w:id="184"/>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185" w:name="_Toc391560717"/>
      <w:bookmarkStart w:id="186" w:name="_Toc473294573"/>
      <w:r>
        <w:rPr>
          <w:rStyle w:val="CharSectno"/>
        </w:rPr>
        <w:t>75</w:t>
      </w:r>
      <w:r>
        <w:t>.</w:t>
      </w:r>
      <w:r>
        <w:tab/>
        <w:t>Consideration of applications</w:t>
      </w:r>
      <w:bookmarkEnd w:id="185"/>
      <w:bookmarkEnd w:id="186"/>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187" w:name="_Toc391560718"/>
      <w:bookmarkStart w:id="188" w:name="_Toc473294574"/>
      <w:r>
        <w:rPr>
          <w:rStyle w:val="CharSectno"/>
        </w:rPr>
        <w:t>76</w:t>
      </w:r>
      <w:r>
        <w:t>.</w:t>
      </w:r>
      <w:r>
        <w:tab/>
        <w:t>Duration of licence</w:t>
      </w:r>
      <w:bookmarkEnd w:id="187"/>
      <w:bookmarkEnd w:id="188"/>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189" w:name="_Toc391560719"/>
      <w:bookmarkStart w:id="190" w:name="_Toc473294575"/>
      <w:r>
        <w:rPr>
          <w:rStyle w:val="CharSectno"/>
        </w:rPr>
        <w:t>78</w:t>
      </w:r>
      <w:r>
        <w:t>.</w:t>
      </w:r>
      <w:r>
        <w:tab/>
        <w:t>Licence to be displayed</w:t>
      </w:r>
      <w:bookmarkEnd w:id="189"/>
      <w:bookmarkEnd w:id="190"/>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191" w:name="_Toc391560720"/>
      <w:bookmarkStart w:id="192" w:name="_Toc473294576"/>
      <w:r>
        <w:rPr>
          <w:rStyle w:val="CharSectno"/>
        </w:rPr>
        <w:t>79</w:t>
      </w:r>
      <w:r>
        <w:t>.</w:t>
      </w:r>
      <w:r>
        <w:tab/>
        <w:t>Name of veterinary surgeon to be displayed</w:t>
      </w:r>
      <w:bookmarkEnd w:id="191"/>
      <w:bookmarkEnd w:id="192"/>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193" w:name="_Toc391560721"/>
      <w:bookmarkStart w:id="194" w:name="_Toc421009730"/>
      <w:bookmarkStart w:id="195" w:name="_Toc421009816"/>
      <w:bookmarkStart w:id="196" w:name="_Toc421021873"/>
      <w:bookmarkStart w:id="197" w:name="_Toc438125093"/>
      <w:bookmarkStart w:id="198" w:name="_Toc473279568"/>
      <w:bookmarkStart w:id="199" w:name="_Toc473294577"/>
      <w:r>
        <w:rPr>
          <w:rStyle w:val="CharPartNo"/>
        </w:rPr>
        <w:t>Part 9</w:t>
      </w:r>
      <w:r>
        <w:t xml:space="preserve"> — </w:t>
      </w:r>
      <w:r>
        <w:rPr>
          <w:rStyle w:val="CharPartText"/>
        </w:rPr>
        <w:t>General</w:t>
      </w:r>
      <w:bookmarkEnd w:id="193"/>
      <w:bookmarkEnd w:id="194"/>
      <w:bookmarkEnd w:id="195"/>
      <w:bookmarkEnd w:id="196"/>
      <w:bookmarkEnd w:id="197"/>
      <w:bookmarkEnd w:id="198"/>
      <w:bookmarkEnd w:id="199"/>
    </w:p>
    <w:p>
      <w:pPr>
        <w:pStyle w:val="Footnoteheading"/>
      </w:pPr>
      <w:r>
        <w:tab/>
        <w:t>[Heading inserted in Gazette 20 Mar 2007 p. 1008.]</w:t>
      </w:r>
    </w:p>
    <w:p>
      <w:pPr>
        <w:pStyle w:val="Heading5"/>
        <w:rPr>
          <w:snapToGrid w:val="0"/>
        </w:rPr>
      </w:pPr>
      <w:bookmarkStart w:id="200" w:name="_Toc391560722"/>
      <w:bookmarkStart w:id="201" w:name="_Toc473294578"/>
      <w:r>
        <w:rPr>
          <w:rStyle w:val="CharSectno"/>
        </w:rPr>
        <w:t>80</w:t>
      </w:r>
      <w:r>
        <w:t>.</w:t>
      </w:r>
      <w:r>
        <w:tab/>
      </w:r>
      <w:r>
        <w:rPr>
          <w:snapToGrid w:val="0"/>
        </w:rPr>
        <w:t>Fees</w:t>
      </w:r>
      <w:bookmarkEnd w:id="200"/>
      <w:bookmarkEnd w:id="201"/>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125</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125</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125</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185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30</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200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50</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80</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105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65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25</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 2 Jun 2015 p. 1938-9.]</w:t>
      </w:r>
    </w:p>
    <w:p>
      <w:pPr>
        <w:keepLines/>
        <w:ind w:left="317"/>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02" w:name="_Toc391560723"/>
      <w:bookmarkStart w:id="203" w:name="_Toc421009732"/>
      <w:bookmarkStart w:id="204" w:name="_Toc421009818"/>
      <w:bookmarkStart w:id="205" w:name="_Toc421021875"/>
      <w:bookmarkStart w:id="206" w:name="_Toc438125095"/>
      <w:bookmarkStart w:id="207" w:name="_Toc473279570"/>
      <w:bookmarkStart w:id="208" w:name="_Toc473294579"/>
      <w:r>
        <w:rPr>
          <w:rStyle w:val="CharSchNo"/>
        </w:rPr>
        <w:t>Schedule 1</w:t>
      </w:r>
      <w:r>
        <w:t> — </w:t>
      </w:r>
      <w:r>
        <w:rPr>
          <w:rStyle w:val="CharSchText"/>
        </w:rPr>
        <w:t>Forms</w:t>
      </w:r>
      <w:bookmarkEnd w:id="202"/>
      <w:bookmarkEnd w:id="203"/>
      <w:bookmarkEnd w:id="204"/>
      <w:bookmarkEnd w:id="205"/>
      <w:bookmarkEnd w:id="206"/>
      <w:bookmarkEnd w:id="207"/>
      <w:bookmarkEnd w:id="208"/>
    </w:p>
    <w:p>
      <w:pPr>
        <w:pStyle w:val="yShoulderClause"/>
      </w:pPr>
      <w:r>
        <w:t>[r. 34, 35, 37, 38]</w:t>
      </w:r>
    </w:p>
    <w:p>
      <w:pPr>
        <w:pStyle w:val="yFootnoteheading"/>
      </w:pPr>
      <w:r>
        <w:tab/>
        <w:t>[Heading inserted in Gazette 20 Mar 2007 p. 1030.]</w:t>
      </w:r>
    </w:p>
    <w:p>
      <w:pPr>
        <w:pStyle w:val="yHeading5"/>
        <w:spacing w:after="80"/>
      </w:pPr>
      <w:bookmarkStart w:id="209" w:name="_Toc391560724"/>
      <w:bookmarkStart w:id="210" w:name="_Toc473294580"/>
      <w:r>
        <w:rPr>
          <w:rStyle w:val="CharSClsNo"/>
        </w:rPr>
        <w:t>1</w:t>
      </w:r>
      <w:r>
        <w:t>.</w:t>
      </w:r>
      <w:r>
        <w:tab/>
        <w:t>Application to register veterinary clinic or hospital</w:t>
      </w:r>
      <w:bookmarkEnd w:id="209"/>
      <w:bookmarkEnd w:id="2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211" w:name="_Toc391560725"/>
      <w:bookmarkStart w:id="212" w:name="_Toc473294581"/>
      <w:r>
        <w:rPr>
          <w:rStyle w:val="CharSClsNo"/>
        </w:rPr>
        <w:t>2</w:t>
      </w:r>
      <w:r>
        <w:rPr>
          <w:bCs/>
        </w:rPr>
        <w:t>.</w:t>
      </w:r>
      <w:r>
        <w:rPr>
          <w:bCs/>
        </w:rPr>
        <w:tab/>
        <w:t>Certificate of registration of a veterinary clinic or hospital</w:t>
      </w:r>
      <w:bookmarkEnd w:id="211"/>
      <w:bookmarkEnd w:id="2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213" w:name="_Toc391560726"/>
      <w:bookmarkStart w:id="214" w:name="_Toc473294582"/>
      <w:r>
        <w:rPr>
          <w:rStyle w:val="CharSClsNo"/>
        </w:rPr>
        <w:t>3</w:t>
      </w:r>
      <w:r>
        <w:rPr>
          <w:bCs/>
        </w:rPr>
        <w:t>.</w:t>
      </w:r>
      <w:r>
        <w:rPr>
          <w:bCs/>
        </w:rPr>
        <w:tab/>
        <w:t>Application to renew registration of veterinary clinic or hospital</w:t>
      </w:r>
      <w:bookmarkEnd w:id="213"/>
      <w:bookmarkEnd w:id="2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215" w:name="_Toc391560727"/>
      <w:bookmarkStart w:id="216" w:name="_Toc473294583"/>
      <w:r>
        <w:rPr>
          <w:rStyle w:val="CharSClsNo"/>
        </w:rPr>
        <w:t>4</w:t>
      </w:r>
      <w:r>
        <w:rPr>
          <w:bCs/>
        </w:rPr>
        <w:t>.</w:t>
      </w:r>
      <w:r>
        <w:rPr>
          <w:bCs/>
        </w:rPr>
        <w:tab/>
        <w:t>Application to transfer management of veterinary clinic or hospital</w:t>
      </w:r>
      <w:bookmarkEnd w:id="215"/>
      <w:bookmarkEnd w:id="2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18" w:name="_Toc391560728"/>
      <w:bookmarkStart w:id="219" w:name="_Toc421009737"/>
      <w:bookmarkStart w:id="220" w:name="_Toc421009823"/>
      <w:bookmarkStart w:id="221" w:name="_Toc421021880"/>
      <w:bookmarkStart w:id="222" w:name="_Toc438125100"/>
      <w:bookmarkStart w:id="223" w:name="_Toc473279575"/>
      <w:bookmarkStart w:id="224" w:name="_Toc473294584"/>
      <w:r>
        <w:rPr>
          <w:rStyle w:val="CharSchNo"/>
        </w:rPr>
        <w:t>Schedule 2</w:t>
      </w:r>
      <w:r>
        <w:rPr>
          <w:rStyle w:val="CharSDivNo"/>
        </w:rPr>
        <w:t> </w:t>
      </w:r>
      <w:r>
        <w:t>—</w:t>
      </w:r>
      <w:r>
        <w:rPr>
          <w:rStyle w:val="CharSDivText"/>
        </w:rPr>
        <w:t> </w:t>
      </w:r>
      <w:r>
        <w:rPr>
          <w:rStyle w:val="CharSchText"/>
        </w:rPr>
        <w:t>Specialists</w:t>
      </w:r>
      <w:bookmarkEnd w:id="218"/>
      <w:bookmarkEnd w:id="219"/>
      <w:bookmarkEnd w:id="220"/>
      <w:bookmarkEnd w:id="221"/>
      <w:bookmarkEnd w:id="222"/>
      <w:bookmarkEnd w:id="223"/>
      <w:bookmarkEnd w:id="224"/>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225" w:name="_Toc391560729"/>
      <w:bookmarkStart w:id="226" w:name="_Toc421009738"/>
      <w:bookmarkStart w:id="227" w:name="_Toc421009824"/>
      <w:bookmarkStart w:id="228" w:name="_Toc421021881"/>
      <w:bookmarkStart w:id="229" w:name="_Toc438125101"/>
      <w:bookmarkStart w:id="230" w:name="_Toc473279576"/>
      <w:bookmarkStart w:id="231" w:name="_Toc473294585"/>
      <w:r>
        <w:rPr>
          <w:rStyle w:val="CharSchNo"/>
        </w:rPr>
        <w:t>Schedule 3</w:t>
      </w:r>
      <w:r>
        <w:rPr>
          <w:rStyle w:val="CharSDivNo"/>
        </w:rPr>
        <w:t> </w:t>
      </w:r>
      <w:r>
        <w:t>—</w:t>
      </w:r>
      <w:r>
        <w:rPr>
          <w:rStyle w:val="CharSDivText"/>
        </w:rPr>
        <w:t> </w:t>
      </w:r>
      <w:r>
        <w:rPr>
          <w:rStyle w:val="CharSchText"/>
        </w:rPr>
        <w:t>Equivalent specialty</w:t>
      </w:r>
      <w:bookmarkEnd w:id="225"/>
      <w:bookmarkEnd w:id="226"/>
      <w:bookmarkEnd w:id="227"/>
      <w:bookmarkEnd w:id="228"/>
      <w:bookmarkEnd w:id="229"/>
      <w:bookmarkEnd w:id="230"/>
      <w:bookmarkEnd w:id="231"/>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32" w:name="_Toc391560730"/>
      <w:bookmarkStart w:id="233" w:name="_Toc421009739"/>
      <w:bookmarkStart w:id="234" w:name="_Toc421009825"/>
      <w:bookmarkStart w:id="235" w:name="_Toc421021882"/>
      <w:bookmarkStart w:id="236" w:name="_Toc438125102"/>
      <w:bookmarkStart w:id="237" w:name="_Toc473279577"/>
      <w:bookmarkStart w:id="238" w:name="_Toc473294586"/>
      <w:r>
        <w:t>Notes</w:t>
      </w:r>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239" w:name="_Toc391560731"/>
      <w:bookmarkStart w:id="240" w:name="_Toc473294587"/>
      <w:r>
        <w:rPr>
          <w:snapToGrid w:val="0"/>
        </w:rPr>
        <w:t>Compilation table</w:t>
      </w:r>
      <w:bookmarkEnd w:id="239"/>
      <w:bookmarkEnd w:id="24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2 Jun 2015 (see r. 2(a));</w:t>
            </w:r>
            <w:r>
              <w:rPr>
                <w:rFonts w:ascii="Times" w:hAnsi="Times"/>
                <w:bCs/>
                <w:snapToGrid w:val="0"/>
              </w:rPr>
              <w:br/>
              <w:t>Regulations other than r. 1 and 2: 1 Jan 2016 (see r. 2(b))</w:t>
            </w:r>
          </w:p>
        </w:tc>
      </w:tr>
      <w:tr>
        <w:trPr>
          <w:cantSplit/>
        </w:trPr>
        <w:tc>
          <w:tcPr>
            <w:tcW w:w="3118"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12 Jan 2016 (see r. 2(a));</w:t>
            </w:r>
            <w:r>
              <w:rPr>
                <w:rFonts w:ascii="Times" w:hAnsi="Times"/>
                <w:bCs/>
                <w:snapToGrid w:val="0"/>
              </w:rPr>
              <w:br/>
              <w:t>Regulations other than r. 1 and 2: 13 Jan 2016 (see r. 2(b))</w:t>
            </w:r>
          </w:p>
        </w:tc>
      </w:tr>
      <w:tr>
        <w:trPr>
          <w:cantSplit/>
        </w:trPr>
        <w:tc>
          <w:tcPr>
            <w:tcW w:w="3118" w:type="dxa"/>
            <w:tcBorders>
              <w:bottom w:val="single" w:sz="4" w:space="0" w:color="auto"/>
            </w:tcBorders>
            <w:shd w:val="clear" w:color="auto" w:fill="auto"/>
          </w:tcPr>
          <w:p>
            <w:pPr>
              <w:pStyle w:val="nTable"/>
              <w:spacing w:after="40"/>
              <w:rPr>
                <w:i/>
              </w:rPr>
            </w:pPr>
            <w:r>
              <w:rPr>
                <w:i/>
              </w:rPr>
              <w:t>Agriculture and Food Regulations Amendment (Poisons) Regulations 2016</w:t>
            </w:r>
            <w:r>
              <w:t xml:space="preserve"> Pt. 6</w:t>
            </w:r>
          </w:p>
        </w:tc>
        <w:tc>
          <w:tcPr>
            <w:tcW w:w="1276" w:type="dxa"/>
            <w:tcBorders>
              <w:bottom w:val="single" w:sz="4" w:space="0" w:color="auto"/>
            </w:tcBorders>
            <w:shd w:val="clear" w:color="auto" w:fill="auto"/>
          </w:tcPr>
          <w:p>
            <w:pPr>
              <w:pStyle w:val="nTable"/>
              <w:spacing w:after="40"/>
            </w:pPr>
            <w:r>
              <w:t>17 Jan 2017 p. 404</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rPr>
            </w:pPr>
            <w:r>
              <w:t xml:space="preserve">30 Jan 2017 (see r. 2(b) and </w:t>
            </w:r>
            <w:r>
              <w:rPr>
                <w:i/>
              </w:rPr>
              <w:t>Gazette</w:t>
            </w:r>
            <w:r>
              <w:t xml:space="preserve"> 17 Jan 2017 p. 403)</w:t>
            </w:r>
          </w:p>
        </w:tc>
      </w:tr>
    </w:tbl>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42" w:name="_Toc473294588"/>
      <w:r>
        <w:rPr>
          <w:sz w:val="28"/>
        </w:rPr>
        <w:t>Defined terms</w:t>
      </w:r>
      <w:bookmarkEnd w:id="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prescription</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55</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7" w:name="Schedule"/>
    <w:bookmarkEnd w:id="2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3" w:name="DefinedTerms"/>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2760-DE21-4F35-94A8-7A5B9065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12301</Words>
  <Characters>63230</Characters>
  <Application>Microsoft Office Word</Application>
  <DocSecurity>0</DocSecurity>
  <Lines>2039</Lines>
  <Paragraphs>1348</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1979 - 05-e0-01</dc:title>
  <dc:subject/>
  <dc:creator/>
  <cp:keywords/>
  <dc:description/>
  <cp:lastModifiedBy>svcMRProcess</cp:lastModifiedBy>
  <cp:revision>4</cp:revision>
  <cp:lastPrinted>2014-06-03T04:32:00Z</cp:lastPrinted>
  <dcterms:created xsi:type="dcterms:W3CDTF">2020-02-29T15:54:00Z</dcterms:created>
  <dcterms:modified xsi:type="dcterms:W3CDTF">2020-02-29T15:54:00Z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AsAtDate">
    <vt:lpwstr>30 Jan 2017</vt:lpwstr>
  </property>
  <property fmtid="{D5CDD505-2E9C-101B-9397-08002B2CF9AE}" pid="8" name="Suffix">
    <vt:lpwstr>05-e0-01</vt:lpwstr>
  </property>
  <property fmtid="{D5CDD505-2E9C-101B-9397-08002B2CF9AE}" pid="9" name="CommencementDate">
    <vt:lpwstr>20170130</vt:lpwstr>
  </property>
</Properties>
</file>