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Electricity Industry Act 2004</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Electricity Industry (Access Code Enforcement) Regulations 2005</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Electricity Industry (Access Code Enforcement) Regulations 2005</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tab/>
        <w:t>Citation</w:t>
      </w:r>
      <w:r>
        <w:tab/>
      </w:r>
      <w:r>
        <w:fldChar w:fldCharType="begin"/>
      </w:r>
      <w:r>
        <w:instrText xml:space="preserve"> PAGEREF _Toc473899919 \h </w:instrText>
      </w:r>
      <w:r>
        <w:fldChar w:fldCharType="separate"/>
      </w:r>
      <w:r>
        <w:t>1</w:t>
      </w:r>
      <w:r>
        <w:fldChar w:fldCharType="end"/>
      </w:r>
    </w:p>
    <w:p>
      <w:pPr>
        <w:pStyle w:val="TOC8"/>
        <w:rPr>
          <w:rFonts w:asciiTheme="minorHAnsi" w:eastAsiaTheme="minorEastAsia" w:hAnsiTheme="minorHAnsi" w:cstheme="minorBidi"/>
          <w:szCs w:val="22"/>
        </w:rPr>
      </w:pPr>
      <w:r>
        <w:t>2</w:t>
      </w:r>
      <w:r>
        <w:rPr>
          <w:spacing w:val="-2"/>
        </w:rPr>
        <w:t>.</w:t>
      </w:r>
      <w:r>
        <w:rPr>
          <w:spacing w:val="-2"/>
        </w:rPr>
        <w:tab/>
        <w:t>Commencement</w:t>
      </w:r>
      <w:r>
        <w:tab/>
      </w:r>
      <w:r>
        <w:fldChar w:fldCharType="begin"/>
      </w:r>
      <w:r>
        <w:instrText xml:space="preserve"> PAGEREF _Toc473899920 \h </w:instrText>
      </w:r>
      <w:r>
        <w:fldChar w:fldCharType="separate"/>
      </w:r>
      <w:r>
        <w:t>1</w:t>
      </w:r>
      <w:r>
        <w:fldChar w:fldCharType="end"/>
      </w:r>
    </w:p>
    <w:p>
      <w:pPr>
        <w:pStyle w:val="TOC8"/>
        <w:rPr>
          <w:rFonts w:asciiTheme="minorHAnsi" w:eastAsiaTheme="minorEastAsia" w:hAnsiTheme="minorHAnsi" w:cstheme="minorBidi"/>
          <w:szCs w:val="22"/>
        </w:rPr>
      </w:pPr>
      <w:r>
        <w:t>3.</w:t>
      </w:r>
      <w:r>
        <w:tab/>
        <w:t>Terms used in these regulations</w:t>
      </w:r>
      <w:r>
        <w:tab/>
      </w:r>
      <w:r>
        <w:fldChar w:fldCharType="begin"/>
      </w:r>
      <w:r>
        <w:instrText xml:space="preserve"> PAGEREF _Toc473899921 \h </w:instrText>
      </w:r>
      <w:r>
        <w:fldChar w:fldCharType="separate"/>
      </w:r>
      <w:r>
        <w:t>1</w:t>
      </w:r>
      <w:r>
        <w:fldChar w:fldCharType="end"/>
      </w:r>
    </w:p>
    <w:p>
      <w:pPr>
        <w:pStyle w:val="TOC8"/>
        <w:rPr>
          <w:rFonts w:asciiTheme="minorHAnsi" w:eastAsiaTheme="minorEastAsia" w:hAnsiTheme="minorHAnsi" w:cstheme="minorBidi"/>
          <w:szCs w:val="22"/>
        </w:rPr>
      </w:pPr>
      <w:r>
        <w:t>4.</w:t>
      </w:r>
      <w:r>
        <w:tab/>
        <w:t>Civil penalty provisions and civil penalties</w:t>
      </w:r>
      <w:r>
        <w:tab/>
      </w:r>
      <w:r>
        <w:fldChar w:fldCharType="begin"/>
      </w:r>
      <w:r>
        <w:instrText xml:space="preserve"> PAGEREF _Toc473899922 \h </w:instrText>
      </w:r>
      <w:r>
        <w:fldChar w:fldCharType="separate"/>
      </w:r>
      <w:r>
        <w:t>1</w:t>
      </w:r>
      <w:r>
        <w:fldChar w:fldCharType="end"/>
      </w:r>
    </w:p>
    <w:p>
      <w:pPr>
        <w:pStyle w:val="TOC8"/>
        <w:rPr>
          <w:rFonts w:asciiTheme="minorHAnsi" w:eastAsiaTheme="minorEastAsia" w:hAnsiTheme="minorHAnsi" w:cstheme="minorBidi"/>
          <w:szCs w:val="22"/>
        </w:rPr>
      </w:pPr>
      <w:r>
        <w:t>5.</w:t>
      </w:r>
      <w:r>
        <w:tab/>
        <w:t>Civil penalties — contravention of civil penalty provisions</w:t>
      </w:r>
      <w:r>
        <w:tab/>
      </w:r>
      <w:r>
        <w:fldChar w:fldCharType="begin"/>
      </w:r>
      <w:r>
        <w:instrText xml:space="preserve"> PAGEREF _Toc473899923 \h </w:instrText>
      </w:r>
      <w:r>
        <w:fldChar w:fldCharType="separate"/>
      </w:r>
      <w:r>
        <w:t>2</w:t>
      </w:r>
      <w:r>
        <w:fldChar w:fldCharType="end"/>
      </w:r>
    </w:p>
    <w:p>
      <w:pPr>
        <w:pStyle w:val="TOC8"/>
        <w:rPr>
          <w:rFonts w:asciiTheme="minorHAnsi" w:eastAsiaTheme="minorEastAsia" w:hAnsiTheme="minorHAnsi" w:cstheme="minorBidi"/>
          <w:szCs w:val="22"/>
        </w:rPr>
      </w:pPr>
      <w:r>
        <w:t>6.</w:t>
      </w:r>
      <w:r>
        <w:tab/>
        <w:t>Injunctions — contravention of regulatory or conduct provisions</w:t>
      </w:r>
      <w:r>
        <w:tab/>
      </w:r>
      <w:r>
        <w:fldChar w:fldCharType="begin"/>
      </w:r>
      <w:r>
        <w:instrText xml:space="preserve"> PAGEREF _Toc473899924 \h </w:instrText>
      </w:r>
      <w:r>
        <w:fldChar w:fldCharType="separate"/>
      </w:r>
      <w:r>
        <w:t>3</w:t>
      </w:r>
      <w:r>
        <w:fldChar w:fldCharType="end"/>
      </w:r>
    </w:p>
    <w:p>
      <w:pPr>
        <w:pStyle w:val="TOC8"/>
        <w:rPr>
          <w:rFonts w:asciiTheme="minorHAnsi" w:eastAsiaTheme="minorEastAsia" w:hAnsiTheme="minorHAnsi" w:cstheme="minorBidi"/>
          <w:szCs w:val="22"/>
        </w:rPr>
      </w:pPr>
      <w:r>
        <w:t>7.</w:t>
      </w:r>
      <w:r>
        <w:tab/>
        <w:t>Action for damages — contravention of conduct provisions</w:t>
      </w:r>
      <w:r>
        <w:tab/>
      </w:r>
      <w:r>
        <w:fldChar w:fldCharType="begin"/>
      </w:r>
      <w:r>
        <w:instrText xml:space="preserve"> PAGEREF _Toc473899925 \h </w:instrText>
      </w:r>
      <w:r>
        <w:fldChar w:fldCharType="separate"/>
      </w:r>
      <w:r>
        <w:t>4</w:t>
      </w:r>
      <w:r>
        <w:fldChar w:fldCharType="end"/>
      </w:r>
    </w:p>
    <w:p>
      <w:pPr>
        <w:pStyle w:val="TOC8"/>
        <w:rPr>
          <w:rFonts w:asciiTheme="minorHAnsi" w:eastAsiaTheme="minorEastAsia" w:hAnsiTheme="minorHAnsi" w:cstheme="minorBidi"/>
          <w:szCs w:val="22"/>
        </w:rPr>
      </w:pPr>
      <w:r>
        <w:t>8.</w:t>
      </w:r>
      <w:r>
        <w:tab/>
        <w:t>Other orders — contravention of regulatory or conduct provisions</w:t>
      </w:r>
      <w:r>
        <w:tab/>
      </w:r>
      <w:r>
        <w:fldChar w:fldCharType="begin"/>
      </w:r>
      <w:r>
        <w:instrText xml:space="preserve"> PAGEREF _Toc473899926 \h </w:instrText>
      </w:r>
      <w:r>
        <w:fldChar w:fldCharType="separate"/>
      </w:r>
      <w:r>
        <w:t>5</w:t>
      </w:r>
      <w:r>
        <w:fldChar w:fldCharType="end"/>
      </w:r>
    </w:p>
    <w:p>
      <w:pPr>
        <w:pStyle w:val="TOC8"/>
        <w:rPr>
          <w:rFonts w:asciiTheme="minorHAnsi" w:eastAsiaTheme="minorEastAsia" w:hAnsiTheme="minorHAnsi" w:cstheme="minorBidi"/>
          <w:szCs w:val="22"/>
        </w:rPr>
      </w:pPr>
      <w:r>
        <w:t>9.</w:t>
      </w:r>
      <w:r>
        <w:tab/>
        <w:t>No proceedings against the Minister or the Authority</w:t>
      </w:r>
      <w:r>
        <w:tab/>
      </w:r>
      <w:r>
        <w:fldChar w:fldCharType="begin"/>
      </w:r>
      <w:r>
        <w:instrText xml:space="preserve"> PAGEREF _Toc473899927 \h </w:instrText>
      </w:r>
      <w:r>
        <w:fldChar w:fldCharType="separate"/>
      </w:r>
      <w:r>
        <w:t>5</w:t>
      </w:r>
      <w:r>
        <w:fldChar w:fldCharType="end"/>
      </w:r>
    </w:p>
    <w:p>
      <w:pPr>
        <w:pStyle w:val="TOC8"/>
        <w:rPr>
          <w:rFonts w:asciiTheme="minorHAnsi" w:eastAsiaTheme="minorEastAsia" w:hAnsiTheme="minorHAnsi" w:cstheme="minorBidi"/>
          <w:szCs w:val="22"/>
        </w:rPr>
      </w:pPr>
      <w:r>
        <w:t>10.</w:t>
      </w:r>
      <w:r>
        <w:tab/>
        <w:t>Civil penalty to be credited to Consolidated Fund</w:t>
      </w:r>
      <w:r>
        <w:tab/>
      </w:r>
      <w:r>
        <w:fldChar w:fldCharType="begin"/>
      </w:r>
      <w:r>
        <w:instrText xml:space="preserve"> PAGEREF _Toc473899928 \h </w:instrText>
      </w:r>
      <w:r>
        <w:fldChar w:fldCharType="separate"/>
      </w:r>
      <w:r>
        <w:t>5</w:t>
      </w:r>
      <w:r>
        <w:fldChar w:fldCharType="end"/>
      </w:r>
    </w:p>
    <w:p>
      <w:pPr>
        <w:pStyle w:val="TOC2"/>
        <w:tabs>
          <w:tab w:val="right" w:leader="dot" w:pos="7077"/>
        </w:tabs>
        <w:rPr>
          <w:rFonts w:asciiTheme="minorHAnsi" w:eastAsiaTheme="minorEastAsia" w:hAnsiTheme="minorHAnsi" w:cstheme="minorBidi"/>
          <w:b w:val="0"/>
          <w:sz w:val="22"/>
          <w:szCs w:val="22"/>
        </w:rPr>
      </w:pPr>
      <w:r>
        <w:t>Schedule 1 — Civil penalty provisions and amounts</w:t>
      </w:r>
    </w:p>
    <w:p>
      <w:pPr>
        <w:pStyle w:val="TOC2"/>
        <w:tabs>
          <w:tab w:val="right" w:leader="dot" w:pos="7077"/>
        </w:tabs>
        <w:rPr>
          <w:rFonts w:asciiTheme="minorHAnsi" w:eastAsiaTheme="minorEastAsia" w:hAnsiTheme="minorHAnsi" w:cstheme="minorBidi"/>
          <w:b w:val="0"/>
          <w:sz w:val="22"/>
          <w:szCs w:val="22"/>
        </w:rPr>
      </w:pPr>
      <w:r>
        <w:t>Schedule 2 — Regulatory and conduct provisions</w:t>
      </w:r>
    </w:p>
    <w:p>
      <w:pPr>
        <w:pStyle w:val="TOC8"/>
        <w:rPr>
          <w:rFonts w:asciiTheme="minorHAnsi" w:eastAsiaTheme="minorEastAsia" w:hAnsiTheme="minorHAnsi" w:cstheme="minorBidi"/>
          <w:szCs w:val="22"/>
        </w:rPr>
      </w:pPr>
      <w:r>
        <w:t>1.</w:t>
      </w:r>
      <w:r>
        <w:tab/>
        <w:t>Regulatory provisions</w:t>
      </w:r>
      <w:r>
        <w:tab/>
      </w:r>
      <w:r>
        <w:fldChar w:fldCharType="begin"/>
      </w:r>
      <w:r>
        <w:instrText xml:space="preserve"> PAGEREF _Toc473899931 \h </w:instrText>
      </w:r>
      <w:r>
        <w:fldChar w:fldCharType="separate"/>
      </w:r>
      <w:r>
        <w:t>8</w:t>
      </w:r>
      <w:r>
        <w:fldChar w:fldCharType="end"/>
      </w:r>
    </w:p>
    <w:p>
      <w:pPr>
        <w:pStyle w:val="TOC8"/>
        <w:rPr>
          <w:rFonts w:asciiTheme="minorHAnsi" w:eastAsiaTheme="minorEastAsia" w:hAnsiTheme="minorHAnsi" w:cstheme="minorBidi"/>
          <w:szCs w:val="22"/>
        </w:rPr>
      </w:pPr>
      <w:r>
        <w:t>2.</w:t>
      </w:r>
      <w:r>
        <w:tab/>
        <w:t>Conduct provisions</w:t>
      </w:r>
      <w:r>
        <w:tab/>
      </w:r>
      <w:r>
        <w:fldChar w:fldCharType="begin"/>
      </w:r>
      <w:r>
        <w:instrText xml:space="preserve"> PAGEREF _Toc473899932 \h </w:instrText>
      </w:r>
      <w:r>
        <w:fldChar w:fldCharType="separate"/>
      </w:r>
      <w:r>
        <w:t>8</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_Toc473899934 \h </w:instrText>
      </w:r>
      <w:r>
        <w:fldChar w:fldCharType="separate"/>
      </w:r>
      <w:r>
        <w:t>9</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PrincipalActReg"/>
      </w:pPr>
      <w:r>
        <w:t>Electricity Industry Act 2004</w:t>
      </w:r>
    </w:p>
    <w:p>
      <w:pPr>
        <w:pStyle w:val="NameofActReg"/>
      </w:pPr>
      <w:r>
        <w:t>Electricity Industry (Access Code Enforcement) Regulations 2005</w:t>
      </w:r>
    </w:p>
    <w:p>
      <w:pPr>
        <w:pStyle w:val="Heading5"/>
      </w:pPr>
      <w:bookmarkStart w:id="3" w:name="_Toc378231680"/>
      <w:bookmarkStart w:id="4" w:name="_Toc473899919"/>
      <w:r>
        <w:rPr>
          <w:rStyle w:val="CharSectno"/>
        </w:rPr>
        <w:t>1</w:t>
      </w:r>
      <w:r>
        <w:t>.</w:t>
      </w:r>
      <w:r>
        <w:tab/>
        <w:t>Citation</w:t>
      </w:r>
      <w:bookmarkEnd w:id="3"/>
      <w:bookmarkEnd w:id="4"/>
    </w:p>
    <w:p>
      <w:pPr>
        <w:pStyle w:val="Subsection"/>
        <w:rPr>
          <w:i/>
        </w:rPr>
      </w:pPr>
      <w:r>
        <w:tab/>
      </w:r>
      <w:r>
        <w:tab/>
      </w:r>
      <w:r>
        <w:rPr>
          <w:spacing w:val="-2"/>
        </w:rPr>
        <w:t>These</w:t>
      </w:r>
      <w:r>
        <w:t xml:space="preserve"> </w:t>
      </w:r>
      <w:r>
        <w:rPr>
          <w:spacing w:val="-2"/>
        </w:rPr>
        <w:t>regulations</w:t>
      </w:r>
      <w:r>
        <w:t xml:space="preserve"> are the </w:t>
      </w:r>
      <w:r>
        <w:rPr>
          <w:i/>
        </w:rPr>
        <w:t>Electricity Industry (Access Code Enforcement) Regulations 2005</w:t>
      </w:r>
      <w:r>
        <w:t>.</w:t>
      </w:r>
    </w:p>
    <w:p>
      <w:pPr>
        <w:pStyle w:val="Heading5"/>
        <w:rPr>
          <w:spacing w:val="-2"/>
        </w:rPr>
      </w:pPr>
      <w:bookmarkStart w:id="5" w:name="_Toc378231681"/>
      <w:bookmarkStart w:id="6" w:name="_Toc473899920"/>
      <w:r>
        <w:rPr>
          <w:rStyle w:val="CharSectno"/>
        </w:rPr>
        <w:t>2</w:t>
      </w:r>
      <w:r>
        <w:rPr>
          <w:spacing w:val="-2"/>
        </w:rPr>
        <w:t>.</w:t>
      </w:r>
      <w:r>
        <w:rPr>
          <w:spacing w:val="-2"/>
        </w:rPr>
        <w:tab/>
        <w:t>Commencement</w:t>
      </w:r>
      <w:bookmarkEnd w:id="5"/>
      <w:bookmarkEnd w:id="6"/>
    </w:p>
    <w:p>
      <w:pPr>
        <w:pStyle w:val="Subsection"/>
        <w:rPr>
          <w:rFonts w:ascii="Times" w:hAnsi="Times"/>
        </w:rPr>
      </w:pPr>
      <w:r>
        <w:rPr>
          <w:spacing w:val="-2"/>
        </w:rPr>
        <w:tab/>
      </w:r>
      <w:r>
        <w:rPr>
          <w:spacing w:val="-2"/>
        </w:rPr>
        <w:tab/>
        <w:t xml:space="preserve">These regulations come into operation on </w:t>
      </w:r>
      <w:r>
        <w:rPr>
          <w:rFonts w:ascii="Times" w:hAnsi="Times"/>
        </w:rPr>
        <w:t xml:space="preserve">the day on which they are published in the </w:t>
      </w:r>
      <w:r>
        <w:rPr>
          <w:rFonts w:ascii="Times" w:hAnsi="Times"/>
          <w:i/>
          <w:iCs/>
        </w:rPr>
        <w:t>Gazette</w:t>
      </w:r>
      <w:r>
        <w:rPr>
          <w:rFonts w:ascii="Times" w:hAnsi="Times"/>
        </w:rPr>
        <w:t>.</w:t>
      </w:r>
    </w:p>
    <w:p>
      <w:pPr>
        <w:pStyle w:val="Heading5"/>
      </w:pPr>
      <w:bookmarkStart w:id="7" w:name="_Toc378231682"/>
      <w:bookmarkStart w:id="8" w:name="_Toc473899921"/>
      <w:r>
        <w:rPr>
          <w:rStyle w:val="CharSectno"/>
        </w:rPr>
        <w:t>3</w:t>
      </w:r>
      <w:r>
        <w:t>.</w:t>
      </w:r>
      <w:r>
        <w:tab/>
        <w:t>Terms used in these regulations</w:t>
      </w:r>
      <w:bookmarkEnd w:id="7"/>
      <w:bookmarkEnd w:id="8"/>
    </w:p>
    <w:p>
      <w:pPr>
        <w:pStyle w:val="Subsection"/>
      </w:pPr>
      <w:r>
        <w:tab/>
      </w:r>
      <w:r>
        <w:tab/>
        <w:t xml:space="preserve">In these regulations, unless the contrary intention appears — </w:t>
      </w:r>
    </w:p>
    <w:p>
      <w:pPr>
        <w:pStyle w:val="Defstart"/>
      </w:pPr>
      <w:r>
        <w:rPr>
          <w:b/>
        </w:rPr>
        <w:tab/>
      </w:r>
      <w:r>
        <w:rPr>
          <w:rStyle w:val="CharDefText"/>
        </w:rPr>
        <w:t>civil penalty provision</w:t>
      </w:r>
      <w:r>
        <w:t xml:space="preserve"> has the meaning given to that term in regulation 4(1);</w:t>
      </w:r>
    </w:p>
    <w:p>
      <w:pPr>
        <w:pStyle w:val="Defstart"/>
      </w:pPr>
      <w:r>
        <w:rPr>
          <w:b/>
        </w:rPr>
        <w:tab/>
      </w:r>
      <w:r>
        <w:rPr>
          <w:rStyle w:val="CharDefText"/>
        </w:rPr>
        <w:t>Code</w:t>
      </w:r>
      <w:r>
        <w:t xml:space="preserve"> means the Code for the time being in force under section 104 of the Act;</w:t>
      </w:r>
    </w:p>
    <w:p>
      <w:pPr>
        <w:pStyle w:val="Defstart"/>
      </w:pPr>
      <w:r>
        <w:rPr>
          <w:b/>
        </w:rPr>
        <w:tab/>
      </w:r>
      <w:r>
        <w:rPr>
          <w:rStyle w:val="CharDefText"/>
        </w:rPr>
        <w:t>conduct provision</w:t>
      </w:r>
      <w:r>
        <w:t xml:space="preserve"> means a provision of the Code listed in the Table to Schedule 2 clause 2;</w:t>
      </w:r>
    </w:p>
    <w:p>
      <w:pPr>
        <w:pStyle w:val="Defstart"/>
      </w:pPr>
      <w:r>
        <w:rPr>
          <w:b/>
        </w:rPr>
        <w:tab/>
      </w:r>
      <w:r>
        <w:rPr>
          <w:rStyle w:val="CharDefText"/>
        </w:rPr>
        <w:t>regulatory provision</w:t>
      </w:r>
      <w:r>
        <w:t xml:space="preserve"> means a provision of the Code listed in the Table to Schedule 2 clause 1.</w:t>
      </w:r>
    </w:p>
    <w:p>
      <w:pPr>
        <w:pStyle w:val="Heading5"/>
      </w:pPr>
      <w:bookmarkStart w:id="9" w:name="_Toc378231683"/>
      <w:bookmarkStart w:id="10" w:name="_Toc473899922"/>
      <w:r>
        <w:rPr>
          <w:rStyle w:val="CharSectno"/>
        </w:rPr>
        <w:t>4</w:t>
      </w:r>
      <w:r>
        <w:t>.</w:t>
      </w:r>
      <w:r>
        <w:tab/>
        <w:t>Civil penalty provisions and civil penalties</w:t>
      </w:r>
      <w:bookmarkEnd w:id="9"/>
      <w:bookmarkEnd w:id="10"/>
    </w:p>
    <w:p>
      <w:pPr>
        <w:pStyle w:val="Subsection"/>
      </w:pPr>
      <w:r>
        <w:tab/>
        <w:t>(1)</w:t>
      </w:r>
      <w:r>
        <w:tab/>
        <w:t xml:space="preserve">The provisions of the Code specified in the Table to Schedule 1 are </w:t>
      </w:r>
      <w:r>
        <w:rPr>
          <w:rStyle w:val="CharDefText"/>
        </w:rPr>
        <w:t>civil penalty provisions</w:t>
      </w:r>
      <w:r>
        <w:t xml:space="preserve"> for the purposes of these regulations.</w:t>
      </w:r>
    </w:p>
    <w:p>
      <w:pPr>
        <w:pStyle w:val="Subsection"/>
      </w:pPr>
      <w:r>
        <w:tab/>
        <w:t>(2)</w:t>
      </w:r>
      <w:r>
        <w:tab/>
        <w:t>The maximum civil penalty amount (which may include a daily amount) that the Supreme Court may determine is payable by a person who contravenes a civil penalty provision is prescribed in the Table to Schedule 1.</w:t>
      </w:r>
    </w:p>
    <w:p>
      <w:pPr>
        <w:pStyle w:val="Heading5"/>
      </w:pPr>
      <w:bookmarkStart w:id="11" w:name="_Toc378231684"/>
      <w:bookmarkStart w:id="12" w:name="_Toc473899923"/>
      <w:r>
        <w:rPr>
          <w:rStyle w:val="CharSectno"/>
        </w:rPr>
        <w:t>5</w:t>
      </w:r>
      <w:r>
        <w:t>.</w:t>
      </w:r>
      <w:r>
        <w:tab/>
        <w:t>Civil penalties — contravention of civil penalty provisions</w:t>
      </w:r>
      <w:bookmarkEnd w:id="11"/>
      <w:bookmarkEnd w:id="12"/>
    </w:p>
    <w:p>
      <w:pPr>
        <w:pStyle w:val="Subsection"/>
      </w:pPr>
      <w:r>
        <w:tab/>
        <w:t>(1)</w:t>
      </w:r>
      <w:r>
        <w:tab/>
        <w:t>If, on application, the Supreme Court is satisfied that a person has contravened a civil penalty provision, the Court may determine that a civil penalty of an amount that does not exceed the maximum civil penalty amount prescribed for the contravention in the Table to Schedule 1 is payable by the person to the Authority.</w:t>
      </w:r>
    </w:p>
    <w:p>
      <w:pPr>
        <w:pStyle w:val="Subsection"/>
      </w:pPr>
      <w:r>
        <w:tab/>
        <w:t>(2)</w:t>
      </w:r>
      <w:r>
        <w:tab/>
        <w:t>An amount specified as a daily amount in the Table to Schedule 1 in respect of a contravention of a civil penalty provision applies, as part of the prescription of the maximum civil penalty amount, for each day or part of a day that the contravention continues after the day, specified in a warning notice given to the person, by or during which the contravention was to be rectified.</w:t>
      </w:r>
    </w:p>
    <w:p>
      <w:pPr>
        <w:pStyle w:val="Subsection"/>
      </w:pPr>
      <w:r>
        <w:tab/>
        <w:t>(3)</w:t>
      </w:r>
      <w:r>
        <w:tab/>
        <w:t xml:space="preserve">For the purposes of subregulation (2) — </w:t>
      </w:r>
    </w:p>
    <w:p>
      <w:pPr>
        <w:pStyle w:val="Indenta"/>
      </w:pPr>
      <w:r>
        <w:tab/>
        <w:t>(a)</w:t>
      </w:r>
      <w:r>
        <w:tab/>
        <w:t>if the contravention consists of a failure to do something required to be done, the contravention is to be regarded as continuing until the act is done, despite the fact that any period within which, or time before which, the act is required to be done has expired or passed; and</w:t>
      </w:r>
    </w:p>
    <w:p>
      <w:pPr>
        <w:pStyle w:val="Indenta"/>
      </w:pPr>
      <w:r>
        <w:tab/>
        <w:t>(b)</w:t>
      </w:r>
      <w:r>
        <w:tab/>
        <w:t>the warning notice is a notice, that complies with subregulation (7), given by the Authority to the person warning the person that the Authority believes that the person has contravened the civil penalty provision.</w:t>
      </w:r>
    </w:p>
    <w:p>
      <w:pPr>
        <w:pStyle w:val="Subsection"/>
      </w:pPr>
      <w:r>
        <w:tab/>
        <w:t>(4)</w:t>
      </w:r>
      <w:r>
        <w:tab/>
        <w:t xml:space="preserve">In determining the amount of any civil penalty, the Court must have regard to all relevant matters including — </w:t>
      </w:r>
    </w:p>
    <w:p>
      <w:pPr>
        <w:pStyle w:val="Indenta"/>
      </w:pPr>
      <w:r>
        <w:tab/>
        <w:t>(a)</w:t>
      </w:r>
      <w:r>
        <w:tab/>
        <w:t>the nature and extent of the act or omission constituting the contravention and of any loss or damage suffered as a result of the act or omission;</w:t>
      </w:r>
    </w:p>
    <w:p>
      <w:pPr>
        <w:pStyle w:val="Indenta"/>
      </w:pPr>
      <w:r>
        <w:tab/>
        <w:t>(b)</w:t>
      </w:r>
      <w:r>
        <w:tab/>
        <w:t>the circumstances in which the act or omission took place; and</w:t>
      </w:r>
    </w:p>
    <w:p>
      <w:pPr>
        <w:pStyle w:val="Indenta"/>
      </w:pPr>
      <w:r>
        <w:tab/>
        <w:t>(c)</w:t>
      </w:r>
      <w:r>
        <w:tab/>
        <w:t>whether the person has previously been found by the Court in proceedings under this Part to have contravened a civil penalty provision.</w:t>
      </w:r>
    </w:p>
    <w:p>
      <w:pPr>
        <w:pStyle w:val="Subsection"/>
      </w:pPr>
      <w:r>
        <w:tab/>
        <w:t>(5)</w:t>
      </w:r>
      <w:r>
        <w:tab/>
        <w:t>An application may be made by the Authority, and no one else.</w:t>
      </w:r>
    </w:p>
    <w:p>
      <w:pPr>
        <w:pStyle w:val="Subsection"/>
      </w:pPr>
      <w:r>
        <w:tab/>
        <w:t>(6)</w:t>
      </w:r>
      <w:r>
        <w:tab/>
        <w:t>The Authority cannot make an application in respect of a person unless it has already given a warning notice to the person.</w:t>
      </w:r>
    </w:p>
    <w:p>
      <w:pPr>
        <w:pStyle w:val="Subsection"/>
      </w:pPr>
      <w:r>
        <w:tab/>
        <w:t>(7)</w:t>
      </w:r>
      <w:r>
        <w:tab/>
        <w:t xml:space="preserve">A warning notice must — </w:t>
      </w:r>
    </w:p>
    <w:p>
      <w:pPr>
        <w:pStyle w:val="Indenta"/>
      </w:pPr>
      <w:r>
        <w:tab/>
        <w:t>(a)</w:t>
      </w:r>
      <w:r>
        <w:tab/>
        <w:t>identify the civil penalty provision that the Authority believes has been, or is being, contravened;</w:t>
      </w:r>
    </w:p>
    <w:p>
      <w:pPr>
        <w:pStyle w:val="Indenta"/>
      </w:pPr>
      <w:r>
        <w:tab/>
        <w:t>(b)</w:t>
      </w:r>
      <w:r>
        <w:tab/>
        <w:t>describe the conduct that comprises the alleged contravention;</w:t>
      </w:r>
    </w:p>
    <w:p>
      <w:pPr>
        <w:pStyle w:val="Indenta"/>
      </w:pPr>
      <w:r>
        <w:tab/>
        <w:t>(c)</w:t>
      </w:r>
      <w:r>
        <w:tab/>
        <w:t>request an explanation; and</w:t>
      </w:r>
    </w:p>
    <w:p>
      <w:pPr>
        <w:pStyle w:val="Indenta"/>
      </w:pPr>
      <w:r>
        <w:tab/>
        <w:t>(d)</w:t>
      </w:r>
      <w:r>
        <w:tab/>
        <w:t>request that the alleged contravention be rectified and specify a day or time by which it must be rectified.</w:t>
      </w:r>
    </w:p>
    <w:p>
      <w:pPr>
        <w:pStyle w:val="Heading5"/>
      </w:pPr>
      <w:bookmarkStart w:id="13" w:name="_Toc378231685"/>
      <w:bookmarkStart w:id="14" w:name="_Toc473899924"/>
      <w:r>
        <w:rPr>
          <w:rStyle w:val="CharSectno"/>
        </w:rPr>
        <w:t>6</w:t>
      </w:r>
      <w:r>
        <w:t>.</w:t>
      </w:r>
      <w:r>
        <w:tab/>
        <w:t>Injunctions — contravention of regulatory or conduct provisions</w:t>
      </w:r>
      <w:bookmarkEnd w:id="13"/>
      <w:bookmarkEnd w:id="14"/>
    </w:p>
    <w:p>
      <w:pPr>
        <w:pStyle w:val="Subsection"/>
      </w:pPr>
      <w:r>
        <w:tab/>
        <w:t>(1)</w:t>
      </w:r>
      <w:r>
        <w:tab/>
        <w:t>If, on application, the Supreme Court is satisfied that a person has engaged, or is proposing to engage, in conduct that constitutes or would constitute a contravention of a regulatory provision or a conduct provision the Court may grant an injunction in the terms it considers to be appropriate.</w:t>
      </w:r>
    </w:p>
    <w:p>
      <w:pPr>
        <w:pStyle w:val="Subsection"/>
      </w:pPr>
      <w:r>
        <w:tab/>
        <w:t>(2)</w:t>
      </w:r>
      <w:r>
        <w:tab/>
        <w:t xml:space="preserve">An application may be made — </w:t>
      </w:r>
    </w:p>
    <w:p>
      <w:pPr>
        <w:pStyle w:val="Indenta"/>
      </w:pPr>
      <w:r>
        <w:tab/>
        <w:t>(a)</w:t>
      </w:r>
      <w:r>
        <w:tab/>
        <w:t>in the case of a regulatory provision — by the Authority and no one else; or</w:t>
      </w:r>
    </w:p>
    <w:p>
      <w:pPr>
        <w:pStyle w:val="Indenta"/>
      </w:pPr>
      <w:r>
        <w:tab/>
        <w:t>(b)</w:t>
      </w:r>
      <w:r>
        <w:tab/>
        <w:t>in the case of a conduct provision — by any person.</w:t>
      </w:r>
    </w:p>
    <w:p>
      <w:pPr>
        <w:pStyle w:val="Subsection"/>
      </w:pPr>
      <w:r>
        <w:tab/>
        <w:t>(3)</w:t>
      </w:r>
      <w:r>
        <w:tab/>
        <w:t>The Court may grant an injunction by consent of all the parties to the proceedings, whether or not the Court is satisfied that a person has engaged, or is proposing to engage, in conduct of the kind mentioned in subregulation (1).</w:t>
      </w:r>
    </w:p>
    <w:p>
      <w:pPr>
        <w:pStyle w:val="Subsection"/>
      </w:pPr>
      <w:r>
        <w:tab/>
        <w:t>(4)</w:t>
      </w:r>
      <w:r>
        <w:tab/>
        <w:t>The Court may grant an interim injunction pending determination of an application under subregulation (1).</w:t>
      </w:r>
    </w:p>
    <w:p>
      <w:pPr>
        <w:pStyle w:val="Subsection"/>
      </w:pPr>
      <w:r>
        <w:tab/>
        <w:t>(5)</w:t>
      </w:r>
      <w:r>
        <w:tab/>
        <w:t>The Court may rescind or vary an injunction granted under subregulation (1), (3) or (4).</w:t>
      </w:r>
    </w:p>
    <w:p>
      <w:pPr>
        <w:pStyle w:val="Subsection"/>
      </w:pPr>
      <w:r>
        <w:tab/>
        <w:t>(6)</w:t>
      </w:r>
      <w:r>
        <w:tab/>
        <w:t xml:space="preserve">The power of the Court to grant an injunction restraining a person from engaging in conduct may be exercised — </w:t>
      </w:r>
    </w:p>
    <w:p>
      <w:pPr>
        <w:pStyle w:val="Indenta"/>
      </w:pPr>
      <w:r>
        <w:tab/>
        <w:t>(a)</w:t>
      </w:r>
      <w:r>
        <w:tab/>
        <w:t>whether or not it appears to the Court that the person intends to engage again, or to continue to engage, in conduct of that kind;</w:t>
      </w:r>
    </w:p>
    <w:p>
      <w:pPr>
        <w:pStyle w:val="Indenta"/>
      </w:pPr>
      <w:r>
        <w:tab/>
        <w:t>(b)</w:t>
      </w:r>
      <w:r>
        <w:tab/>
        <w:t>whether or not the person has previously engaged in conduct of that kind; and</w:t>
      </w:r>
    </w:p>
    <w:p>
      <w:pPr>
        <w:pStyle w:val="Indenta"/>
      </w:pPr>
      <w:r>
        <w:tab/>
        <w:t>(c)</w:t>
      </w:r>
      <w:r>
        <w:tab/>
        <w:t>whether or not there is an imminent danger of substantial damage to any other person if the person engages in conduct of that kind.</w:t>
      </w:r>
    </w:p>
    <w:p>
      <w:pPr>
        <w:pStyle w:val="Subsection"/>
      </w:pPr>
      <w:r>
        <w:tab/>
        <w:t>(7)</w:t>
      </w:r>
      <w:r>
        <w:tab/>
        <w:t>If the application for an injunction is made by the Authority, the Court must not require the Authority or any other person, as a condition of granting an interim injunction, to give any undertakings as to damages.</w:t>
      </w:r>
    </w:p>
    <w:p>
      <w:pPr>
        <w:pStyle w:val="Subsection"/>
      </w:pPr>
      <w:r>
        <w:tab/>
        <w:t>(8)</w:t>
      </w:r>
      <w:r>
        <w:tab/>
        <w:t>Nothing in this regulation affects any other power the Court may have to grant injunctive relief.</w:t>
      </w:r>
    </w:p>
    <w:p>
      <w:pPr>
        <w:pStyle w:val="Heading5"/>
      </w:pPr>
      <w:bookmarkStart w:id="15" w:name="_Toc378231686"/>
      <w:bookmarkStart w:id="16" w:name="_Toc473899925"/>
      <w:r>
        <w:rPr>
          <w:rStyle w:val="CharSectno"/>
        </w:rPr>
        <w:t>7</w:t>
      </w:r>
      <w:r>
        <w:t>.</w:t>
      </w:r>
      <w:r>
        <w:tab/>
        <w:t>Action for damages — contravention of conduct provisions</w:t>
      </w:r>
      <w:bookmarkEnd w:id="15"/>
      <w:bookmarkEnd w:id="16"/>
    </w:p>
    <w:p>
      <w:pPr>
        <w:pStyle w:val="Subsection"/>
      </w:pPr>
      <w:r>
        <w:tab/>
        <w:t>(1)</w:t>
      </w:r>
      <w:r>
        <w:tab/>
        <w:t>A person who suffers loss or damage because of conduct of another person that contravenes a conduct provision may recover the amount of the loss or damage by action in a court of competent jurisdiction against that other person.</w:t>
      </w:r>
    </w:p>
    <w:p>
      <w:pPr>
        <w:pStyle w:val="Subsection"/>
      </w:pPr>
      <w:r>
        <w:tab/>
        <w:t>(2)</w:t>
      </w:r>
      <w:r>
        <w:tab/>
        <w:t>An action under subregulation (1) may be commenced at any time within 3 years after the date on which the cause of action accrued and may not be commenced after that period.</w:t>
      </w:r>
    </w:p>
    <w:p>
      <w:pPr>
        <w:pStyle w:val="Heading5"/>
      </w:pPr>
      <w:bookmarkStart w:id="17" w:name="_Toc378231687"/>
      <w:bookmarkStart w:id="18" w:name="_Toc473899926"/>
      <w:r>
        <w:rPr>
          <w:rStyle w:val="CharSectno"/>
        </w:rPr>
        <w:t>8</w:t>
      </w:r>
      <w:r>
        <w:t>.</w:t>
      </w:r>
      <w:r>
        <w:tab/>
        <w:t>Other orders — contravention of regulatory or conduct provisions</w:t>
      </w:r>
      <w:bookmarkEnd w:id="17"/>
      <w:bookmarkEnd w:id="18"/>
    </w:p>
    <w:p>
      <w:pPr>
        <w:pStyle w:val="Subsection"/>
      </w:pPr>
      <w:r>
        <w:tab/>
        <w:t>(1)</w:t>
      </w:r>
      <w:r>
        <w:tab/>
        <w:t xml:space="preserve">If, on application, the Supreme Court determines that a person has contravened a regulatory provision or conduct provision, the Court may make one or both of the following orders — </w:t>
      </w:r>
    </w:p>
    <w:p>
      <w:pPr>
        <w:pStyle w:val="Indenta"/>
      </w:pPr>
      <w:r>
        <w:tab/>
        <w:t>(a)</w:t>
      </w:r>
      <w:r>
        <w:tab/>
        <w:t>an order that the person cease, within a specified period, the act, activity or practice constituting the contravention;</w:t>
      </w:r>
    </w:p>
    <w:p>
      <w:pPr>
        <w:pStyle w:val="Indenta"/>
      </w:pPr>
      <w:r>
        <w:tab/>
        <w:t>(b)</w:t>
      </w:r>
      <w:r>
        <w:tab/>
        <w:t>an order that the person take the action, or adopt the practice, that the Court requires for remedying the contravention or preventing a recurrence of the contravention.</w:t>
      </w:r>
    </w:p>
    <w:p>
      <w:pPr>
        <w:pStyle w:val="Subsection"/>
      </w:pPr>
      <w:r>
        <w:tab/>
        <w:t>(2)</w:t>
      </w:r>
      <w:r>
        <w:tab/>
        <w:t xml:space="preserve">An application may be made — </w:t>
      </w:r>
    </w:p>
    <w:p>
      <w:pPr>
        <w:pStyle w:val="Indenta"/>
      </w:pPr>
      <w:r>
        <w:tab/>
        <w:t>(a)</w:t>
      </w:r>
      <w:r>
        <w:tab/>
        <w:t>in the case of a regulatory provision — by the Authority and no one else; or</w:t>
      </w:r>
    </w:p>
    <w:p>
      <w:pPr>
        <w:pStyle w:val="Indenta"/>
      </w:pPr>
      <w:r>
        <w:tab/>
        <w:t>(b)</w:t>
      </w:r>
      <w:r>
        <w:tab/>
        <w:t>in the case of a conduct provision — by any person.</w:t>
      </w:r>
    </w:p>
    <w:p>
      <w:pPr>
        <w:pStyle w:val="Heading5"/>
      </w:pPr>
      <w:bookmarkStart w:id="19" w:name="_Toc378231688"/>
      <w:bookmarkStart w:id="20" w:name="_Toc473899927"/>
      <w:r>
        <w:rPr>
          <w:rStyle w:val="CharSectno"/>
        </w:rPr>
        <w:t>9</w:t>
      </w:r>
      <w:r>
        <w:t>.</w:t>
      </w:r>
      <w:r>
        <w:tab/>
        <w:t>No proceedings against the Minister or the Authority</w:t>
      </w:r>
      <w:bookmarkEnd w:id="19"/>
      <w:bookmarkEnd w:id="20"/>
    </w:p>
    <w:p>
      <w:pPr>
        <w:pStyle w:val="Subsection"/>
      </w:pPr>
      <w:r>
        <w:tab/>
      </w:r>
      <w:r>
        <w:tab/>
        <w:t>A proceeding under these regulations cannot be brought against the Minister or the Authority.</w:t>
      </w:r>
    </w:p>
    <w:p>
      <w:pPr>
        <w:pStyle w:val="Heading5"/>
      </w:pPr>
      <w:bookmarkStart w:id="21" w:name="_Toc378231689"/>
      <w:bookmarkStart w:id="22" w:name="_Toc473899928"/>
      <w:r>
        <w:rPr>
          <w:rStyle w:val="CharSectno"/>
        </w:rPr>
        <w:t>10</w:t>
      </w:r>
      <w:r>
        <w:t>.</w:t>
      </w:r>
      <w:r>
        <w:tab/>
        <w:t>Civil penalty to be credited to Consolidated Fund</w:t>
      </w:r>
      <w:bookmarkEnd w:id="21"/>
      <w:bookmarkEnd w:id="22"/>
    </w:p>
    <w:p>
      <w:pPr>
        <w:pStyle w:val="Subsection"/>
      </w:pPr>
      <w:r>
        <w:tab/>
      </w:r>
      <w:r>
        <w:tab/>
        <w:t>A civil penalty received by the Authority must be credited to the Consolidated Fund.</w:t>
      </w:r>
    </w:p>
    <w:p>
      <w:pPr>
        <w:sectPr>
          <w:headerReference w:type="even" r:id="rId21"/>
          <w:headerReference w:type="default" r:id="rId22"/>
          <w:headerReference w:type="first" r:id="rId23"/>
          <w:endnotePr>
            <w:numFmt w:val="decimal"/>
          </w:endnotePr>
          <w:pgSz w:w="11907" w:h="16840" w:code="9"/>
          <w:pgMar w:top="2376" w:right="2405" w:bottom="3542" w:left="2405" w:header="706" w:footer="3380" w:gutter="0"/>
          <w:pgNumType w:start="1"/>
          <w:cols w:space="720"/>
          <w:noEndnote/>
          <w:titlePg/>
          <w:docGrid w:linePitch="326"/>
        </w:sectPr>
      </w:pPr>
    </w:p>
    <w:p>
      <w:pPr>
        <w:pStyle w:val="yScheduleHeading"/>
      </w:pPr>
      <w:bookmarkStart w:id="23" w:name="_Toc473899533"/>
      <w:bookmarkStart w:id="24" w:name="_Toc473899771"/>
      <w:bookmarkStart w:id="25" w:name="_Toc473899810"/>
      <w:bookmarkStart w:id="26" w:name="_Toc473899912"/>
      <w:bookmarkStart w:id="27" w:name="_Toc473899929"/>
      <w:bookmarkStart w:id="28" w:name="_Toc378231694"/>
      <w:bookmarkStart w:id="29" w:name="_Toc416794699"/>
      <w:bookmarkStart w:id="30" w:name="_Toc416794715"/>
      <w:r>
        <w:rPr>
          <w:rStyle w:val="CharSchNo"/>
        </w:rPr>
        <w:t>Schedule 1</w:t>
      </w:r>
      <w:r>
        <w:rPr>
          <w:rStyle w:val="CharSDivNo"/>
        </w:rPr>
        <w:t> </w:t>
      </w:r>
      <w:r>
        <w:t>—</w:t>
      </w:r>
      <w:r>
        <w:rPr>
          <w:rStyle w:val="CharSDivText"/>
        </w:rPr>
        <w:t> </w:t>
      </w:r>
      <w:r>
        <w:rPr>
          <w:rStyle w:val="CharSchText"/>
        </w:rPr>
        <w:t>Civil penalty provisions and amounts</w:t>
      </w:r>
      <w:bookmarkEnd w:id="23"/>
      <w:bookmarkEnd w:id="24"/>
      <w:bookmarkEnd w:id="25"/>
      <w:bookmarkEnd w:id="26"/>
      <w:bookmarkEnd w:id="27"/>
    </w:p>
    <w:p>
      <w:pPr>
        <w:pStyle w:val="yShoulderClause"/>
      </w:pPr>
      <w:r>
        <w:t>[r. 4]</w:t>
      </w:r>
    </w:p>
    <w:p>
      <w:pPr>
        <w:pStyle w:val="yMiscellaneousHeading"/>
        <w:spacing w:after="120"/>
        <w:rPr>
          <w:b/>
        </w:rPr>
      </w:pPr>
      <w:r>
        <w:rPr>
          <w:b/>
        </w:rPr>
        <w:t>Table</w:t>
      </w:r>
    </w:p>
    <w:tbl>
      <w:tblPr>
        <w:tblW w:w="6379" w:type="dxa"/>
        <w:tblInd w:w="675" w:type="dxa"/>
        <w:tblLayout w:type="fixed"/>
        <w:tblLook w:val="0000" w:firstRow="0" w:lastRow="0" w:firstColumn="0" w:lastColumn="0" w:noHBand="0" w:noVBand="0"/>
      </w:tblPr>
      <w:tblGrid>
        <w:gridCol w:w="2268"/>
        <w:gridCol w:w="4111"/>
      </w:tblGrid>
      <w:tr>
        <w:trPr>
          <w:tblHeader/>
        </w:trPr>
        <w:tc>
          <w:tcPr>
            <w:tcW w:w="2268" w:type="dxa"/>
            <w:tcBorders>
              <w:top w:val="single" w:sz="4" w:space="0" w:color="auto"/>
              <w:bottom w:val="single" w:sz="4" w:space="0" w:color="auto"/>
            </w:tcBorders>
          </w:tcPr>
          <w:p>
            <w:pPr>
              <w:pStyle w:val="yTable"/>
              <w:jc w:val="center"/>
              <w:rPr>
                <w:b/>
              </w:rPr>
            </w:pPr>
            <w:r>
              <w:rPr>
                <w:b/>
              </w:rPr>
              <w:t>Civil penalty provisions</w:t>
            </w:r>
          </w:p>
        </w:tc>
        <w:tc>
          <w:tcPr>
            <w:tcW w:w="4111" w:type="dxa"/>
            <w:tcBorders>
              <w:top w:val="single" w:sz="4" w:space="0" w:color="auto"/>
              <w:bottom w:val="single" w:sz="4" w:space="0" w:color="auto"/>
            </w:tcBorders>
          </w:tcPr>
          <w:p>
            <w:pPr>
              <w:pStyle w:val="yTable"/>
              <w:jc w:val="center"/>
              <w:rPr>
                <w:rFonts w:ascii="Times" w:hAnsi="Times"/>
                <w:b/>
              </w:rPr>
            </w:pPr>
            <w:r>
              <w:rPr>
                <w:rFonts w:ascii="Times" w:hAnsi="Times"/>
                <w:b/>
              </w:rPr>
              <w:t>Maximum civil penalty amounts</w:t>
            </w:r>
          </w:p>
        </w:tc>
      </w:tr>
      <w:tr>
        <w:tc>
          <w:tcPr>
            <w:tcW w:w="2268" w:type="dxa"/>
          </w:tcPr>
          <w:p>
            <w:pPr>
              <w:pStyle w:val="yTable"/>
            </w:pPr>
            <w:r>
              <w:t>s. 3.36(a)</w:t>
            </w:r>
          </w:p>
        </w:tc>
        <w:tc>
          <w:tcPr>
            <w:tcW w:w="4111" w:type="dxa"/>
          </w:tcPr>
          <w:p>
            <w:pPr>
              <w:pStyle w:val="yTable"/>
            </w:pPr>
            <w:r>
              <w:t>$50 000</w:t>
            </w:r>
          </w:p>
        </w:tc>
      </w:tr>
      <w:tr>
        <w:tc>
          <w:tcPr>
            <w:tcW w:w="2268" w:type="dxa"/>
          </w:tcPr>
          <w:p>
            <w:pPr>
              <w:pStyle w:val="yTable"/>
            </w:pPr>
            <w:r>
              <w:t>s. 3.36(b)</w:t>
            </w:r>
          </w:p>
        </w:tc>
        <w:tc>
          <w:tcPr>
            <w:tcW w:w="4111" w:type="dxa"/>
          </w:tcPr>
          <w:p>
            <w:pPr>
              <w:pStyle w:val="yTable"/>
            </w:pPr>
            <w:r>
              <w:t>$50 000 plus a daily amount of $10 000</w:t>
            </w:r>
          </w:p>
        </w:tc>
      </w:tr>
      <w:tr>
        <w:tc>
          <w:tcPr>
            <w:tcW w:w="2268" w:type="dxa"/>
          </w:tcPr>
          <w:p>
            <w:pPr>
              <w:pStyle w:val="yTable"/>
            </w:pPr>
            <w:r>
              <w:t>s. 4.1</w:t>
            </w:r>
          </w:p>
        </w:tc>
        <w:tc>
          <w:tcPr>
            <w:tcW w:w="4111" w:type="dxa"/>
          </w:tcPr>
          <w:p>
            <w:pPr>
              <w:pStyle w:val="yTable"/>
            </w:pPr>
            <w:r>
              <w:t>$100 000 plus a daily amount of $20 000</w:t>
            </w:r>
          </w:p>
        </w:tc>
      </w:tr>
      <w:tr>
        <w:tc>
          <w:tcPr>
            <w:tcW w:w="2268" w:type="dxa"/>
          </w:tcPr>
          <w:p>
            <w:pPr>
              <w:pStyle w:val="yTable"/>
            </w:pPr>
            <w:r>
              <w:t>s. 4.4</w:t>
            </w:r>
          </w:p>
        </w:tc>
        <w:tc>
          <w:tcPr>
            <w:tcW w:w="4111" w:type="dxa"/>
          </w:tcPr>
          <w:p>
            <w:pPr>
              <w:pStyle w:val="yTable"/>
            </w:pPr>
            <w:r>
              <w:t>$50 000</w:t>
            </w:r>
          </w:p>
        </w:tc>
      </w:tr>
      <w:tr>
        <w:tc>
          <w:tcPr>
            <w:tcW w:w="2268" w:type="dxa"/>
          </w:tcPr>
          <w:p>
            <w:pPr>
              <w:pStyle w:val="yTable"/>
            </w:pPr>
            <w:r>
              <w:t>s. 4.8</w:t>
            </w:r>
          </w:p>
        </w:tc>
        <w:tc>
          <w:tcPr>
            <w:tcW w:w="4111" w:type="dxa"/>
          </w:tcPr>
          <w:p>
            <w:pPr>
              <w:pStyle w:val="yTable"/>
            </w:pPr>
            <w:r>
              <w:t>$100 000 plus a daily amount of $20 000</w:t>
            </w:r>
          </w:p>
        </w:tc>
      </w:tr>
      <w:tr>
        <w:tc>
          <w:tcPr>
            <w:tcW w:w="2268" w:type="dxa"/>
          </w:tcPr>
          <w:p>
            <w:pPr>
              <w:pStyle w:val="yTable"/>
            </w:pPr>
            <w:r>
              <w:t>s. 4.37(c)</w:t>
            </w:r>
          </w:p>
        </w:tc>
        <w:tc>
          <w:tcPr>
            <w:tcW w:w="4111" w:type="dxa"/>
          </w:tcPr>
          <w:p>
            <w:pPr>
              <w:pStyle w:val="yTable"/>
            </w:pPr>
            <w:r>
              <w:t>$100 000</w:t>
            </w:r>
          </w:p>
        </w:tc>
      </w:tr>
      <w:tr>
        <w:tc>
          <w:tcPr>
            <w:tcW w:w="2268" w:type="dxa"/>
          </w:tcPr>
          <w:p>
            <w:pPr>
              <w:pStyle w:val="yTable"/>
            </w:pPr>
            <w:r>
              <w:t>s. 4.37(d)</w:t>
            </w:r>
          </w:p>
        </w:tc>
        <w:tc>
          <w:tcPr>
            <w:tcW w:w="4111" w:type="dxa"/>
          </w:tcPr>
          <w:p>
            <w:pPr>
              <w:pStyle w:val="yTable"/>
            </w:pPr>
            <w:r>
              <w:t>$100 000 plus a daily amount of $20 000</w:t>
            </w:r>
          </w:p>
        </w:tc>
      </w:tr>
      <w:tr>
        <w:tc>
          <w:tcPr>
            <w:tcW w:w="2268" w:type="dxa"/>
          </w:tcPr>
          <w:p>
            <w:pPr>
              <w:pStyle w:val="yTable"/>
            </w:pPr>
            <w:r>
              <w:t>s. 4.48</w:t>
            </w:r>
          </w:p>
        </w:tc>
        <w:tc>
          <w:tcPr>
            <w:tcW w:w="4111" w:type="dxa"/>
          </w:tcPr>
          <w:p>
            <w:pPr>
              <w:pStyle w:val="yTable"/>
            </w:pPr>
            <w:r>
              <w:t>$100 000 plus a daily amount of $20 000</w:t>
            </w:r>
          </w:p>
        </w:tc>
      </w:tr>
      <w:tr>
        <w:tc>
          <w:tcPr>
            <w:tcW w:w="2268" w:type="dxa"/>
          </w:tcPr>
          <w:p>
            <w:pPr>
              <w:pStyle w:val="yTable"/>
            </w:pPr>
            <w:r>
              <w:t>s. 8.1</w:t>
            </w:r>
          </w:p>
        </w:tc>
        <w:tc>
          <w:tcPr>
            <w:tcW w:w="4111" w:type="dxa"/>
          </w:tcPr>
          <w:p>
            <w:pPr>
              <w:pStyle w:val="yTable"/>
            </w:pPr>
            <w:r>
              <w:t>$50 000 plus a daily amount of $10 000</w:t>
            </w:r>
          </w:p>
        </w:tc>
      </w:tr>
      <w:tr>
        <w:tc>
          <w:tcPr>
            <w:tcW w:w="2268" w:type="dxa"/>
          </w:tcPr>
          <w:p>
            <w:pPr>
              <w:pStyle w:val="yTable"/>
            </w:pPr>
            <w:r>
              <w:t>s. 8.7</w:t>
            </w:r>
          </w:p>
        </w:tc>
        <w:tc>
          <w:tcPr>
            <w:tcW w:w="4111" w:type="dxa"/>
          </w:tcPr>
          <w:p>
            <w:pPr>
              <w:pStyle w:val="yTable"/>
            </w:pPr>
            <w:r>
              <w:t>$20 000 plus a daily amount of $4 000</w:t>
            </w:r>
          </w:p>
        </w:tc>
      </w:tr>
      <w:tr>
        <w:tc>
          <w:tcPr>
            <w:tcW w:w="2268" w:type="dxa"/>
          </w:tcPr>
          <w:p>
            <w:pPr>
              <w:pStyle w:val="yTable"/>
            </w:pPr>
            <w:r>
              <w:t>s. 9.2</w:t>
            </w:r>
          </w:p>
        </w:tc>
        <w:tc>
          <w:tcPr>
            <w:tcW w:w="4111" w:type="dxa"/>
          </w:tcPr>
          <w:p>
            <w:pPr>
              <w:pStyle w:val="yTable"/>
            </w:pPr>
            <w:r>
              <w:t>$100 000</w:t>
            </w:r>
          </w:p>
        </w:tc>
      </w:tr>
      <w:tr>
        <w:tc>
          <w:tcPr>
            <w:tcW w:w="2268" w:type="dxa"/>
          </w:tcPr>
          <w:p>
            <w:pPr>
              <w:pStyle w:val="yTable"/>
            </w:pPr>
            <w:r>
              <w:t>s. 10.34</w:t>
            </w:r>
          </w:p>
        </w:tc>
        <w:tc>
          <w:tcPr>
            <w:tcW w:w="4111" w:type="dxa"/>
          </w:tcPr>
          <w:p>
            <w:pPr>
              <w:pStyle w:val="yTable"/>
            </w:pPr>
            <w:r>
              <w:t>$100 000</w:t>
            </w:r>
          </w:p>
        </w:tc>
      </w:tr>
      <w:tr>
        <w:tc>
          <w:tcPr>
            <w:tcW w:w="2268" w:type="dxa"/>
          </w:tcPr>
          <w:p>
            <w:pPr>
              <w:pStyle w:val="yTable"/>
            </w:pPr>
            <w:r>
              <w:t>s. 10.41</w:t>
            </w:r>
          </w:p>
        </w:tc>
        <w:tc>
          <w:tcPr>
            <w:tcW w:w="4111" w:type="dxa"/>
          </w:tcPr>
          <w:p>
            <w:pPr>
              <w:pStyle w:val="yTable"/>
            </w:pPr>
            <w:r>
              <w:t>$100 000</w:t>
            </w:r>
          </w:p>
        </w:tc>
      </w:tr>
      <w:tr>
        <w:tc>
          <w:tcPr>
            <w:tcW w:w="2268" w:type="dxa"/>
          </w:tcPr>
          <w:p>
            <w:pPr>
              <w:pStyle w:val="yTable"/>
            </w:pPr>
            <w:r>
              <w:t>s. 11.3</w:t>
            </w:r>
          </w:p>
        </w:tc>
        <w:tc>
          <w:tcPr>
            <w:tcW w:w="4111" w:type="dxa"/>
          </w:tcPr>
          <w:p>
            <w:pPr>
              <w:pStyle w:val="yTable"/>
            </w:pPr>
            <w:r>
              <w:t>$50 000 plus a daily amount of $10 000</w:t>
            </w:r>
          </w:p>
        </w:tc>
      </w:tr>
      <w:tr>
        <w:tc>
          <w:tcPr>
            <w:tcW w:w="2268" w:type="dxa"/>
          </w:tcPr>
          <w:p>
            <w:pPr>
              <w:pStyle w:val="yTable"/>
            </w:pPr>
            <w:r>
              <w:t>s. 12.7</w:t>
            </w:r>
          </w:p>
        </w:tc>
        <w:tc>
          <w:tcPr>
            <w:tcW w:w="4111" w:type="dxa"/>
          </w:tcPr>
          <w:p>
            <w:pPr>
              <w:pStyle w:val="yTable"/>
            </w:pPr>
            <w:r>
              <w:t>$100 000 plus a daily amount of $20 000</w:t>
            </w:r>
          </w:p>
        </w:tc>
      </w:tr>
      <w:tr>
        <w:tc>
          <w:tcPr>
            <w:tcW w:w="2268" w:type="dxa"/>
          </w:tcPr>
          <w:p>
            <w:pPr>
              <w:pStyle w:val="yTable"/>
            </w:pPr>
            <w:r>
              <w:t>s. 12.10</w:t>
            </w:r>
          </w:p>
        </w:tc>
        <w:tc>
          <w:tcPr>
            <w:tcW w:w="4111" w:type="dxa"/>
          </w:tcPr>
          <w:p>
            <w:pPr>
              <w:pStyle w:val="yTable"/>
            </w:pPr>
            <w:r>
              <w:t>$100 000 plus a daily amount of $20 000</w:t>
            </w:r>
          </w:p>
        </w:tc>
      </w:tr>
      <w:tr>
        <w:tc>
          <w:tcPr>
            <w:tcW w:w="2268" w:type="dxa"/>
          </w:tcPr>
          <w:p>
            <w:pPr>
              <w:pStyle w:val="yTable"/>
            </w:pPr>
            <w:r>
              <w:t>s. 12.38</w:t>
            </w:r>
          </w:p>
        </w:tc>
        <w:tc>
          <w:tcPr>
            <w:tcW w:w="4111" w:type="dxa"/>
          </w:tcPr>
          <w:p>
            <w:pPr>
              <w:pStyle w:val="yTable"/>
            </w:pPr>
            <w:r>
              <w:t>$20 000</w:t>
            </w:r>
          </w:p>
        </w:tc>
      </w:tr>
      <w:tr>
        <w:tc>
          <w:tcPr>
            <w:tcW w:w="2268" w:type="dxa"/>
          </w:tcPr>
          <w:p>
            <w:pPr>
              <w:pStyle w:val="yTable"/>
            </w:pPr>
            <w:r>
              <w:t>s. 13.1(b)</w:t>
            </w:r>
          </w:p>
        </w:tc>
        <w:tc>
          <w:tcPr>
            <w:tcW w:w="4111" w:type="dxa"/>
          </w:tcPr>
          <w:p>
            <w:pPr>
              <w:pStyle w:val="yTable"/>
            </w:pPr>
            <w:r>
              <w:t>$100 000 plus a daily amount of $20 000</w:t>
            </w:r>
          </w:p>
        </w:tc>
      </w:tr>
      <w:tr>
        <w:tc>
          <w:tcPr>
            <w:tcW w:w="2268" w:type="dxa"/>
          </w:tcPr>
          <w:p>
            <w:pPr>
              <w:pStyle w:val="yTable"/>
            </w:pPr>
            <w:r>
              <w:t>s. 13.6</w:t>
            </w:r>
          </w:p>
        </w:tc>
        <w:tc>
          <w:tcPr>
            <w:tcW w:w="4111" w:type="dxa"/>
          </w:tcPr>
          <w:p>
            <w:pPr>
              <w:pStyle w:val="yTable"/>
            </w:pPr>
            <w:r>
              <w:t>$50 000 plus a daily amount of $10 000</w:t>
            </w:r>
          </w:p>
        </w:tc>
      </w:tr>
      <w:tr>
        <w:tc>
          <w:tcPr>
            <w:tcW w:w="2268" w:type="dxa"/>
          </w:tcPr>
          <w:p>
            <w:pPr>
              <w:pStyle w:val="yTable"/>
            </w:pPr>
            <w:r>
              <w:t>s. 13.7</w:t>
            </w:r>
          </w:p>
        </w:tc>
        <w:tc>
          <w:tcPr>
            <w:tcW w:w="4111" w:type="dxa"/>
          </w:tcPr>
          <w:p>
            <w:pPr>
              <w:pStyle w:val="yTable"/>
            </w:pPr>
            <w:r>
              <w:t>$50 000 plus a daily amount of $10 000</w:t>
            </w:r>
          </w:p>
        </w:tc>
      </w:tr>
      <w:tr>
        <w:tc>
          <w:tcPr>
            <w:tcW w:w="2268" w:type="dxa"/>
          </w:tcPr>
          <w:p>
            <w:pPr>
              <w:pStyle w:val="yTable"/>
            </w:pPr>
            <w:r>
              <w:t>s. 13.42</w:t>
            </w:r>
          </w:p>
        </w:tc>
        <w:tc>
          <w:tcPr>
            <w:tcW w:w="4111" w:type="dxa"/>
          </w:tcPr>
          <w:p>
            <w:pPr>
              <w:pStyle w:val="yTable"/>
            </w:pPr>
            <w:r>
              <w:t>$50 000</w:t>
            </w:r>
          </w:p>
        </w:tc>
      </w:tr>
      <w:tr>
        <w:tc>
          <w:tcPr>
            <w:tcW w:w="2268" w:type="dxa"/>
          </w:tcPr>
          <w:p>
            <w:pPr>
              <w:pStyle w:val="yTable"/>
            </w:pPr>
            <w:r>
              <w:t>s. 13.45</w:t>
            </w:r>
          </w:p>
        </w:tc>
        <w:tc>
          <w:tcPr>
            <w:tcW w:w="4111" w:type="dxa"/>
          </w:tcPr>
          <w:p>
            <w:pPr>
              <w:pStyle w:val="yTable"/>
            </w:pPr>
            <w:r>
              <w:t>$50 000 plus a daily amount of $10 000</w:t>
            </w:r>
          </w:p>
        </w:tc>
      </w:tr>
      <w:tr>
        <w:tc>
          <w:tcPr>
            <w:tcW w:w="2268" w:type="dxa"/>
          </w:tcPr>
          <w:p>
            <w:pPr>
              <w:pStyle w:val="yTable"/>
            </w:pPr>
            <w:r>
              <w:t>s. 14.2</w:t>
            </w:r>
          </w:p>
        </w:tc>
        <w:tc>
          <w:tcPr>
            <w:tcW w:w="4111" w:type="dxa"/>
          </w:tcPr>
          <w:p>
            <w:pPr>
              <w:pStyle w:val="yTable"/>
            </w:pPr>
            <w:r>
              <w:t>$50 000</w:t>
            </w:r>
          </w:p>
        </w:tc>
      </w:tr>
      <w:tr>
        <w:tc>
          <w:tcPr>
            <w:tcW w:w="2268" w:type="dxa"/>
          </w:tcPr>
          <w:p>
            <w:pPr>
              <w:pStyle w:val="yTable"/>
            </w:pPr>
            <w:r>
              <w:t>s. 14.4</w:t>
            </w:r>
          </w:p>
        </w:tc>
        <w:tc>
          <w:tcPr>
            <w:tcW w:w="4111" w:type="dxa"/>
          </w:tcPr>
          <w:p>
            <w:pPr>
              <w:pStyle w:val="yTable"/>
            </w:pPr>
            <w:r>
              <w:t>$50 000 plus a daily amount of $10 000</w:t>
            </w:r>
          </w:p>
        </w:tc>
      </w:tr>
      <w:tr>
        <w:tc>
          <w:tcPr>
            <w:tcW w:w="2268" w:type="dxa"/>
          </w:tcPr>
          <w:p>
            <w:pPr>
              <w:pStyle w:val="yTable"/>
            </w:pPr>
            <w:r>
              <w:t>s. 14.14</w:t>
            </w:r>
          </w:p>
        </w:tc>
        <w:tc>
          <w:tcPr>
            <w:tcW w:w="4111" w:type="dxa"/>
          </w:tcPr>
          <w:p>
            <w:pPr>
              <w:pStyle w:val="yTable"/>
            </w:pPr>
            <w:r>
              <w:t>$100 000</w:t>
            </w:r>
          </w:p>
        </w:tc>
      </w:tr>
      <w:tr>
        <w:tc>
          <w:tcPr>
            <w:tcW w:w="2268" w:type="dxa"/>
          </w:tcPr>
          <w:p>
            <w:pPr>
              <w:pStyle w:val="yTable"/>
            </w:pPr>
            <w:r>
              <w:t>cl. A5.24</w:t>
            </w:r>
          </w:p>
        </w:tc>
        <w:tc>
          <w:tcPr>
            <w:tcW w:w="4111" w:type="dxa"/>
          </w:tcPr>
          <w:p>
            <w:pPr>
              <w:pStyle w:val="yTable"/>
            </w:pPr>
            <w:r>
              <w:t>$50 000</w:t>
            </w:r>
          </w:p>
        </w:tc>
      </w:tr>
      <w:tr>
        <w:tc>
          <w:tcPr>
            <w:tcW w:w="2268" w:type="dxa"/>
          </w:tcPr>
          <w:p>
            <w:pPr>
              <w:pStyle w:val="yTable"/>
            </w:pPr>
            <w:r>
              <w:t>cl. A5.26</w:t>
            </w:r>
          </w:p>
        </w:tc>
        <w:tc>
          <w:tcPr>
            <w:tcW w:w="4111" w:type="dxa"/>
          </w:tcPr>
          <w:p>
            <w:pPr>
              <w:pStyle w:val="yTable"/>
            </w:pPr>
            <w:r>
              <w:t>$50 000</w:t>
            </w:r>
          </w:p>
        </w:tc>
      </w:tr>
      <w:tr>
        <w:tc>
          <w:tcPr>
            <w:tcW w:w="2268" w:type="dxa"/>
          </w:tcPr>
          <w:p>
            <w:pPr>
              <w:pStyle w:val="yTable"/>
            </w:pPr>
            <w:r>
              <w:t>cl. A5.30</w:t>
            </w:r>
          </w:p>
        </w:tc>
        <w:tc>
          <w:tcPr>
            <w:tcW w:w="4111" w:type="dxa"/>
          </w:tcPr>
          <w:p>
            <w:pPr>
              <w:pStyle w:val="yTable"/>
            </w:pPr>
            <w:r>
              <w:t>$50 000</w:t>
            </w:r>
          </w:p>
        </w:tc>
      </w:tr>
      <w:tr>
        <w:tc>
          <w:tcPr>
            <w:tcW w:w="2268" w:type="dxa"/>
          </w:tcPr>
          <w:p>
            <w:pPr>
              <w:pStyle w:val="yTable"/>
            </w:pPr>
            <w:r>
              <w:t>cl. A5.31</w:t>
            </w:r>
          </w:p>
        </w:tc>
        <w:tc>
          <w:tcPr>
            <w:tcW w:w="4111" w:type="dxa"/>
          </w:tcPr>
          <w:p>
            <w:pPr>
              <w:pStyle w:val="yTable"/>
            </w:pPr>
            <w:r>
              <w:t>$50 000</w:t>
            </w:r>
          </w:p>
        </w:tc>
      </w:tr>
      <w:tr>
        <w:tc>
          <w:tcPr>
            <w:tcW w:w="2268" w:type="dxa"/>
            <w:tcBorders>
              <w:bottom w:val="single" w:sz="4" w:space="0" w:color="auto"/>
            </w:tcBorders>
          </w:tcPr>
          <w:p>
            <w:pPr>
              <w:pStyle w:val="yTable"/>
            </w:pPr>
            <w:r>
              <w:t>cl. A5.35</w:t>
            </w:r>
          </w:p>
        </w:tc>
        <w:tc>
          <w:tcPr>
            <w:tcW w:w="4111" w:type="dxa"/>
            <w:tcBorders>
              <w:bottom w:val="single" w:sz="4" w:space="0" w:color="auto"/>
            </w:tcBorders>
          </w:tcPr>
          <w:p>
            <w:pPr>
              <w:pStyle w:val="yTable"/>
            </w:pPr>
            <w:r>
              <w:t>$50 000</w:t>
            </w:r>
          </w:p>
        </w:tc>
      </w:tr>
    </w:tbl>
    <w:p>
      <w:pPr>
        <w:sectPr>
          <w:headerReference w:type="even" r:id="rId24"/>
          <w:headerReference w:type="default" r:id="rId25"/>
          <w:pgSz w:w="11907" w:h="16840" w:code="9"/>
          <w:pgMar w:top="2381" w:right="2410" w:bottom="3544" w:left="2410" w:header="720" w:footer="3544" w:gutter="0"/>
          <w:cols w:space="720"/>
        </w:sectPr>
      </w:pPr>
      <w:bookmarkStart w:id="32" w:name="_Toc473899534"/>
    </w:p>
    <w:p>
      <w:pPr>
        <w:pStyle w:val="yScheduleHeading"/>
      </w:pPr>
      <w:bookmarkStart w:id="33" w:name="_Toc473899772"/>
      <w:bookmarkStart w:id="34" w:name="_Toc473899811"/>
      <w:bookmarkStart w:id="35" w:name="_Toc473899913"/>
      <w:bookmarkStart w:id="36" w:name="_Toc473899930"/>
      <w:r>
        <w:rPr>
          <w:rStyle w:val="CharSchNo"/>
        </w:rPr>
        <w:t>Schedule 2</w:t>
      </w:r>
      <w:r>
        <w:rPr>
          <w:rStyle w:val="CharSDivNo"/>
        </w:rPr>
        <w:t> </w:t>
      </w:r>
      <w:r>
        <w:t>—</w:t>
      </w:r>
      <w:r>
        <w:rPr>
          <w:rStyle w:val="CharSDivText"/>
        </w:rPr>
        <w:t> </w:t>
      </w:r>
      <w:r>
        <w:rPr>
          <w:rStyle w:val="CharSchText"/>
        </w:rPr>
        <w:t>Regulatory and conduct provisions</w:t>
      </w:r>
      <w:bookmarkEnd w:id="32"/>
      <w:bookmarkEnd w:id="33"/>
      <w:bookmarkEnd w:id="34"/>
      <w:bookmarkEnd w:id="35"/>
      <w:bookmarkEnd w:id="36"/>
    </w:p>
    <w:p>
      <w:pPr>
        <w:pStyle w:val="yShoulderClause"/>
      </w:pPr>
      <w:r>
        <w:t>[r. 3]</w:t>
      </w:r>
    </w:p>
    <w:p>
      <w:pPr>
        <w:pStyle w:val="yHeading5"/>
      </w:pPr>
      <w:bookmarkStart w:id="37" w:name="_Toc473899931"/>
      <w:r>
        <w:rPr>
          <w:rStyle w:val="CharSClsNo"/>
        </w:rPr>
        <w:t>1</w:t>
      </w:r>
      <w:r>
        <w:t>.</w:t>
      </w:r>
      <w:r>
        <w:tab/>
        <w:t>Regulatory provisions</w:t>
      </w:r>
      <w:bookmarkEnd w:id="37"/>
    </w:p>
    <w:p>
      <w:pPr>
        <w:pStyle w:val="ySubsection"/>
      </w:pPr>
      <w:r>
        <w:tab/>
      </w:r>
      <w:r>
        <w:tab/>
        <w:t>The Table to this clause lists the provisions of the Code that are regulatory provisions for the purposes of these regulations.</w:t>
      </w:r>
    </w:p>
    <w:p>
      <w:pPr>
        <w:pStyle w:val="yMiscellaneousHeading"/>
        <w:rPr>
          <w:b/>
          <w:bCs/>
        </w:rPr>
      </w:pPr>
      <w:r>
        <w:rPr>
          <w:b/>
          <w:bCs/>
        </w:rPr>
        <w:t>Table</w:t>
      </w:r>
    </w:p>
    <w:tbl>
      <w:tblPr>
        <w:tblW w:w="0" w:type="auto"/>
        <w:tblInd w:w="1101" w:type="dxa"/>
        <w:tblLayout w:type="fixed"/>
        <w:tblLook w:val="0000" w:firstRow="0" w:lastRow="0" w:firstColumn="0" w:lastColumn="0" w:noHBand="0" w:noVBand="0"/>
      </w:tblPr>
      <w:tblGrid>
        <w:gridCol w:w="2976"/>
        <w:gridCol w:w="2977"/>
      </w:tblGrid>
      <w:tr>
        <w:tc>
          <w:tcPr>
            <w:tcW w:w="2976" w:type="dxa"/>
            <w:tcBorders>
              <w:top w:val="single" w:sz="4" w:space="0" w:color="auto"/>
            </w:tcBorders>
          </w:tcPr>
          <w:p>
            <w:pPr>
              <w:pStyle w:val="yTable"/>
            </w:pPr>
            <w:r>
              <w:t>s. 3.36(a) and (b)</w:t>
            </w:r>
          </w:p>
        </w:tc>
        <w:tc>
          <w:tcPr>
            <w:tcW w:w="2977" w:type="dxa"/>
            <w:tcBorders>
              <w:top w:val="single" w:sz="4" w:space="0" w:color="auto"/>
            </w:tcBorders>
          </w:tcPr>
          <w:p>
            <w:pPr>
              <w:pStyle w:val="yTable"/>
            </w:pPr>
            <w:r>
              <w:t>s. 12.38</w:t>
            </w:r>
          </w:p>
        </w:tc>
      </w:tr>
      <w:tr>
        <w:tc>
          <w:tcPr>
            <w:tcW w:w="2976" w:type="dxa"/>
          </w:tcPr>
          <w:p>
            <w:pPr>
              <w:pStyle w:val="yTable"/>
            </w:pPr>
            <w:r>
              <w:t>s. 4.1</w:t>
            </w:r>
          </w:p>
        </w:tc>
        <w:tc>
          <w:tcPr>
            <w:tcW w:w="2977" w:type="dxa"/>
          </w:tcPr>
          <w:p>
            <w:pPr>
              <w:pStyle w:val="yTable"/>
            </w:pPr>
            <w:r>
              <w:t>s. 13.6</w:t>
            </w:r>
          </w:p>
        </w:tc>
      </w:tr>
      <w:tr>
        <w:tc>
          <w:tcPr>
            <w:tcW w:w="2976" w:type="dxa"/>
          </w:tcPr>
          <w:p>
            <w:pPr>
              <w:pStyle w:val="yTable"/>
            </w:pPr>
            <w:r>
              <w:t>s. 4.4</w:t>
            </w:r>
          </w:p>
        </w:tc>
        <w:tc>
          <w:tcPr>
            <w:tcW w:w="2977" w:type="dxa"/>
          </w:tcPr>
          <w:p>
            <w:pPr>
              <w:pStyle w:val="yTable"/>
            </w:pPr>
            <w:r>
              <w:t>s. 13.7</w:t>
            </w:r>
          </w:p>
        </w:tc>
      </w:tr>
      <w:tr>
        <w:tc>
          <w:tcPr>
            <w:tcW w:w="2976" w:type="dxa"/>
          </w:tcPr>
          <w:p>
            <w:pPr>
              <w:pStyle w:val="yTable"/>
            </w:pPr>
            <w:r>
              <w:t>s. 4.8</w:t>
            </w:r>
          </w:p>
        </w:tc>
        <w:tc>
          <w:tcPr>
            <w:tcW w:w="2977" w:type="dxa"/>
          </w:tcPr>
          <w:p>
            <w:pPr>
              <w:pStyle w:val="yTable"/>
            </w:pPr>
            <w:r>
              <w:t>s. 13.37</w:t>
            </w:r>
          </w:p>
        </w:tc>
      </w:tr>
      <w:tr>
        <w:tc>
          <w:tcPr>
            <w:tcW w:w="2976" w:type="dxa"/>
          </w:tcPr>
          <w:p>
            <w:pPr>
              <w:pStyle w:val="yTable"/>
            </w:pPr>
            <w:r>
              <w:t>s. 4.37(c)</w:t>
            </w:r>
          </w:p>
        </w:tc>
        <w:tc>
          <w:tcPr>
            <w:tcW w:w="2977" w:type="dxa"/>
          </w:tcPr>
          <w:p>
            <w:pPr>
              <w:pStyle w:val="yTable"/>
            </w:pPr>
            <w:r>
              <w:t>s. 13.42</w:t>
            </w:r>
          </w:p>
        </w:tc>
      </w:tr>
      <w:tr>
        <w:tc>
          <w:tcPr>
            <w:tcW w:w="2976" w:type="dxa"/>
          </w:tcPr>
          <w:p>
            <w:pPr>
              <w:pStyle w:val="yTable"/>
            </w:pPr>
            <w:r>
              <w:t>s. 4.37(d)</w:t>
            </w:r>
          </w:p>
        </w:tc>
        <w:tc>
          <w:tcPr>
            <w:tcW w:w="2977" w:type="dxa"/>
          </w:tcPr>
          <w:p>
            <w:pPr>
              <w:pStyle w:val="yTable"/>
            </w:pPr>
            <w:r>
              <w:t>s. 13.45</w:t>
            </w:r>
          </w:p>
        </w:tc>
      </w:tr>
      <w:tr>
        <w:tc>
          <w:tcPr>
            <w:tcW w:w="2976" w:type="dxa"/>
          </w:tcPr>
          <w:p>
            <w:pPr>
              <w:pStyle w:val="yTable"/>
            </w:pPr>
            <w:r>
              <w:t>s. 4.48</w:t>
            </w:r>
          </w:p>
        </w:tc>
        <w:tc>
          <w:tcPr>
            <w:tcW w:w="2977" w:type="dxa"/>
          </w:tcPr>
          <w:p>
            <w:pPr>
              <w:pStyle w:val="yTable"/>
            </w:pPr>
            <w:r>
              <w:t>s. 14.2</w:t>
            </w:r>
          </w:p>
        </w:tc>
      </w:tr>
      <w:tr>
        <w:tc>
          <w:tcPr>
            <w:tcW w:w="2976" w:type="dxa"/>
          </w:tcPr>
          <w:p>
            <w:pPr>
              <w:pStyle w:val="yTable"/>
            </w:pPr>
            <w:r>
              <w:t>s. 8.1</w:t>
            </w:r>
          </w:p>
        </w:tc>
        <w:tc>
          <w:tcPr>
            <w:tcW w:w="2977" w:type="dxa"/>
          </w:tcPr>
          <w:p>
            <w:pPr>
              <w:pStyle w:val="yTable"/>
            </w:pPr>
            <w:r>
              <w:t>s. 14.3</w:t>
            </w:r>
          </w:p>
        </w:tc>
      </w:tr>
      <w:tr>
        <w:tc>
          <w:tcPr>
            <w:tcW w:w="2976" w:type="dxa"/>
          </w:tcPr>
          <w:p>
            <w:pPr>
              <w:pStyle w:val="yTable"/>
            </w:pPr>
            <w:r>
              <w:t>s. 8.7</w:t>
            </w:r>
          </w:p>
        </w:tc>
        <w:tc>
          <w:tcPr>
            <w:tcW w:w="2977" w:type="dxa"/>
          </w:tcPr>
          <w:p>
            <w:pPr>
              <w:pStyle w:val="yTable"/>
            </w:pPr>
            <w:r>
              <w:t>s. 14.4</w:t>
            </w:r>
          </w:p>
        </w:tc>
      </w:tr>
      <w:tr>
        <w:tc>
          <w:tcPr>
            <w:tcW w:w="2976" w:type="dxa"/>
          </w:tcPr>
          <w:p>
            <w:pPr>
              <w:pStyle w:val="yTable"/>
            </w:pPr>
            <w:r>
              <w:t>s. 9.2</w:t>
            </w:r>
          </w:p>
        </w:tc>
        <w:tc>
          <w:tcPr>
            <w:tcW w:w="2977" w:type="dxa"/>
          </w:tcPr>
          <w:p>
            <w:pPr>
              <w:pStyle w:val="yTable"/>
            </w:pPr>
            <w:r>
              <w:t>cl. A5.24</w:t>
            </w:r>
          </w:p>
        </w:tc>
      </w:tr>
      <w:tr>
        <w:tc>
          <w:tcPr>
            <w:tcW w:w="2976" w:type="dxa"/>
          </w:tcPr>
          <w:p>
            <w:pPr>
              <w:pStyle w:val="yTable"/>
            </w:pPr>
            <w:r>
              <w:t>s. 9.9</w:t>
            </w:r>
          </w:p>
        </w:tc>
        <w:tc>
          <w:tcPr>
            <w:tcW w:w="2977" w:type="dxa"/>
          </w:tcPr>
          <w:p>
            <w:pPr>
              <w:pStyle w:val="yTable"/>
            </w:pPr>
            <w:r>
              <w:t>cl. A5.26</w:t>
            </w:r>
          </w:p>
        </w:tc>
      </w:tr>
      <w:tr>
        <w:tc>
          <w:tcPr>
            <w:tcW w:w="2976" w:type="dxa"/>
          </w:tcPr>
          <w:p>
            <w:pPr>
              <w:pStyle w:val="yTable"/>
            </w:pPr>
            <w:r>
              <w:t>s. 10.41</w:t>
            </w:r>
          </w:p>
        </w:tc>
        <w:tc>
          <w:tcPr>
            <w:tcW w:w="2977" w:type="dxa"/>
          </w:tcPr>
          <w:p>
            <w:pPr>
              <w:pStyle w:val="yTable"/>
            </w:pPr>
            <w:r>
              <w:t>cl. A5.30</w:t>
            </w:r>
          </w:p>
        </w:tc>
      </w:tr>
      <w:tr>
        <w:tc>
          <w:tcPr>
            <w:tcW w:w="2976" w:type="dxa"/>
          </w:tcPr>
          <w:p>
            <w:pPr>
              <w:pStyle w:val="yTable"/>
            </w:pPr>
            <w:r>
              <w:t>s. 11.3</w:t>
            </w:r>
          </w:p>
        </w:tc>
        <w:tc>
          <w:tcPr>
            <w:tcW w:w="2977" w:type="dxa"/>
          </w:tcPr>
          <w:p>
            <w:pPr>
              <w:pStyle w:val="yTable"/>
            </w:pPr>
            <w:r>
              <w:t>cl. A5.31</w:t>
            </w:r>
          </w:p>
        </w:tc>
      </w:tr>
      <w:tr>
        <w:tc>
          <w:tcPr>
            <w:tcW w:w="2976" w:type="dxa"/>
          </w:tcPr>
          <w:p>
            <w:pPr>
              <w:pStyle w:val="yTable"/>
            </w:pPr>
            <w:r>
              <w:t>s. 12.7</w:t>
            </w:r>
          </w:p>
        </w:tc>
        <w:tc>
          <w:tcPr>
            <w:tcW w:w="2977" w:type="dxa"/>
          </w:tcPr>
          <w:p>
            <w:pPr>
              <w:pStyle w:val="yTable"/>
            </w:pPr>
            <w:r>
              <w:t>cl. A5.35</w:t>
            </w:r>
          </w:p>
        </w:tc>
      </w:tr>
      <w:tr>
        <w:tc>
          <w:tcPr>
            <w:tcW w:w="2976" w:type="dxa"/>
            <w:tcBorders>
              <w:bottom w:val="single" w:sz="4" w:space="0" w:color="auto"/>
            </w:tcBorders>
          </w:tcPr>
          <w:p>
            <w:pPr>
              <w:pStyle w:val="yTable"/>
            </w:pPr>
            <w:r>
              <w:t>s. 12.10</w:t>
            </w:r>
          </w:p>
        </w:tc>
        <w:tc>
          <w:tcPr>
            <w:tcW w:w="2977" w:type="dxa"/>
            <w:tcBorders>
              <w:bottom w:val="single" w:sz="4" w:space="0" w:color="auto"/>
            </w:tcBorders>
          </w:tcPr>
          <w:p>
            <w:pPr>
              <w:pStyle w:val="yTable"/>
            </w:pPr>
          </w:p>
        </w:tc>
      </w:tr>
    </w:tbl>
    <w:p>
      <w:pPr>
        <w:pStyle w:val="yHeading5"/>
      </w:pPr>
      <w:bookmarkStart w:id="38" w:name="_Toc473899932"/>
      <w:r>
        <w:rPr>
          <w:rStyle w:val="CharSClsNo"/>
        </w:rPr>
        <w:t>2</w:t>
      </w:r>
      <w:r>
        <w:t>.</w:t>
      </w:r>
      <w:r>
        <w:tab/>
        <w:t>Conduct provisions</w:t>
      </w:r>
      <w:bookmarkEnd w:id="38"/>
    </w:p>
    <w:p>
      <w:pPr>
        <w:pStyle w:val="ySubsection"/>
      </w:pPr>
      <w:r>
        <w:tab/>
      </w:r>
      <w:r>
        <w:tab/>
        <w:t>The Table to this clause lists the provisions of the Code that are conduct provisions for the purposes of these regulations.</w:t>
      </w:r>
    </w:p>
    <w:p>
      <w:pPr>
        <w:pStyle w:val="yMiscellaneousHeading"/>
        <w:rPr>
          <w:b/>
          <w:bCs/>
        </w:rPr>
      </w:pPr>
      <w:r>
        <w:rPr>
          <w:b/>
          <w:bCs/>
        </w:rPr>
        <w:t>Table</w:t>
      </w:r>
    </w:p>
    <w:tbl>
      <w:tblPr>
        <w:tblW w:w="0" w:type="auto"/>
        <w:tblInd w:w="1101" w:type="dxa"/>
        <w:tblLayout w:type="fixed"/>
        <w:tblLook w:val="0000" w:firstRow="0" w:lastRow="0" w:firstColumn="0" w:lastColumn="0" w:noHBand="0" w:noVBand="0"/>
      </w:tblPr>
      <w:tblGrid>
        <w:gridCol w:w="2976"/>
        <w:gridCol w:w="2977"/>
      </w:tblGrid>
      <w:tr>
        <w:tc>
          <w:tcPr>
            <w:tcW w:w="2976" w:type="dxa"/>
            <w:tcBorders>
              <w:top w:val="single" w:sz="4" w:space="0" w:color="auto"/>
            </w:tcBorders>
          </w:tcPr>
          <w:p>
            <w:pPr>
              <w:pStyle w:val="yTable"/>
            </w:pPr>
            <w:r>
              <w:t>s. 2.8(a)</w:t>
            </w:r>
          </w:p>
        </w:tc>
        <w:tc>
          <w:tcPr>
            <w:tcW w:w="2977" w:type="dxa"/>
            <w:tcBorders>
              <w:top w:val="single" w:sz="4" w:space="0" w:color="auto"/>
            </w:tcBorders>
          </w:tcPr>
          <w:p>
            <w:pPr>
              <w:pStyle w:val="yTable"/>
            </w:pPr>
            <w:r>
              <w:t>s. 12.59</w:t>
            </w:r>
          </w:p>
        </w:tc>
      </w:tr>
      <w:tr>
        <w:tc>
          <w:tcPr>
            <w:tcW w:w="2976" w:type="dxa"/>
          </w:tcPr>
          <w:p>
            <w:pPr>
              <w:pStyle w:val="yTable"/>
            </w:pPr>
            <w:r>
              <w:t>s. 2.9</w:t>
            </w:r>
          </w:p>
        </w:tc>
        <w:tc>
          <w:tcPr>
            <w:tcW w:w="2977" w:type="dxa"/>
          </w:tcPr>
          <w:p>
            <w:pPr>
              <w:pStyle w:val="yTable"/>
            </w:pPr>
            <w:r>
              <w:t>s. 13.1(b)</w:t>
            </w:r>
          </w:p>
        </w:tc>
      </w:tr>
      <w:tr>
        <w:tc>
          <w:tcPr>
            <w:tcW w:w="2976" w:type="dxa"/>
          </w:tcPr>
          <w:p>
            <w:pPr>
              <w:pStyle w:val="yTable"/>
            </w:pPr>
            <w:r>
              <w:t>s. 10.34</w:t>
            </w:r>
          </w:p>
        </w:tc>
        <w:tc>
          <w:tcPr>
            <w:tcW w:w="2977" w:type="dxa"/>
          </w:tcPr>
          <w:p>
            <w:pPr>
              <w:pStyle w:val="yTable"/>
            </w:pPr>
            <w:r>
              <w:t>s. 14.14</w:t>
            </w:r>
          </w:p>
        </w:tc>
      </w:tr>
      <w:tr>
        <w:tc>
          <w:tcPr>
            <w:tcW w:w="2976" w:type="dxa"/>
            <w:tcBorders>
              <w:bottom w:val="single" w:sz="4" w:space="0" w:color="auto"/>
            </w:tcBorders>
          </w:tcPr>
          <w:p>
            <w:pPr>
              <w:pStyle w:val="yTable"/>
            </w:pPr>
            <w:r>
              <w:t>s. 10.43</w:t>
            </w:r>
          </w:p>
        </w:tc>
        <w:tc>
          <w:tcPr>
            <w:tcW w:w="2977" w:type="dxa"/>
            <w:tcBorders>
              <w:bottom w:val="single" w:sz="4" w:space="0" w:color="auto"/>
            </w:tcBorders>
          </w:tcPr>
          <w:p>
            <w:pPr>
              <w:pStyle w:val="yTable"/>
            </w:pPr>
          </w:p>
        </w:tc>
      </w:tr>
    </w:tbl>
    <w:p>
      <w:pPr>
        <w:outlineLvl w:val="0"/>
        <w:sectPr>
          <w:headerReference w:type="even" r:id="rId26"/>
          <w:pgSz w:w="11907" w:h="16840" w:code="9"/>
          <w:pgMar w:top="2381" w:right="2410" w:bottom="3544" w:left="2410" w:header="720" w:footer="3544" w:gutter="0"/>
          <w:cols w:space="720"/>
        </w:sectPr>
      </w:pPr>
    </w:p>
    <w:p>
      <w:pPr>
        <w:pStyle w:val="nHeading2"/>
      </w:pPr>
      <w:bookmarkStart w:id="39" w:name="_Toc473899537"/>
      <w:bookmarkStart w:id="40" w:name="_Toc473899775"/>
      <w:bookmarkStart w:id="41" w:name="_Toc473899814"/>
      <w:bookmarkStart w:id="42" w:name="_Toc473899916"/>
      <w:bookmarkStart w:id="43" w:name="_Toc473899933"/>
      <w:r>
        <w:t>Notes</w:t>
      </w:r>
      <w:bookmarkEnd w:id="28"/>
      <w:bookmarkEnd w:id="29"/>
      <w:bookmarkEnd w:id="30"/>
      <w:bookmarkEnd w:id="39"/>
      <w:bookmarkEnd w:id="40"/>
      <w:bookmarkEnd w:id="41"/>
      <w:bookmarkEnd w:id="42"/>
      <w:bookmarkEnd w:id="43"/>
    </w:p>
    <w:p>
      <w:pPr>
        <w:pStyle w:val="nSubsection"/>
        <w:rPr>
          <w:snapToGrid w:val="0"/>
        </w:rPr>
      </w:pPr>
      <w:r>
        <w:rPr>
          <w:snapToGrid w:val="0"/>
          <w:vertAlign w:val="superscript"/>
        </w:rPr>
        <w:t>1</w:t>
      </w:r>
      <w:r>
        <w:rPr>
          <w:snapToGrid w:val="0"/>
        </w:rPr>
        <w:tab/>
        <w:t xml:space="preserve">This is a compilation of the </w:t>
      </w:r>
      <w:r>
        <w:rPr>
          <w:i/>
        </w:rPr>
        <w:t>Electricity Industry (Access Code Enforcement) Regulations 2005.</w:t>
      </w:r>
      <w:r>
        <w:t xml:space="preserve">  </w:t>
      </w:r>
      <w:r>
        <w:rPr>
          <w:snapToGrid w:val="0"/>
        </w:rPr>
        <w:t>The following table contains information about those regulations.</w:t>
      </w:r>
    </w:p>
    <w:p>
      <w:pPr>
        <w:pStyle w:val="nHeading3"/>
      </w:pPr>
      <w:bookmarkStart w:id="44" w:name="_Toc378231695"/>
      <w:bookmarkStart w:id="45" w:name="_Toc473899934"/>
      <w:r>
        <w:t>Compilation table</w:t>
      </w:r>
      <w:bookmarkEnd w:id="44"/>
      <w:bookmarkEnd w:id="45"/>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rPr>
            </w:pPr>
            <w:r>
              <w:rPr>
                <w:b/>
              </w:rPr>
              <w:t>Citation</w:t>
            </w:r>
          </w:p>
        </w:tc>
        <w:tc>
          <w:tcPr>
            <w:tcW w:w="1276" w:type="dxa"/>
            <w:tcBorders>
              <w:top w:val="single" w:sz="8" w:space="0" w:color="auto"/>
              <w:bottom w:val="single" w:sz="8" w:space="0" w:color="auto"/>
            </w:tcBorders>
          </w:tcPr>
          <w:p>
            <w:pPr>
              <w:pStyle w:val="nTable"/>
              <w:spacing w:after="40"/>
              <w:rPr>
                <w:b/>
              </w:rPr>
            </w:pPr>
            <w:r>
              <w:rPr>
                <w:b/>
              </w:rPr>
              <w:t>Gazettal</w:t>
            </w:r>
          </w:p>
        </w:tc>
        <w:tc>
          <w:tcPr>
            <w:tcW w:w="2693" w:type="dxa"/>
            <w:tcBorders>
              <w:top w:val="single" w:sz="8" w:space="0" w:color="auto"/>
              <w:bottom w:val="single" w:sz="8" w:space="0" w:color="auto"/>
            </w:tcBorders>
          </w:tcPr>
          <w:p>
            <w:pPr>
              <w:pStyle w:val="nTable"/>
              <w:spacing w:after="40"/>
              <w:rPr>
                <w:b/>
              </w:rPr>
            </w:pPr>
            <w:r>
              <w:rPr>
                <w:b/>
              </w:rPr>
              <w:t>Commencement</w:t>
            </w:r>
          </w:p>
        </w:tc>
      </w:tr>
      <w:tr>
        <w:tc>
          <w:tcPr>
            <w:tcW w:w="3118" w:type="dxa"/>
            <w:tcBorders>
              <w:top w:val="single" w:sz="8" w:space="0" w:color="auto"/>
              <w:bottom w:val="single" w:sz="8" w:space="0" w:color="auto"/>
            </w:tcBorders>
          </w:tcPr>
          <w:p>
            <w:pPr>
              <w:pStyle w:val="nTable"/>
              <w:spacing w:after="40"/>
            </w:pPr>
            <w:r>
              <w:rPr>
                <w:i/>
              </w:rPr>
              <w:t>Electricity Industry (Access Code Enforcement) Regulations 2005</w:t>
            </w:r>
          </w:p>
        </w:tc>
        <w:tc>
          <w:tcPr>
            <w:tcW w:w="1276" w:type="dxa"/>
            <w:tcBorders>
              <w:top w:val="single" w:sz="8" w:space="0" w:color="auto"/>
              <w:bottom w:val="single" w:sz="8" w:space="0" w:color="auto"/>
            </w:tcBorders>
          </w:tcPr>
          <w:p>
            <w:pPr>
              <w:pStyle w:val="nTable"/>
              <w:spacing w:after="40"/>
            </w:pPr>
            <w:r>
              <w:t>6 Sep 2005 p. 4139-50</w:t>
            </w:r>
          </w:p>
        </w:tc>
        <w:tc>
          <w:tcPr>
            <w:tcW w:w="2693" w:type="dxa"/>
            <w:tcBorders>
              <w:top w:val="single" w:sz="8" w:space="0" w:color="auto"/>
              <w:bottom w:val="single" w:sz="8" w:space="0" w:color="auto"/>
            </w:tcBorders>
          </w:tcPr>
          <w:p>
            <w:pPr>
              <w:pStyle w:val="nTable"/>
              <w:spacing w:after="40"/>
            </w:pPr>
            <w:r>
              <w:t>6 Sep 2005 (see r. 2)</w:t>
            </w:r>
          </w:p>
        </w:tc>
      </w:tr>
    </w:tbl>
    <w:p/>
    <w:p>
      <w:pPr>
        <w:sectPr>
          <w:headerReference w:type="even" r:id="rId27"/>
          <w:headerReference w:type="default" r:id="rId28"/>
          <w:headerReference w:type="first" r:id="rId29"/>
          <w:endnotePr>
            <w:numFmt w:val="decimal"/>
          </w:endnotePr>
          <w:pgSz w:w="11907" w:h="16840" w:code="9"/>
          <w:pgMar w:top="2376" w:right="2404" w:bottom="3544" w:left="2404" w:header="720" w:footer="3380" w:gutter="0"/>
          <w:cols w:space="720"/>
          <w:noEndnote/>
          <w:docGrid w:linePitch="326"/>
        </w:sectPr>
      </w:pPr>
    </w:p>
    <w:p>
      <w:pPr>
        <w:pStyle w:val="nHeading2"/>
        <w:rPr>
          <w:sz w:val="28"/>
        </w:rPr>
      </w:pPr>
      <w:bookmarkStart w:id="47" w:name="_Toc416794717"/>
      <w:bookmarkStart w:id="48" w:name="_Toc473899539"/>
      <w:bookmarkStart w:id="49" w:name="_Toc473899777"/>
      <w:bookmarkStart w:id="50" w:name="_Toc473899816"/>
      <w:bookmarkStart w:id="51" w:name="_Toc473899918"/>
      <w:bookmarkStart w:id="52" w:name="_Toc473899935"/>
      <w:r>
        <w:rPr>
          <w:sz w:val="28"/>
        </w:rPr>
        <w:t>Defined terms</w:t>
      </w:r>
      <w:bookmarkEnd w:id="47"/>
      <w:bookmarkEnd w:id="48"/>
      <w:bookmarkEnd w:id="49"/>
      <w:bookmarkEnd w:id="50"/>
      <w:bookmarkEnd w:id="51"/>
      <w:bookmarkEnd w:id="52"/>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civil penalty provision</w:t>
      </w:r>
      <w:r>
        <w:tab/>
        <w:t>3</w:t>
      </w:r>
    </w:p>
    <w:p>
      <w:pPr>
        <w:pStyle w:val="DefinedTerms"/>
      </w:pPr>
      <w:r>
        <w:t>civil penalty provisions</w:t>
      </w:r>
      <w:r>
        <w:tab/>
        <w:t>4(1)</w:t>
      </w:r>
    </w:p>
    <w:p>
      <w:pPr>
        <w:pStyle w:val="DefinedTerms"/>
      </w:pPr>
      <w:r>
        <w:t>Code</w:t>
      </w:r>
      <w:r>
        <w:tab/>
        <w:t>3</w:t>
      </w:r>
    </w:p>
    <w:p>
      <w:pPr>
        <w:pStyle w:val="DefinedTerms"/>
      </w:pPr>
      <w:r>
        <w:t>conduct provision</w:t>
      </w:r>
      <w:r>
        <w:tab/>
        <w:t>3</w:t>
      </w:r>
    </w:p>
    <w:p>
      <w:pPr>
        <w:pStyle w:val="DefinedTerms"/>
      </w:pPr>
      <w:r>
        <w:t>regulatory provision</w:t>
      </w:r>
      <w:r>
        <w:tab/>
        <w:t>3</w:t>
      </w:r>
    </w:p>
    <w:p>
      <w:pPr>
        <w:pStyle w:val="DefinedTerms"/>
        <w:sectPr>
          <w:headerReference w:type="even" r:id="rId30"/>
          <w:headerReference w:type="default" r:id="rId31"/>
          <w:pgSz w:w="11907" w:h="16840" w:code="9"/>
          <w:pgMar w:top="2381" w:right="2409" w:bottom="3543" w:left="2409" w:header="720" w:footer="3380" w:gutter="0"/>
          <w:cols w:space="720"/>
          <w:noEndnote/>
          <w:docGrid w:linePitch="326"/>
        </w:sectPr>
      </w:pPr>
    </w:p>
    <w:p/>
    <w:sectPr>
      <w:headerReference w:type="even" r:id="rId32"/>
      <w:headerReference w:type="default" r:id="rId33"/>
      <w:footerReference w:type="even" r:id="rId34"/>
      <w:footerReference w:type="default" r:id="rId35"/>
      <w:headerReference w:type="first" r:id="rId36"/>
      <w:footerReference w:type="first" r:id="rId37"/>
      <w:endnotePr>
        <w:numFmt w:val="decimal"/>
      </w:endnotePr>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00-a0-12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06 Sep 2005</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06 Sep 2005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00-a0-12</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06 Sep 2005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00-a0-12</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00-a0-12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06 Sep 2005</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06 Sep 2005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00-a0-12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9</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06 Sep 2005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00-a0-12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Electricity Industry (Access Code Enforcement) Regulations 2005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STYLEREF CharSDivNo</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jc w:val="right"/>
          </w:pPr>
          <w:r>
            <w:rPr>
              <w:b/>
              <w:i/>
            </w:rPr>
            <w:fldChar w:fldCharType="begin"/>
          </w:r>
          <w:r>
            <w:rPr>
              <w:b/>
              <w:i/>
            </w:rPr>
            <w:instrText xml:space="preserve"> STYLEREF "Name of Act/Reg" </w:instrText>
          </w:r>
          <w:r>
            <w:rPr>
              <w:b/>
              <w:i/>
            </w:rPr>
            <w:fldChar w:fldCharType="separate"/>
          </w:r>
          <w:r>
            <w:rPr>
              <w:b/>
              <w:i/>
            </w:rPr>
            <w:t>Electricity Industry (Access Code Enforcement) Regulations 2005</w:t>
          </w:r>
          <w:r>
            <w:rPr>
              <w:b/>
              <w:i/>
            </w:rPr>
            <w:fldChar w:fldCharType="end"/>
          </w:r>
        </w:p>
      </w:tc>
    </w:tr>
    <w:tr>
      <w:tc>
        <w:tcPr>
          <w:tcW w:w="5715" w:type="dxa"/>
        </w:tcPr>
        <w:p>
          <w:pPr>
            <w:pStyle w:val="Header"/>
            <w:spacing w:before="40"/>
            <w:jc w:val="right"/>
          </w:pPr>
          <w:r>
            <w:fldChar w:fldCharType="begin"/>
          </w:r>
          <w:r>
            <w:instrText xml:space="preserve"> styleref CharSchText </w:instrTex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r>
            <w:rPr>
              <w:b/>
            </w:rPr>
            <w:fldChar w:fldCharType="begin"/>
          </w:r>
          <w:r>
            <w:rPr>
              <w:b/>
            </w:rPr>
            <w:instrText>STYLEREF CharSDivNo</w:instrText>
          </w:r>
          <w:r>
            <w:rPr>
              <w:b/>
            </w:rPr>
            <w:fldChar w:fldCharType="end"/>
          </w:r>
        </w:p>
      </w:tc>
    </w:tr>
    <w:tr>
      <w:tc>
        <w:tcPr>
          <w:tcW w:w="7160" w:type="dxa"/>
          <w:gridSpan w:val="2"/>
        </w:tcPr>
        <w:p>
          <w:pPr>
            <w:pStyle w:val="Header"/>
            <w:spacing w:before="40"/>
            <w:ind w:right="17"/>
            <w:jc w:val="right"/>
          </w:pPr>
        </w:p>
      </w:tc>
    </w:tr>
  </w:tbl>
  <w:p>
    <w:pPr>
      <w:pStyle w:val="Header"/>
      <w:pBdr>
        <w:top w:val="single" w:sz="4" w:space="1" w:color="auto"/>
      </w:pBdr>
    </w:pPr>
    <w:bookmarkStart w:id="31" w:name="Schedule"/>
    <w:bookmarkEnd w:id="31"/>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Electricity Industry (Access Code Enforcement) Regulations 2005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1</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Civil penalty provisions and amounts</w:t>
          </w:r>
          <w:r>
            <w:fldChar w:fldCharType="end"/>
          </w:r>
        </w:p>
      </w:tc>
    </w:tr>
    <w:tr>
      <w:tc>
        <w:tcPr>
          <w:tcW w:w="1548" w:type="dxa"/>
        </w:tcPr>
        <w:p>
          <w:pPr>
            <w:pStyle w:val="Header"/>
            <w:spacing w:before="40"/>
          </w:pPr>
          <w:r>
            <w:rPr>
              <w:b/>
            </w:rPr>
            <w:fldChar w:fldCharType="begin"/>
          </w:r>
          <w:r>
            <w:rPr>
              <w:b/>
            </w:rPr>
            <w:instrText>STYLEREF CharSDivNo</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7258" w:type="dxa"/>
          <w:gridSpan w:val="2"/>
        </w:tcPr>
        <w:p>
          <w:pPr>
            <w:pStyle w:val="Header"/>
            <w:spacing w:before="40"/>
          </w:pPr>
          <w:r>
            <w:rPr>
              <w:b/>
            </w:rPr>
            <w:t xml:space="preserve">cl. </w:t>
          </w:r>
          <w:r>
            <w:rPr>
              <w:b/>
            </w:rPr>
            <w:fldChar w:fldCharType="begin"/>
          </w:r>
          <w:r>
            <w:rPr>
              <w:b/>
            </w:rPr>
            <w:instrText>STYLEREF CharSClsNo</w:instrText>
          </w:r>
          <w:r>
            <w:rPr>
              <w:b/>
            </w:rPr>
            <w:fldChar w:fldCharType="separate"/>
          </w:r>
          <w:r>
            <w:rPr>
              <w:b/>
            </w:rPr>
            <w:t>1</w:t>
          </w:r>
          <w:r>
            <w:rPr>
              <w:b/>
            </w:rPr>
            <w:fldChar w:fldCharType="end"/>
          </w: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Electricity Industry (Access Code Enforcement) Regulations 2005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Electricity Industry (Access Code Enforcement) Regulations 2005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46" w:name="Compilation"/>
    <w:bookmarkEnd w:id="46"/>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Electricity Industry (Access Code Enforcement) Regulations 2005</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Electricity Industry (Access Code Enforcement) Regulations 2005</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53" w:name="DefinedTerms"/>
    <w:bookmarkEnd w:id="53"/>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54" w:name="Coversheet"/>
    <w:bookmarkEnd w:id="5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Electricity Industry (Access Code Enforcement) Regulations 2005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Electricity Industry (Access Code Enforcement) Regulations 2005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Electricity Industry (Access Code Enforcement) Regulations 2005</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Electricity Industry (Access Code Enforcement) Regulations 2005</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04B1EC"/>
    <w:lvl w:ilvl="0">
      <w:start w:val="1"/>
      <w:numFmt w:val="decimal"/>
      <w:lvlText w:val="%1."/>
      <w:lvlJc w:val="left"/>
      <w:pPr>
        <w:tabs>
          <w:tab w:val="num" w:pos="1492"/>
        </w:tabs>
        <w:ind w:left="1492" w:hanging="360"/>
      </w:pPr>
    </w:lvl>
  </w:abstractNum>
  <w:abstractNum w:abstractNumId="1">
    <w:nsid w:val="FFFFFF7D"/>
    <w:multiLevelType w:val="singleLevel"/>
    <w:tmpl w:val="E30A76EE"/>
    <w:lvl w:ilvl="0">
      <w:start w:val="1"/>
      <w:numFmt w:val="decimal"/>
      <w:lvlText w:val="%1."/>
      <w:lvlJc w:val="left"/>
      <w:pPr>
        <w:tabs>
          <w:tab w:val="num" w:pos="1209"/>
        </w:tabs>
        <w:ind w:left="1209" w:hanging="360"/>
      </w:pPr>
    </w:lvl>
  </w:abstractNum>
  <w:abstractNum w:abstractNumId="2">
    <w:nsid w:val="FFFFFF7E"/>
    <w:multiLevelType w:val="singleLevel"/>
    <w:tmpl w:val="D120625C"/>
    <w:lvl w:ilvl="0">
      <w:start w:val="1"/>
      <w:numFmt w:val="decimal"/>
      <w:lvlText w:val="%1."/>
      <w:lvlJc w:val="left"/>
      <w:pPr>
        <w:tabs>
          <w:tab w:val="num" w:pos="926"/>
        </w:tabs>
        <w:ind w:left="926" w:hanging="360"/>
      </w:pPr>
    </w:lvl>
  </w:abstractNum>
  <w:abstractNum w:abstractNumId="3">
    <w:nsid w:val="FFFFFF7F"/>
    <w:multiLevelType w:val="singleLevel"/>
    <w:tmpl w:val="991A058A"/>
    <w:lvl w:ilvl="0">
      <w:start w:val="1"/>
      <w:numFmt w:val="decimal"/>
      <w:lvlText w:val="%1."/>
      <w:lvlJc w:val="left"/>
      <w:pPr>
        <w:tabs>
          <w:tab w:val="num" w:pos="643"/>
        </w:tabs>
        <w:ind w:left="643" w:hanging="360"/>
      </w:pPr>
    </w:lvl>
  </w:abstractNum>
  <w:abstractNum w:abstractNumId="4">
    <w:nsid w:val="FFFFFF80"/>
    <w:multiLevelType w:val="singleLevel"/>
    <w:tmpl w:val="74E04A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32A1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9806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A60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BB21900"/>
    <w:lvl w:ilvl="0">
      <w:start w:val="1"/>
      <w:numFmt w:val="decimal"/>
      <w:lvlText w:val="%1."/>
      <w:lvlJc w:val="left"/>
      <w:pPr>
        <w:tabs>
          <w:tab w:val="num" w:pos="360"/>
        </w:tabs>
        <w:ind w:left="360" w:hanging="360"/>
      </w:pPr>
    </w:lvl>
  </w:abstractNum>
  <w:abstractNum w:abstractNumId="9">
    <w:nsid w:val="FFFFFF89"/>
    <w:multiLevelType w:val="singleLevel"/>
    <w:tmpl w:val="1BA27DEE"/>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45C29630"/>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5115759"/>
    <w:docVar w:name="WAFER_20140123085623" w:val="RemoveTocBookmarks,RemoveUnusedBookmarks,RemoveLanguageTags,UsedStyles,ResetPageSize,UpdateArrangement"/>
    <w:docVar w:name="WAFER_20140123085623_GUID" w:val="039b147f-eb93-410c-b2c4-3cf4e028b764"/>
    <w:docVar w:name="WAFER_20140123090810" w:val="RemoveTocBookmarks,RunningHeaders"/>
    <w:docVar w:name="WAFER_20140123090810_GUID" w:val="49fc7305-e449-49e4-a95d-ce7c1667fb46"/>
    <w:docVar w:name="WAFER_20150414165554" w:val="ResetPageSize,UpdateArrangement,UpdateNTable"/>
    <w:docVar w:name="WAFER_20150414165554_GUID" w:val="60d05a0d-0127-4e4e-9e99-962de5f409fd"/>
    <w:docVar w:name="WAFER_20151105115759" w:val="UpdateStyles,UsedStyles"/>
    <w:docVar w:name="WAFER_20151105115759_GUID" w:val="accbf082-b7e6-4698-9876-360972853d6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raftersNotes">
    <w:name w:val="DraftersNotes"/>
    <w:basedOn w:val="DefaultParagraphFont"/>
    <w:rPr>
      <w:b/>
      <w:i/>
      <w:sz w:val="20"/>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customStyle="1" w:styleId="TableAm">
    <w:name w:val="TableAm"/>
    <w:basedOn w:val="Normal"/>
    <w:pPr>
      <w:spacing w:before="120"/>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rPr>
  </w:style>
  <w:style w:type="character" w:styleId="FollowedHyperlink">
    <w:name w:val="FollowedHyperlink"/>
    <w:basedOn w:val="DefaultParagraphFont"/>
    <w:semiHidden/>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spacing w:before="120" w:after="60"/>
      <w:ind w:left="1985" w:right="1134" w:hanging="567"/>
    </w:pPr>
    <w:rPr>
      <w:b/>
      <w:noProof/>
      <w:sz w:val="28"/>
    </w:rPr>
  </w:style>
  <w:style w:type="paragraph" w:styleId="TOC3">
    <w:name w:val="toc 3"/>
    <w:next w:val="Normal"/>
    <w:semiHidden/>
    <w:pPr>
      <w:spacing w:before="120" w:after="60"/>
      <w:ind w:left="1985" w:right="1134" w:hanging="567"/>
    </w:pPr>
    <w:rPr>
      <w:rFonts w:ascii="Helvetica" w:hAnsi="Helvetica"/>
      <w:b/>
      <w:noProof/>
      <w:sz w:val="18"/>
    </w:rPr>
  </w:style>
  <w:style w:type="paragraph" w:styleId="TOC4">
    <w:name w:val="toc 4"/>
    <w:next w:val="Normal"/>
    <w:semiHidden/>
    <w:pPr>
      <w:spacing w:before="60" w:after="20"/>
      <w:ind w:left="1985" w:right="1134" w:hanging="567"/>
    </w:pPr>
    <w:rPr>
      <w:b/>
      <w:noProof/>
      <w:sz w:val="22"/>
    </w:rPr>
  </w:style>
  <w:style w:type="paragraph" w:styleId="TOC5">
    <w:name w:val="toc 5"/>
    <w:next w:val="Normal"/>
    <w:semiHidden/>
    <w:pPr>
      <w:spacing w:before="60" w:after="20"/>
      <w:ind w:left="1985" w:right="1134" w:hanging="567"/>
    </w:pPr>
    <w:rPr>
      <w:rFonts w:ascii="Helvetica" w:hAnsi="Helvetica"/>
      <w:b/>
      <w:noProof/>
      <w:sz w:val="18"/>
    </w:rPr>
  </w:style>
  <w:style w:type="paragraph" w:styleId="TOC6">
    <w:name w:val="toc 6"/>
    <w:next w:val="Normal"/>
    <w:semiHidden/>
    <w:pPr>
      <w:spacing w:before="60" w:after="20"/>
      <w:ind w:left="1985" w:right="1134" w:hanging="567"/>
    </w:pPr>
    <w:rPr>
      <w:b/>
      <w:noProof/>
    </w:rPr>
  </w:style>
  <w:style w:type="paragraph" w:styleId="TOC7">
    <w:name w:val="toc 7"/>
    <w:next w:val="Normal"/>
    <w:semiHidden/>
    <w:pPr>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SignatureText">
    <w:name w:val="SignatureText"/>
    <w:basedOn w:val="Normal"/>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raftersNotes">
    <w:name w:val="DraftersNotes"/>
    <w:basedOn w:val="DefaultParagraphFont"/>
    <w:rPr>
      <w:b/>
      <w:i/>
      <w:sz w:val="20"/>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customStyle="1" w:styleId="TableAm">
    <w:name w:val="TableAm"/>
    <w:basedOn w:val="Normal"/>
    <w:pPr>
      <w:spacing w:before="120"/>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rPr>
  </w:style>
  <w:style w:type="character" w:styleId="FollowedHyperlink">
    <w:name w:val="FollowedHyperlink"/>
    <w:basedOn w:val="DefaultParagraphFont"/>
    <w:semiHidden/>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spacing w:before="120" w:after="60"/>
      <w:ind w:left="1985" w:right="1134" w:hanging="567"/>
    </w:pPr>
    <w:rPr>
      <w:b/>
      <w:noProof/>
      <w:sz w:val="28"/>
    </w:rPr>
  </w:style>
  <w:style w:type="paragraph" w:styleId="TOC3">
    <w:name w:val="toc 3"/>
    <w:next w:val="Normal"/>
    <w:semiHidden/>
    <w:pPr>
      <w:spacing w:before="120" w:after="60"/>
      <w:ind w:left="1985" w:right="1134" w:hanging="567"/>
    </w:pPr>
    <w:rPr>
      <w:rFonts w:ascii="Helvetica" w:hAnsi="Helvetica"/>
      <w:b/>
      <w:noProof/>
      <w:sz w:val="18"/>
    </w:rPr>
  </w:style>
  <w:style w:type="paragraph" w:styleId="TOC4">
    <w:name w:val="toc 4"/>
    <w:next w:val="Normal"/>
    <w:semiHidden/>
    <w:pPr>
      <w:spacing w:before="60" w:after="20"/>
      <w:ind w:left="1985" w:right="1134" w:hanging="567"/>
    </w:pPr>
    <w:rPr>
      <w:b/>
      <w:noProof/>
      <w:sz w:val="22"/>
    </w:rPr>
  </w:style>
  <w:style w:type="paragraph" w:styleId="TOC5">
    <w:name w:val="toc 5"/>
    <w:next w:val="Normal"/>
    <w:semiHidden/>
    <w:pPr>
      <w:spacing w:before="60" w:after="20"/>
      <w:ind w:left="1985" w:right="1134" w:hanging="567"/>
    </w:pPr>
    <w:rPr>
      <w:rFonts w:ascii="Helvetica" w:hAnsi="Helvetica"/>
      <w:b/>
      <w:noProof/>
      <w:sz w:val="18"/>
    </w:rPr>
  </w:style>
  <w:style w:type="paragraph" w:styleId="TOC6">
    <w:name w:val="toc 6"/>
    <w:next w:val="Normal"/>
    <w:semiHidden/>
    <w:pPr>
      <w:spacing w:before="60" w:after="20"/>
      <w:ind w:left="1985" w:right="1134" w:hanging="567"/>
    </w:pPr>
    <w:rPr>
      <w:b/>
      <w:noProof/>
    </w:rPr>
  </w:style>
  <w:style w:type="paragraph" w:styleId="TOC7">
    <w:name w:val="toc 7"/>
    <w:next w:val="Normal"/>
    <w:semiHidden/>
    <w:pPr>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SignatureText">
    <w:name w:val="SignatureText"/>
    <w:basedOn w:val="Normal"/>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1901</Words>
  <Characters>9050</Characters>
  <Application>Microsoft Office Word</Application>
  <DocSecurity>0</DocSecurity>
  <Lines>348</Lines>
  <Paragraphs>273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Drafting Template (Regs)</vt:lpstr>
      <vt:lpstr>    Schedule 1 — Civil penalty provisions and amounts</vt:lpstr>
      <vt:lpstr>    Schedule 2 — Regulatory and conduct provisions</vt:lpstr>
      <vt:lpstr>    Notes</vt:lpstr>
    </vt:vector>
  </TitlesOfParts>
  <Manager/>
  <Company/>
  <LinksUpToDate>false</LinksUpToDate>
  <CharactersWithSpaces>10678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 Industry (Access Code Enforcement) Regulations 2005 - 00-a0-12</dc:title>
  <dc:subject/>
  <dc:creator/>
  <cp:keywords/>
  <dc:description/>
  <cp:lastModifiedBy>svcMRProcess</cp:lastModifiedBy>
  <cp:revision>4</cp:revision>
  <cp:lastPrinted>2005-07-21T04:54:00Z</cp:lastPrinted>
  <dcterms:created xsi:type="dcterms:W3CDTF">2019-01-16T03:48:00Z</dcterms:created>
  <dcterms:modified xsi:type="dcterms:W3CDTF">2019-01-16T03:48:00Z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6 Sep 2005 p 4139-50</vt:lpwstr>
  </property>
  <property fmtid="{D5CDD505-2E9C-101B-9397-08002B2CF9AE}" pid="3" name="CommencementDate">
    <vt:lpwstr>20050906</vt:lpwstr>
  </property>
  <property fmtid="{D5CDD505-2E9C-101B-9397-08002B2CF9AE}" pid="4" name="DocumentType">
    <vt:lpwstr>Reg</vt:lpwstr>
  </property>
  <property fmtid="{D5CDD505-2E9C-101B-9397-08002B2CF9AE}" pid="5" name="OwlsUID">
    <vt:i4>37539</vt:i4>
  </property>
  <property fmtid="{D5CDD505-2E9C-101B-9397-08002B2CF9AE}" pid="6" name="AsAtDate">
    <vt:lpwstr>06 Sep 2005</vt:lpwstr>
  </property>
  <property fmtid="{D5CDD505-2E9C-101B-9397-08002B2CF9AE}" pid="7" name="Suffix">
    <vt:lpwstr>00-a0-12</vt:lpwstr>
  </property>
</Properties>
</file>