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Anzac Day Act 1960</w:t>
      </w:r>
      <w:r>
        <w:rPr>
          <w:sz w:val="48"/>
        </w:rPr>
        <w:fldChar w:fldCharType="end"/>
      </w:r>
    </w:p>
    <w:p>
      <w:pPr>
        <w:pStyle w:val="ReprintNo"/>
      </w:pPr>
      <w:r>
        <w:t>Reprint 4:  The Act as at 3 February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F0535" w:rsidRDefault="00DF053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F0535" w:rsidRDefault="00DF053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F0535" w:rsidRDefault="00DF053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F0535" w:rsidRDefault="00DF053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_Toc474317376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_Toc474317377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 meetings on Anzac Day</w:t>
      </w:r>
      <w:r>
        <w:tab/>
      </w:r>
      <w:r>
        <w:fldChar w:fldCharType="begin"/>
      </w:r>
      <w:r>
        <w:instrText xml:space="preserve"> PAGEREF _Toc474317378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Large race events on Anzac Day</w:t>
      </w:r>
      <w:r>
        <w:tab/>
      </w:r>
      <w:r>
        <w:fldChar w:fldCharType="begin"/>
      </w:r>
      <w:r>
        <w:instrText xml:space="preserve"> PAGEREF _Toc474317379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Sport events on Anzac Day</w:t>
      </w:r>
      <w:r>
        <w:tab/>
      </w:r>
      <w:r>
        <w:fldChar w:fldCharType="begin"/>
      </w:r>
      <w:r>
        <w:instrText xml:space="preserve"> PAGEREF _Toc474317380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sport events on Anzac Day</w:t>
      </w:r>
      <w:r>
        <w:tab/>
      </w:r>
      <w:r>
        <w:fldChar w:fldCharType="begin"/>
      </w:r>
      <w:r>
        <w:instrText xml:space="preserve"> PAGEREF _Toc474317381 \h </w:instrText>
      </w:r>
      <w:r>
        <w:fldChar w:fldCharType="separate"/>
      </w:r>
      <w:r>
        <w:t>5</w:t>
      </w:r>
      <w:r>
        <w:fldChar w:fldCharType="end"/>
      </w:r>
    </w:p>
    <w:p>
      <w:pPr>
        <w:pStyle w:val="TOC8"/>
        <w:rPr>
          <w:rFonts w:asciiTheme="minorHAnsi" w:eastAsiaTheme="minorEastAsia" w:hAnsiTheme="minorHAnsi" w:cstheme="minorBidi"/>
          <w:szCs w:val="22"/>
        </w:rPr>
      </w:pPr>
      <w:r>
        <w:t>10A.</w:t>
      </w:r>
      <w:r>
        <w:tab/>
        <w:t>Approved alternative amounts to be paid to Trust</w:t>
      </w:r>
      <w:r>
        <w:tab/>
      </w:r>
      <w:r>
        <w:fldChar w:fldCharType="begin"/>
      </w:r>
      <w:r>
        <w:instrText xml:space="preserve"> PAGEREF _Toc474317382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of Anzac Day Trust Account</w:t>
      </w:r>
      <w:r>
        <w:tab/>
      </w:r>
      <w:r>
        <w:fldChar w:fldCharType="begin"/>
      </w:r>
      <w:r>
        <w:instrText xml:space="preserve"> PAGEREF _Toc474317383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Anzac Day Trust constituted</w:t>
      </w:r>
      <w:r>
        <w:tab/>
      </w:r>
      <w:r>
        <w:fldChar w:fldCharType="begin"/>
      </w:r>
      <w:r>
        <w:instrText xml:space="preserve"> PAGEREF _Toc474317384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 to be body corporate</w:t>
      </w:r>
      <w:r>
        <w:tab/>
      </w:r>
      <w:r>
        <w:fldChar w:fldCharType="begin"/>
      </w:r>
      <w:r>
        <w:instrText xml:space="preserve"> PAGEREF _Toc474317385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Eligibility of Trustees</w:t>
      </w:r>
      <w:r>
        <w:tab/>
      </w:r>
      <w:r>
        <w:fldChar w:fldCharType="begin"/>
      </w:r>
      <w:r>
        <w:instrText xml:space="preserve"> PAGEREF _Toc474317386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offices of Trustees</w:t>
      </w:r>
      <w:r>
        <w:tab/>
      </w:r>
      <w:r>
        <w:fldChar w:fldCharType="begin"/>
      </w:r>
      <w:r>
        <w:instrText xml:space="preserve"> PAGEREF _Toc474317387 \h </w:instrText>
      </w:r>
      <w:r>
        <w:fldChar w:fldCharType="separate"/>
      </w:r>
      <w:r>
        <w:t>9</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proceeds</w:t>
      </w:r>
      <w:r>
        <w:tab/>
      </w:r>
      <w:r>
        <w:fldChar w:fldCharType="begin"/>
      </w:r>
      <w:r>
        <w:instrText xml:space="preserve"> PAGEREF _Toc474317388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_Toc474317389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Authentication of documents</w:t>
      </w:r>
      <w:r>
        <w:tab/>
      </w:r>
      <w:r>
        <w:fldChar w:fldCharType="begin"/>
      </w:r>
      <w:r>
        <w:instrText xml:space="preserve"> PAGEREF _Toc474317390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_Toc474317391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_Toc474317393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r>
        <w:tab/>
        <w:t>[Long title amended by No. 77 of 2006 s. 17.]</w:t>
      </w:r>
    </w:p>
    <w:p>
      <w:pPr>
        <w:pStyle w:val="Heading5"/>
        <w:rPr>
          <w:snapToGrid w:val="0"/>
        </w:rPr>
      </w:pPr>
      <w:bookmarkStart w:id="3" w:name="_Toc47431737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4" w:name="_Toc474317377"/>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 xml:space="preserve">[Section 3 amended by No. 14 of 1964 s. 2; No. 9 of 1975 s. 2; No. 28 of 2003 s. 12; No. 4 of 2016 s. 4.] </w:t>
      </w:r>
    </w:p>
    <w:p>
      <w:pPr>
        <w:pStyle w:val="Heading5"/>
        <w:rPr>
          <w:snapToGrid w:val="0"/>
        </w:rPr>
      </w:pPr>
      <w:bookmarkStart w:id="5" w:name="_Toc474317378"/>
      <w:r>
        <w:rPr>
          <w:rStyle w:val="CharSectno"/>
        </w:rPr>
        <w:t>4</w:t>
      </w:r>
      <w:r>
        <w:rPr>
          <w:snapToGrid w:val="0"/>
        </w:rPr>
        <w:t>.</w:t>
      </w:r>
      <w:r>
        <w:rPr>
          <w:snapToGrid w:val="0"/>
        </w:rPr>
        <w:tab/>
        <w:t>Race meetings on Anzac Day</w:t>
      </w:r>
      <w:bookmarkEnd w:id="5"/>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p>
    <w:p>
      <w:pPr>
        <w:pStyle w:val="Penstart"/>
      </w:pPr>
      <w:r>
        <w:tab/>
        <w:t>Penalty for this subsection: a fine of $5 000.</w:t>
      </w:r>
    </w:p>
    <w:p>
      <w:pPr>
        <w:pStyle w:val="Footnotesection"/>
      </w:pPr>
      <w:r>
        <w:tab/>
        <w:t xml:space="preserve">[Section 4 amended by No. 113 of 1965 s. 8(1); No. 9 of 1975 s. 3; No. 35 of 2003 s. 73(2) and (3); No. 62 of 2003 s. 4; No. 4 of 2016 s. 5.] </w:t>
      </w:r>
    </w:p>
    <w:p>
      <w:pPr>
        <w:pStyle w:val="Heading5"/>
        <w:rPr>
          <w:snapToGrid w:val="0"/>
        </w:rPr>
      </w:pPr>
      <w:bookmarkStart w:id="6" w:name="_Toc474317379"/>
      <w:r>
        <w:rPr>
          <w:rStyle w:val="CharSectno"/>
        </w:rPr>
        <w:t>5</w:t>
      </w:r>
      <w:r>
        <w:rPr>
          <w:snapToGrid w:val="0"/>
        </w:rPr>
        <w:t>.</w:t>
      </w:r>
      <w:r>
        <w:rPr>
          <w:snapToGrid w:val="0"/>
        </w:rPr>
        <w:tab/>
        <w:t>Large race events on Anzac Day</w:t>
      </w:r>
      <w:bookmarkEnd w:id="6"/>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club, and each member of the managing body or committee of that racing club, commits an </w:t>
      </w:r>
      <w:r>
        <w:t>offence.</w:t>
      </w:r>
    </w:p>
    <w:p>
      <w:pPr>
        <w:pStyle w:val="Penstart"/>
        <w:spacing w:before="120"/>
      </w:pPr>
      <w:r>
        <w:tab/>
        <w:t>Penalty for this subsection: a fine of $5 000.</w:t>
      </w:r>
    </w:p>
    <w:p>
      <w:pPr>
        <w:pStyle w:val="Footnotesection"/>
        <w:spacing w:before="140"/>
        <w:ind w:left="890" w:hanging="890"/>
      </w:pPr>
      <w:r>
        <w:tab/>
        <w:t xml:space="preserve">[Section 5 amended by No. 14 of 1964 s. 3; No. 113 of 1965 s. 8(1); No. 1 of 1976 s. 2; No. 35 of 2003 s. 73(4); No. 38 of 2005 s. 15; No. 4 of 2016 s. 6; No. 5 of 2016 s. 4.] </w:t>
      </w:r>
    </w:p>
    <w:p>
      <w:pPr>
        <w:pStyle w:val="Heading5"/>
        <w:spacing w:before="120"/>
        <w:rPr>
          <w:snapToGrid w:val="0"/>
        </w:rPr>
      </w:pPr>
      <w:bookmarkStart w:id="7" w:name="_Toc474317380"/>
      <w:r>
        <w:rPr>
          <w:rStyle w:val="CharSectno"/>
        </w:rPr>
        <w:t>6</w:t>
      </w:r>
      <w:r>
        <w:rPr>
          <w:snapToGrid w:val="0"/>
        </w:rPr>
        <w:t>.</w:t>
      </w:r>
      <w:r>
        <w:rPr>
          <w:snapToGrid w:val="0"/>
        </w:rPr>
        <w:tab/>
        <w:t>Sport events on Anzac Day</w:t>
      </w:r>
      <w:bookmarkEnd w:id="7"/>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held, and each member of the managing body or committee of that club, association or body, commits an </w:t>
      </w:r>
      <w:r>
        <w:t>offence.</w:t>
      </w:r>
    </w:p>
    <w:p>
      <w:pPr>
        <w:pStyle w:val="Penstart"/>
      </w:pPr>
      <w:r>
        <w:tab/>
        <w:t>Penalty for this subsection: a fine of $5 000.</w:t>
      </w:r>
    </w:p>
    <w:p>
      <w:pPr>
        <w:pStyle w:val="Footnotesection"/>
      </w:pPr>
      <w:r>
        <w:tab/>
        <w:t xml:space="preserve">[Section 6 amended by No. 113 of 1965 s. 8(1); No. 14 of 1996 s. 4; No. 4 of 2016 s. 7.] </w:t>
      </w:r>
    </w:p>
    <w:p>
      <w:pPr>
        <w:pStyle w:val="Heading5"/>
        <w:rPr>
          <w:snapToGrid w:val="0"/>
        </w:rPr>
      </w:pPr>
      <w:bookmarkStart w:id="8" w:name="_Toc474317381"/>
      <w:r>
        <w:rPr>
          <w:rStyle w:val="CharSectno"/>
        </w:rPr>
        <w:t>7</w:t>
      </w:r>
      <w:r>
        <w:rPr>
          <w:snapToGrid w:val="0"/>
        </w:rPr>
        <w:t>.</w:t>
      </w:r>
      <w:r>
        <w:rPr>
          <w:snapToGrid w:val="0"/>
        </w:rPr>
        <w:tab/>
        <w:t>Professional sport events on Anzac Day</w:t>
      </w:r>
      <w:bookmarkEnd w:id="8"/>
      <w:r>
        <w:rPr>
          <w:snapToGrid w:val="0"/>
        </w:rPr>
        <w:t xml:space="preserve"> </w:t>
      </w:r>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body, and each member of its managing body or committee, commits an offence but no such member is liable if it is shown that such failure occurred without his knowledge or approval.</w:t>
      </w:r>
    </w:p>
    <w:p>
      <w:pPr>
        <w:pStyle w:val="Penstart"/>
      </w:pPr>
      <w:r>
        <w:tab/>
        <w:t>Penalty for this subsection: a fine of $5 000.</w:t>
      </w:r>
    </w:p>
    <w:p>
      <w:pPr>
        <w:pStyle w:val="Footnotesection"/>
      </w:pPr>
      <w:r>
        <w:tab/>
        <w:t xml:space="preserve">[Section 7 amended by No. 113 of 1965 s. 8(1); No. 1 of 1976 s. 3; No. 4 of 2016 s. 8; No. 5 of 2016 s. 5.]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pPr>
      <w:bookmarkStart w:id="9" w:name="_Toc474317382"/>
      <w:r>
        <w:rPr>
          <w:rStyle w:val="CharSectno"/>
        </w:rPr>
        <w:t>10A</w:t>
      </w:r>
      <w:r>
        <w:t>.</w:t>
      </w:r>
      <w:r>
        <w:tab/>
        <w:t>Approved alternative amounts to be paid to Trust</w:t>
      </w:r>
      <w:bookmarkEnd w:id="9"/>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by No. 5 of 2016 s. 6.]</w:t>
      </w:r>
    </w:p>
    <w:p>
      <w:pPr>
        <w:pStyle w:val="Heading5"/>
        <w:rPr>
          <w:snapToGrid w:val="0"/>
        </w:rPr>
      </w:pPr>
      <w:bookmarkStart w:id="10" w:name="_Toc474317383"/>
      <w:r>
        <w:rPr>
          <w:rStyle w:val="CharSectno"/>
        </w:rPr>
        <w:t>10</w:t>
      </w:r>
      <w:r>
        <w:rPr>
          <w:snapToGrid w:val="0"/>
        </w:rPr>
        <w:t>.</w:t>
      </w:r>
      <w:r>
        <w:rPr>
          <w:snapToGrid w:val="0"/>
        </w:rPr>
        <w:tab/>
        <w:t>Establishment of Anzac Day Trust Account</w:t>
      </w:r>
      <w:bookmarkEnd w:id="10"/>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 and</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pPr>
      <w:r>
        <w:tab/>
        <w:t>(3)</w:t>
      </w:r>
      <w:r>
        <w:tab/>
        <w:t xml:space="preserve">The money standing to the credit of the Account — </w:t>
      </w:r>
    </w:p>
    <w:p>
      <w:pPr>
        <w:pStyle w:val="Indenta"/>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No. 4 of 2016 s. 9.] </w:t>
      </w:r>
    </w:p>
    <w:p>
      <w:pPr>
        <w:pStyle w:val="Heading5"/>
        <w:rPr>
          <w:snapToGrid w:val="0"/>
        </w:rPr>
      </w:pPr>
      <w:bookmarkStart w:id="11" w:name="_Toc474317384"/>
      <w:r>
        <w:rPr>
          <w:rStyle w:val="CharSectno"/>
        </w:rPr>
        <w:t>11</w:t>
      </w:r>
      <w:r>
        <w:rPr>
          <w:snapToGrid w:val="0"/>
        </w:rPr>
        <w:t>.</w:t>
      </w:r>
      <w:r>
        <w:rPr>
          <w:snapToGrid w:val="0"/>
        </w:rPr>
        <w:tab/>
        <w:t>The Anzac Day Trust constituted</w:t>
      </w:r>
      <w:bookmarkEnd w:id="11"/>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Subsection"/>
        <w:rPr>
          <w:snapToGrid w:val="0"/>
        </w:rPr>
      </w:pPr>
      <w:r>
        <w:tab/>
        <w:t>(5)</w:t>
      </w:r>
      <w:r>
        <w:tab/>
        <w:t>A person who is a member or employee of an ex</w:t>
      </w:r>
      <w:r>
        <w:noBreakHyphen/>
        <w:t>service organisation is not eligible to be appointed as a Trustee.</w:t>
      </w:r>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by No. 14 of 1964 s. 5; No. 62 of 2003 s. 6; No. 19 of 2010 s. 51; No. 4 of 2016 s. 10.] </w:t>
      </w:r>
    </w:p>
    <w:p>
      <w:pPr>
        <w:pStyle w:val="Heading5"/>
        <w:spacing w:before="240"/>
        <w:rPr>
          <w:snapToGrid w:val="0"/>
        </w:rPr>
      </w:pPr>
      <w:bookmarkStart w:id="12" w:name="_Toc474317385"/>
      <w:r>
        <w:rPr>
          <w:rStyle w:val="CharSectno"/>
        </w:rPr>
        <w:t>12</w:t>
      </w:r>
      <w:r>
        <w:rPr>
          <w:snapToGrid w:val="0"/>
        </w:rPr>
        <w:t>.</w:t>
      </w:r>
      <w:r>
        <w:rPr>
          <w:snapToGrid w:val="0"/>
        </w:rPr>
        <w:tab/>
        <w:t>Trust to be body corporate</w:t>
      </w:r>
      <w:bookmarkEnd w:id="12"/>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13" w:name="_Toc474317386"/>
      <w:r>
        <w:rPr>
          <w:rStyle w:val="CharSectno"/>
        </w:rPr>
        <w:t>13</w:t>
      </w:r>
      <w:r>
        <w:rPr>
          <w:snapToGrid w:val="0"/>
        </w:rPr>
        <w:t>.</w:t>
      </w:r>
      <w:r>
        <w:rPr>
          <w:snapToGrid w:val="0"/>
        </w:rPr>
        <w:tab/>
        <w:t>Eligibility of Trustees</w:t>
      </w:r>
      <w:bookmarkEnd w:id="13"/>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 </w:t>
      </w:r>
      <w:r>
        <w:rPr>
          <w:vertAlign w:val="superscript"/>
        </w:rPr>
        <w:t>1</w:t>
      </w:r>
      <w:r>
        <w:t xml:space="preserve">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by No. 18 of 2009 s. 10(2); No. 4 of 2016 s. 11.]</w:t>
      </w:r>
    </w:p>
    <w:p>
      <w:pPr>
        <w:pStyle w:val="Heading5"/>
        <w:rPr>
          <w:snapToGrid w:val="0"/>
        </w:rPr>
      </w:pPr>
      <w:bookmarkStart w:id="14" w:name="_Toc474317387"/>
      <w:r>
        <w:rPr>
          <w:rStyle w:val="CharSectno"/>
        </w:rPr>
        <w:t>14</w:t>
      </w:r>
      <w:r>
        <w:rPr>
          <w:snapToGrid w:val="0"/>
        </w:rPr>
        <w:t>.</w:t>
      </w:r>
      <w:r>
        <w:rPr>
          <w:snapToGrid w:val="0"/>
        </w:rPr>
        <w:tab/>
        <w:t>Tenure of offices of Trustees</w:t>
      </w:r>
      <w:bookmarkEnd w:id="14"/>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 No. 4 of 2016 s. 12.]</w:t>
      </w:r>
    </w:p>
    <w:p>
      <w:pPr>
        <w:pStyle w:val="Heading5"/>
        <w:spacing w:before="240"/>
        <w:rPr>
          <w:snapToGrid w:val="0"/>
        </w:rPr>
      </w:pPr>
      <w:bookmarkStart w:id="15" w:name="_Toc474317388"/>
      <w:r>
        <w:rPr>
          <w:rStyle w:val="CharSectno"/>
        </w:rPr>
        <w:t>14A</w:t>
      </w:r>
      <w:r>
        <w:rPr>
          <w:snapToGrid w:val="0"/>
        </w:rPr>
        <w:t>.</w:t>
      </w:r>
      <w:r>
        <w:rPr>
          <w:snapToGrid w:val="0"/>
        </w:rPr>
        <w:tab/>
        <w:t>Recovery of proceeds</w:t>
      </w:r>
      <w:bookmarkEnd w:id="15"/>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16" w:name="_Toc474317389"/>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16"/>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Sch. 1 cl. 10.] </w:t>
      </w:r>
    </w:p>
    <w:p>
      <w:pPr>
        <w:pStyle w:val="Heading5"/>
        <w:spacing w:before="240"/>
        <w:rPr>
          <w:snapToGrid w:val="0"/>
        </w:rPr>
      </w:pPr>
      <w:bookmarkStart w:id="17" w:name="_Toc474317390"/>
      <w:r>
        <w:rPr>
          <w:rStyle w:val="CharSectno"/>
        </w:rPr>
        <w:t>16</w:t>
      </w:r>
      <w:r>
        <w:rPr>
          <w:snapToGrid w:val="0"/>
        </w:rPr>
        <w:t>.</w:t>
      </w:r>
      <w:r>
        <w:rPr>
          <w:snapToGrid w:val="0"/>
        </w:rPr>
        <w:tab/>
        <w:t>Authentication of documents</w:t>
      </w:r>
      <w:bookmarkEnd w:id="17"/>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by No. 4 of 2016 s. 13.]</w:t>
      </w:r>
    </w:p>
    <w:p>
      <w:pPr>
        <w:pStyle w:val="Heading5"/>
        <w:spacing w:before="240"/>
        <w:rPr>
          <w:snapToGrid w:val="0"/>
        </w:rPr>
      </w:pPr>
      <w:bookmarkStart w:id="18" w:name="_Toc474317391"/>
      <w:r>
        <w:rPr>
          <w:rStyle w:val="CharSectno"/>
        </w:rPr>
        <w:t>17</w:t>
      </w:r>
      <w:r>
        <w:rPr>
          <w:snapToGrid w:val="0"/>
        </w:rPr>
        <w:t>.</w:t>
      </w:r>
      <w:r>
        <w:rPr>
          <w:snapToGrid w:val="0"/>
        </w:rPr>
        <w:tab/>
        <w:t>Regulations</w:t>
      </w:r>
      <w:bookmarkEnd w:id="18"/>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by No. 113 of 1965 s. 8(1); No. 2 of 1970 s. 3; No. 4 of 2016 s. 14.] </w:t>
      </w:r>
    </w:p>
    <w:p>
      <w:pPr>
        <w:pStyle w:val="yEdnoteschedule"/>
        <w:spacing w:before="480"/>
      </w:pPr>
      <w:r>
        <w:t>[The 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9" w:name="_Toc470007015"/>
      <w:bookmarkStart w:id="20" w:name="_Toc474317392"/>
      <w:r>
        <w:t>Notes</w:t>
      </w:r>
      <w:bookmarkEnd w:id="19"/>
      <w:bookmarkEnd w:id="20"/>
    </w:p>
    <w:p>
      <w:pPr>
        <w:pStyle w:val="nSubsection"/>
      </w:pPr>
      <w:r>
        <w:rPr>
          <w:vertAlign w:val="superscript"/>
        </w:rPr>
        <w:t>1</w:t>
      </w:r>
      <w:r>
        <w:tab/>
        <w:t xml:space="preserve">This reprint is a compilation as at 3 February 2017 of the </w:t>
      </w:r>
      <w:r>
        <w:rPr>
          <w:i/>
          <w:noProof/>
        </w:rPr>
        <w:t>Anzac Day Act 1960</w:t>
      </w:r>
      <w:r>
        <w:t xml:space="preserve"> and includes the amendments made by the other written laws referred to in the following table.  The table also contains information about any reprint.</w:t>
      </w:r>
    </w:p>
    <w:p>
      <w:pPr>
        <w:pStyle w:val="nHeading3"/>
        <w:rPr>
          <w:snapToGrid w:val="0"/>
        </w:rPr>
      </w:pPr>
      <w:bookmarkStart w:id="21" w:name="_Toc474317393"/>
      <w: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6"/>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4" w:type="dxa"/>
            <w:tcBorders>
              <w:top w:val="single" w:sz="8" w:space="0" w:color="auto"/>
            </w:tcBorders>
          </w:tcPr>
          <w:p>
            <w:pPr>
              <w:pStyle w:val="nTable"/>
              <w:spacing w:after="40"/>
            </w:pPr>
            <w:r>
              <w:t>12 Dec 1960</w:t>
            </w:r>
          </w:p>
        </w:tc>
        <w:tc>
          <w:tcPr>
            <w:tcW w:w="2551" w:type="dxa"/>
            <w:tcBorders>
              <w:top w:val="single" w:sz="8" w:space="0" w:color="auto"/>
            </w:tcBorders>
          </w:tcPr>
          <w:p>
            <w:pPr>
              <w:pStyle w:val="nTable"/>
              <w:spacing w:after="40"/>
            </w:pPr>
            <w:r>
              <w:t>12 Dec 1960</w:t>
            </w:r>
          </w:p>
        </w:tc>
      </w:tr>
      <w:tr>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7087"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4" w:type="dxa"/>
          </w:tcPr>
          <w:p>
            <w:pPr>
              <w:pStyle w:val="nTable"/>
              <w:spacing w:after="40"/>
            </w:pPr>
            <w:r>
              <w:t>9 May 1975</w:t>
            </w:r>
          </w:p>
        </w:tc>
        <w:tc>
          <w:tcPr>
            <w:tcW w:w="2551" w:type="dxa"/>
          </w:tcPr>
          <w:p>
            <w:pPr>
              <w:pStyle w:val="nTable"/>
              <w:spacing w:after="40"/>
            </w:pPr>
            <w:r>
              <w:t>9 May 1975</w:t>
            </w:r>
          </w:p>
        </w:tc>
      </w:tr>
      <w:tr>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4" w:type="dxa"/>
          </w:tcPr>
          <w:p>
            <w:pPr>
              <w:pStyle w:val="nTable"/>
              <w:spacing w:after="40"/>
            </w:pPr>
            <w:r>
              <w:t>12 Apr 1976</w:t>
            </w:r>
          </w:p>
        </w:tc>
        <w:tc>
          <w:tcPr>
            <w:tcW w:w="2551" w:type="dxa"/>
          </w:tcPr>
          <w:p>
            <w:pPr>
              <w:pStyle w:val="nTable"/>
              <w:spacing w:after="40"/>
            </w:pPr>
            <w:r>
              <w:t>12 Apr 1976</w:t>
            </w:r>
          </w:p>
        </w:tc>
      </w:tr>
      <w:tr>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4" w:type="dxa"/>
          </w:tcPr>
          <w:p>
            <w:pPr>
              <w:pStyle w:val="nTable"/>
              <w:spacing w:after="40"/>
            </w:pPr>
            <w:r>
              <w:t>26 Nov 2003</w:t>
            </w:r>
          </w:p>
        </w:tc>
        <w:tc>
          <w:tcPr>
            <w:tcW w:w="2551" w:type="dxa"/>
          </w:tcPr>
          <w:p>
            <w:pPr>
              <w:pStyle w:val="nTable"/>
              <w:spacing w:after="40"/>
            </w:pPr>
            <w:r>
              <w:t>26 Nov 2003 (see s. 2)</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Sch. 1 cl. 10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1" w:type="dxa"/>
          </w:tcPr>
          <w:p>
            <w:pPr>
              <w:pStyle w:val="nTable"/>
              <w:spacing w:after="40"/>
              <w:rPr>
                <w:snapToGrid w:val="0"/>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r>
        <w:trPr>
          <w:cantSplit/>
        </w:trPr>
        <w:tc>
          <w:tcPr>
            <w:tcW w:w="2268"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1" w:type="dxa"/>
          </w:tcPr>
          <w:p>
            <w:pPr>
              <w:pStyle w:val="nTable"/>
              <w:spacing w:after="40"/>
              <w:rPr>
                <w:rFonts w:ascii="Times" w:hAnsi="Times"/>
                <w:bCs/>
                <w:snapToGrid w:val="0"/>
                <w:spacing w:val="-2"/>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r>
        <w:trPr>
          <w:cantSplit/>
        </w:trPr>
        <w:tc>
          <w:tcPr>
            <w:tcW w:w="7087" w:type="dxa"/>
            <w:gridSpan w:val="4"/>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Anzac Day Act 1960</w:t>
            </w:r>
            <w:r>
              <w:rPr>
                <w:rFonts w:ascii="Times" w:hAnsi="Times"/>
                <w:b/>
                <w:bCs/>
                <w:snapToGrid w:val="0"/>
                <w:spacing w:val="-2"/>
              </w:rPr>
              <w:t xml:space="preserve"> as at 3 Feb 2017</w:t>
            </w:r>
            <w:r>
              <w:rPr>
                <w:rFonts w:ascii="Times" w:hAnsi="Times"/>
                <w:bCs/>
                <w:snapToGrid w:val="0"/>
                <w:spacing w:val="-2"/>
              </w:rPr>
              <w:t xml:space="preserve"> (includes amendments listed above)</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 w:name="_Toc470007017"/>
      <w:bookmarkStart w:id="24" w:name="_Toc474317394"/>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10(1)</w:t>
      </w:r>
    </w:p>
    <w:p>
      <w:pPr>
        <w:pStyle w:val="DefinedTerms"/>
      </w:pPr>
      <w:r>
        <w:t>Anzac Day</w:t>
      </w:r>
      <w:r>
        <w:tab/>
        <w:t>3</w:t>
      </w:r>
    </w:p>
    <w:p>
      <w:pPr>
        <w:pStyle w:val="DefinedTerms"/>
      </w:pPr>
      <w:r>
        <w:t>ex</w:t>
      </w:r>
      <w:r>
        <w:noBreakHyphen/>
        <w:t>service organisation</w:t>
      </w:r>
      <w:r>
        <w:tab/>
        <w:t>3</w:t>
      </w:r>
    </w:p>
    <w:p>
      <w:pPr>
        <w:pStyle w:val="DefinedTerms"/>
      </w:pPr>
      <w:r>
        <w:t>ex</w:t>
      </w:r>
      <w:r>
        <w:noBreakHyphen/>
        <w:t xml:space="preserve">service personnel </w:t>
      </w:r>
      <w:r>
        <w:tab/>
        <w:t>3</w:t>
      </w:r>
    </w:p>
    <w:p>
      <w:pPr>
        <w:pStyle w:val="DefinedTerms"/>
      </w:pPr>
      <w:r>
        <w:t>large race event</w:t>
      </w:r>
      <w:r>
        <w:tab/>
        <w:t>3</w:t>
      </w:r>
    </w:p>
    <w:p>
      <w:pPr>
        <w:pStyle w:val="DefinedTerms"/>
      </w:pPr>
      <w:r>
        <w:t>prescribed admission ticket</w:t>
      </w:r>
      <w:r>
        <w:tab/>
        <w:t>3</w:t>
      </w:r>
    </w:p>
    <w:p>
      <w:pPr>
        <w:pStyle w:val="DefinedTerms"/>
      </w:pPr>
      <w:r>
        <w:t>professional sport</w:t>
      </w:r>
      <w:r>
        <w:tab/>
        <w:t>3</w:t>
      </w:r>
    </w:p>
    <w:p>
      <w:pPr>
        <w:pStyle w:val="DefinedTerms"/>
      </w:pPr>
      <w:r>
        <w:t>professional sport event</w:t>
      </w:r>
      <w:r>
        <w:tab/>
        <w:t>3</w:t>
      </w:r>
    </w:p>
    <w:p>
      <w:pPr>
        <w:pStyle w:val="DefinedTerms"/>
      </w:pPr>
      <w:r>
        <w:t>race meeting</w:t>
      </w:r>
      <w:r>
        <w:tab/>
        <w:t>3</w:t>
      </w:r>
    </w:p>
    <w:p>
      <w:pPr>
        <w:pStyle w:val="DefinedTerms"/>
      </w:pPr>
      <w:r>
        <w:t>racing club</w:t>
      </w:r>
      <w:r>
        <w:tab/>
        <w:t>3</w:t>
      </w:r>
    </w:p>
    <w:p>
      <w:pPr>
        <w:pStyle w:val="DefinedTerms"/>
      </w:pPr>
      <w:r>
        <w:t>sport event</w:t>
      </w:r>
      <w:r>
        <w:tab/>
        <w:t>3</w:t>
      </w:r>
    </w:p>
    <w:p>
      <w:pPr>
        <w:pStyle w:val="DefinedTerms"/>
      </w:pPr>
      <w:r>
        <w:t>Trust</w:t>
      </w:r>
      <w:r>
        <w:tab/>
        <w:t>3</w:t>
      </w:r>
    </w:p>
    <w:p>
      <w:pPr>
        <w:pStyle w:val="DefinedTerms"/>
      </w:pPr>
      <w:r>
        <w:t>Trustee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st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yi/bLfUC&#10;AACBBgAADgAAAAAAAAAAAAAAAAAuAgAAZHJzL2Uyb0RvYy54bWxQSwECLQAUAAYACAAAACEATyUa&#10;RtsAAAAEAQAADwAAAAAAAAAAAAAAAABPBQAAZHJzL2Rvd25yZXYueG1sUEsFBgAAAAAEAAQA8wAA&#10;AFcGAAAAAA==&#10;" stroked="f" strokeweight=".5pt">
                <v:textbox>
                  <w:txbxContent>
                    <w:p w:rsidR="00DF0535" w:rsidRDefault="00DF053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30338"/>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4166</Words>
  <Characters>18042</Characters>
  <Application>Microsoft Office Word</Application>
  <DocSecurity>0</DocSecurity>
  <Lines>582</Lines>
  <Paragraphs>358</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1960 - 04-00-00</dc:title>
  <dc:subject/>
  <dc:creator/>
  <cp:keywords/>
  <dc:description/>
  <cp:lastModifiedBy>svcMRProcess</cp:lastModifiedBy>
  <cp:revision>4</cp:revision>
  <cp:lastPrinted>2017-02-08T03:43:00Z</cp:lastPrinted>
  <dcterms:created xsi:type="dcterms:W3CDTF">2020-03-02T14:21:00Z</dcterms:created>
  <dcterms:modified xsi:type="dcterms:W3CDTF">2020-03-02T14:21:00Z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AsAtDate">
    <vt:lpwstr>03 Feb 2017</vt:lpwstr>
  </property>
  <property fmtid="{D5CDD505-2E9C-101B-9397-08002B2CF9AE}" pid="6" name="Suffix">
    <vt:lpwstr>04-00-00</vt:lpwstr>
  </property>
  <property fmtid="{D5CDD505-2E9C-101B-9397-08002B2CF9AE}" pid="7" name="ReprintedAsAt">
    <vt:filetime>2017-02-02T16:00:00Z</vt:filetime>
  </property>
  <property fmtid="{D5CDD505-2E9C-101B-9397-08002B2CF9AE}" pid="8" name="ReprintNo">
    <vt:lpwstr>4</vt:lpwstr>
  </property>
  <property fmtid="{D5CDD505-2E9C-101B-9397-08002B2CF9AE}" pid="9" name="CommencementDate">
    <vt:lpwstr>20170203</vt:lpwstr>
  </property>
</Properties>
</file>