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Charitable Collections Act 1946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Charitable Collections Regulations 1947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Charitable Collections Regulations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_Toc476837796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_Toc476837797 \h </w:instrText>
      </w:r>
      <w:r>
        <w:fldChar w:fldCharType="separate"/>
      </w:r>
      <w:r>
        <w:t>1</w:t>
      </w:r>
      <w:r>
        <w:fldChar w:fldCharType="end"/>
      </w:r>
    </w:p>
    <w:p>
      <w:pPr>
        <w:pStyle w:val="TOC8"/>
        <w:rPr>
          <w:rFonts w:asciiTheme="minorHAnsi" w:eastAsiaTheme="minorEastAsia" w:hAnsiTheme="minorHAnsi" w:cstheme="minorBidi"/>
          <w:szCs w:val="22"/>
        </w:rPr>
      </w:pPr>
      <w:r>
        <w:t>3.</w:t>
      </w:r>
      <w:r>
        <w:tab/>
        <w:t>Form of application for licence</w:t>
      </w:r>
      <w:r>
        <w:tab/>
      </w:r>
      <w:r>
        <w:fldChar w:fldCharType="begin"/>
      </w:r>
      <w:r>
        <w:instrText xml:space="preserve"> PAGEREF _Toc476837798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Scope of licence</w:t>
      </w:r>
      <w:r>
        <w:tab/>
      </w:r>
      <w:r>
        <w:fldChar w:fldCharType="begin"/>
      </w:r>
      <w:r>
        <w:instrText xml:space="preserve"> PAGEREF _Toc476837799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to be disclosed</w:t>
      </w:r>
      <w:r>
        <w:tab/>
      </w:r>
      <w:r>
        <w:fldChar w:fldCharType="begin"/>
      </w:r>
      <w:r>
        <w:instrText xml:space="preserve"> PAGEREF _Toc476837800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Unlicensed charitable collections</w:t>
      </w:r>
      <w:r>
        <w:tab/>
      </w:r>
      <w:r>
        <w:fldChar w:fldCharType="begin"/>
      </w:r>
      <w:r>
        <w:instrText xml:space="preserve"> PAGEREF _Toc476837801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Bank account</w:t>
      </w:r>
      <w:r>
        <w:tab/>
      </w:r>
      <w:r>
        <w:fldChar w:fldCharType="begin"/>
      </w:r>
      <w:r>
        <w:instrText xml:space="preserve"> PAGEREF _Toc476837802 \h </w:instrText>
      </w:r>
      <w:r>
        <w:fldChar w:fldCharType="separate"/>
      </w:r>
      <w:r>
        <w:t>5</w:t>
      </w:r>
      <w:r>
        <w:fldChar w:fldCharType="end"/>
      </w:r>
    </w:p>
    <w:p>
      <w:pPr>
        <w:pStyle w:val="TOC8"/>
        <w:rPr>
          <w:rFonts w:asciiTheme="minorHAnsi" w:eastAsiaTheme="minorEastAsia" w:hAnsiTheme="minorHAnsi" w:cstheme="minorBidi"/>
          <w:szCs w:val="22"/>
        </w:rPr>
      </w:pPr>
      <w:r>
        <w:t>14.</w:t>
      </w:r>
      <w:r>
        <w:tab/>
        <w:t>Permitted collection times</w:t>
      </w:r>
      <w:r>
        <w:tab/>
      </w:r>
      <w:r>
        <w:fldChar w:fldCharType="begin"/>
      </w:r>
      <w:r>
        <w:instrText xml:space="preserve"> PAGEREF _Toc476837803 \h </w:instrText>
      </w:r>
      <w:r>
        <w:fldChar w:fldCharType="separate"/>
      </w:r>
      <w:r>
        <w:t>5</w:t>
      </w:r>
      <w:r>
        <w:fldChar w:fldCharType="end"/>
      </w:r>
    </w:p>
    <w:p>
      <w:pPr>
        <w:pStyle w:val="TOC8"/>
        <w:rPr>
          <w:rFonts w:asciiTheme="minorHAnsi" w:eastAsiaTheme="minorEastAsia" w:hAnsiTheme="minorHAnsi" w:cstheme="minorBidi"/>
          <w:szCs w:val="22"/>
        </w:rPr>
      </w:pPr>
      <w:r>
        <w:t>16.</w:t>
      </w:r>
      <w:r>
        <w:tab/>
        <w:t>Investments</w:t>
      </w:r>
      <w:r>
        <w:tab/>
      </w:r>
      <w:r>
        <w:fldChar w:fldCharType="begin"/>
      </w:r>
      <w:r>
        <w:instrText xml:space="preserve"> PAGEREF _Toc476837804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Penalties</w:t>
      </w:r>
      <w:r>
        <w:tab/>
      </w:r>
      <w:r>
        <w:fldChar w:fldCharType="begin"/>
      </w:r>
      <w:r>
        <w:instrText xml:space="preserve"> PAGEREF _Toc476837805 \h </w:instrText>
      </w:r>
      <w:r>
        <w:fldChar w:fldCharType="separate"/>
      </w:r>
      <w:r>
        <w:t>6</w:t>
      </w:r>
      <w:r>
        <w:fldChar w:fldCharType="end"/>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_Toc476837806 \h </w:instrText>
      </w:r>
      <w:r>
        <w:fldChar w:fldCharType="separate"/>
      </w:r>
      <w:r>
        <w:t>6</w:t>
      </w:r>
      <w:r>
        <w:fldChar w:fldCharType="end"/>
      </w:r>
    </w:p>
    <w:p>
      <w:pPr>
        <w:pStyle w:val="TOC8"/>
        <w:rPr>
          <w:rFonts w:asciiTheme="minorHAnsi" w:eastAsiaTheme="minorEastAsia" w:hAnsiTheme="minorHAnsi" w:cstheme="minorBidi"/>
          <w:szCs w:val="22"/>
        </w:rPr>
      </w:pPr>
      <w:r>
        <w:t>19.</w:t>
      </w:r>
      <w:r>
        <w:tab/>
        <w:t>Forms</w:t>
      </w:r>
      <w:r>
        <w:tab/>
      </w:r>
      <w:r>
        <w:fldChar w:fldCharType="begin"/>
      </w:r>
      <w:r>
        <w:instrText xml:space="preserve"> PAGEREF _Toc476837807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_Toc476837811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3" w:name="_Toc378069725"/>
      <w:bookmarkStart w:id="4" w:name="_Toc47683779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 xml:space="preserve"> </w:t>
      </w:r>
      <w:r>
        <w:rPr>
          <w:snapToGrid w:val="0"/>
          <w:vertAlign w:val="superscript"/>
        </w:rPr>
        <w:t>1</w:t>
      </w:r>
      <w:r>
        <w:rPr>
          <w:snapToGrid w:val="0"/>
        </w:rPr>
        <w:t>.</w:t>
      </w:r>
    </w:p>
    <w:p>
      <w:pPr>
        <w:pStyle w:val="Heading5"/>
        <w:rPr>
          <w:snapToGrid w:val="0"/>
        </w:rPr>
      </w:pPr>
      <w:bookmarkStart w:id="5" w:name="_Toc378069726"/>
      <w:bookmarkStart w:id="6" w:name="_Toc476837797"/>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Act</w:t>
      </w:r>
      <w:r>
        <w:t xml:space="preserve"> shall mean the </w:t>
      </w:r>
      <w:r>
        <w:rPr>
          <w:i/>
        </w:rPr>
        <w:t>Charitable Collections Act 1946</w:t>
      </w:r>
      <w:r>
        <w:t>;</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w:t>
      </w:r>
      <w:r>
        <w:rPr>
          <w:i/>
          <w:iCs/>
        </w:rPr>
        <w:t xml:space="preserve"> Fair Trading Act 2010</w:t>
      </w:r>
      <w:r>
        <w:t>;</w:t>
      </w:r>
    </w:p>
    <w:p>
      <w:pPr>
        <w:pStyle w:val="Defstart"/>
      </w:pPr>
      <w:r>
        <w:rPr>
          <w:b/>
        </w:rPr>
        <w:tab/>
      </w:r>
      <w:r>
        <w:rPr>
          <w:rStyle w:val="CharDefText"/>
        </w:rPr>
        <w:t>executive officers</w:t>
      </w:r>
      <w:r>
        <w:t xml:space="preserve"> when used in reference to any charitable organisation, or to any branch organisation, shall include the Trustees, Chairman, President, Committee Member, Secretary or Treasurer or any other person holding any executive position by whatsoever name that position is given.</w:t>
      </w:r>
    </w:p>
    <w:p>
      <w:pPr>
        <w:pStyle w:val="Footnotesection"/>
      </w:pPr>
      <w:r>
        <w:tab/>
        <w:t>[Regulation 2 amended: Gazette 22 Sep 2006 p. 4079; 30 Jun 2011 p. 2647.]</w:t>
      </w:r>
    </w:p>
    <w:p>
      <w:pPr>
        <w:pStyle w:val="Heading5"/>
      </w:pPr>
      <w:bookmarkStart w:id="7" w:name="_Toc378069727"/>
      <w:bookmarkStart w:id="8" w:name="_Toc476837798"/>
      <w:r>
        <w:rPr>
          <w:rStyle w:val="CharSectno"/>
        </w:rPr>
        <w:t>3</w:t>
      </w:r>
      <w:r>
        <w:t>.</w:t>
      </w:r>
      <w:r>
        <w:tab/>
        <w:t>Form of application for licence</w:t>
      </w:r>
      <w:bookmarkEnd w:id="7"/>
      <w:bookmarkEnd w:id="8"/>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any other information that the Minister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 xml:space="preserve">a copy of the constitution or rules governing the affairs of the organisation, unless the applicant is incorporated under the </w:t>
      </w:r>
      <w:r>
        <w:rPr>
          <w:i/>
        </w:rPr>
        <w:t>Associations Incorporation Act 2015</w:t>
      </w:r>
      <w:r>
        <w:t>;</w:t>
      </w:r>
    </w:p>
    <w:p>
      <w:pPr>
        <w:pStyle w:val="Indenta"/>
      </w:pPr>
      <w:r>
        <w:tab/>
        <w:t>(b)</w:t>
      </w:r>
      <w:r>
        <w:tab/>
        <w:t>a copy of the organisation’s last income and expenditure account and balance sheet.</w:t>
      </w:r>
    </w:p>
    <w:p>
      <w:pPr>
        <w:pStyle w:val="Subsection"/>
      </w:pPr>
      <w:r>
        <w:tab/>
        <w:t>(3)</w:t>
      </w:r>
      <w:r>
        <w:tab/>
        <w:t>The person making the application on behalf of the organisation must sign the application and indicate the office that he or she holds in the organisation.</w:t>
      </w:r>
    </w:p>
    <w:p>
      <w:pPr>
        <w:pStyle w:val="Footnotesection"/>
      </w:pPr>
      <w:r>
        <w:tab/>
        <w:t>[Regulation 3 inserted: Gazette 22 Aug 2000 p. 4846; amended: Gazette 10 Mar 2017 p. 1567.]</w:t>
      </w:r>
    </w:p>
    <w:p>
      <w:pPr>
        <w:pStyle w:val="Heading5"/>
        <w:rPr>
          <w:snapToGrid w:val="0"/>
        </w:rPr>
      </w:pPr>
      <w:bookmarkStart w:id="9" w:name="_Toc378069728"/>
      <w:bookmarkStart w:id="10" w:name="_Toc476837799"/>
      <w:r>
        <w:rPr>
          <w:rStyle w:val="CharSectno"/>
        </w:rPr>
        <w:t>4</w:t>
      </w:r>
      <w:r>
        <w:rPr>
          <w:snapToGrid w:val="0"/>
        </w:rPr>
        <w:t>.</w:t>
      </w:r>
      <w:r>
        <w:rPr>
          <w:snapToGrid w:val="0"/>
        </w:rPr>
        <w:tab/>
        <w:t>Scope of licence</w:t>
      </w:r>
      <w:bookmarkEnd w:id="9"/>
      <w:bookmarkEnd w:id="10"/>
    </w:p>
    <w:p>
      <w:pPr>
        <w:pStyle w:val="Subsection"/>
        <w:rPr>
          <w:snapToGrid w:val="0"/>
        </w:rPr>
      </w:pPr>
      <w:r>
        <w:rPr>
          <w:snapToGrid w:val="0"/>
        </w:rPr>
        <w:tab/>
      </w:r>
      <w:r>
        <w:rPr>
          <w:snapToGrid w:val="0"/>
        </w:rPr>
        <w:tab/>
        <w:t xml:space="preserve">Where a body incorporated in </w:t>
      </w:r>
      <w:smartTag w:uri="urn:schemas-microsoft-com:office:smarttags" w:element="State">
        <w:r>
          <w:rPr>
            <w:snapToGrid w:val="0"/>
          </w:rPr>
          <w:t>Western Australia</w:t>
        </w:r>
      </w:smartTag>
      <w:r>
        <w:rPr>
          <w:snapToGrid w:val="0"/>
        </w:rPr>
        <w:t xml:space="preserve"> makes application for a licence, such licence, when granted, shall be deemed to apply to and include all branches in </w:t>
      </w:r>
      <w:smartTag w:uri="urn:schemas-microsoft-com:office:smarttags" w:element="State">
        <w:smartTag w:uri="urn:schemas-microsoft-com:office:smarttags" w:element="place">
          <w:r>
            <w:rPr>
              <w:snapToGrid w:val="0"/>
            </w:rPr>
            <w:t>Western Australia</w:t>
          </w:r>
        </w:smartTag>
      </w:smartTag>
      <w:r>
        <w:rPr>
          <w:snapToGrid w:val="0"/>
        </w:rPr>
        <w:t xml:space="preserve"> of such incorporated body, unless the contrary is expressed in such licence.</w:t>
      </w:r>
    </w:p>
    <w:p>
      <w:pPr>
        <w:pStyle w:val="Ednotesection"/>
      </w:pPr>
      <w:r>
        <w:t>[</w:t>
      </w:r>
      <w:r>
        <w:rPr>
          <w:b/>
        </w:rPr>
        <w:t>5-7.</w:t>
      </w:r>
      <w:r>
        <w:tab/>
        <w:t>Deleted: Gazette 22 Aug 2000 p. 4847.]</w:t>
      </w:r>
    </w:p>
    <w:p>
      <w:pPr>
        <w:pStyle w:val="Heading5"/>
        <w:rPr>
          <w:snapToGrid w:val="0"/>
        </w:rPr>
      </w:pPr>
      <w:bookmarkStart w:id="11" w:name="_Toc378069729"/>
      <w:bookmarkStart w:id="12" w:name="_Toc476837800"/>
      <w:r>
        <w:rPr>
          <w:rStyle w:val="CharSectno"/>
        </w:rPr>
        <w:t>8</w:t>
      </w:r>
      <w:r>
        <w:rPr>
          <w:snapToGrid w:val="0"/>
        </w:rPr>
        <w:t>.</w:t>
      </w:r>
      <w:r>
        <w:rPr>
          <w:snapToGrid w:val="0"/>
        </w:rPr>
        <w:tab/>
        <w:t>Information to be disclosed</w:t>
      </w:r>
      <w:bookmarkEnd w:id="11"/>
      <w:bookmarkEnd w:id="12"/>
    </w:p>
    <w:p>
      <w:pPr>
        <w:pStyle w:val="Subsection"/>
        <w:rPr>
          <w:snapToGrid w:val="0"/>
        </w:rPr>
      </w:pPr>
      <w:r>
        <w:rPr>
          <w:snapToGrid w:val="0"/>
        </w:rPr>
        <w:tab/>
        <w:t>(1)</w:t>
      </w:r>
      <w:r>
        <w:rPr>
          <w:snapToGrid w:val="0"/>
        </w:rPr>
        <w:tab/>
        <w:t>Any charitable organisation shall, if so required by the Minister,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Without limiting the generality of subregulation (1), if there is a change of a licensee’s executive officers, the licensee must give the Minister written notice of the change in accordance with subregulation (3) within one month after the change.</w:t>
      </w:r>
    </w:p>
    <w:p>
      <w:pPr>
        <w:pStyle w:val="Penstart"/>
      </w:pPr>
      <w:r>
        <w:fldChar w:fldCharType="begin"/>
      </w:r>
      <w:r>
        <w:instrText xml:space="preserve"> LISTNUM PenaltyNumbers \l1 </w:instrText>
      </w:r>
      <w:r>
        <w:fldChar w:fldCharType="end">
          <w:numberingChange w:id="13" w:author="Dias, Clare" w:date="2017-03-09T14:23:00Z" w:original=""/>
        </w:fldChar>
      </w: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Gazette 22 Aug 2000 p. 4847.]</w:t>
      </w:r>
    </w:p>
    <w:p>
      <w:pPr>
        <w:pStyle w:val="Ednotesection"/>
      </w:pPr>
      <w:r>
        <w:t>[</w:t>
      </w:r>
      <w:r>
        <w:rPr>
          <w:b/>
        </w:rPr>
        <w:t>9.</w:t>
      </w:r>
      <w:r>
        <w:tab/>
        <w:t>Deleted: Gazette 22 Aug 2000 p. 4847.]</w:t>
      </w:r>
    </w:p>
    <w:p>
      <w:pPr>
        <w:pStyle w:val="Heading5"/>
        <w:rPr>
          <w:snapToGrid w:val="0"/>
        </w:rPr>
      </w:pPr>
      <w:bookmarkStart w:id="14" w:name="_Toc378069730"/>
      <w:bookmarkStart w:id="15" w:name="_Toc476837801"/>
      <w:r>
        <w:rPr>
          <w:rStyle w:val="CharSectno"/>
        </w:rPr>
        <w:t>10</w:t>
      </w:r>
      <w:r>
        <w:rPr>
          <w:snapToGrid w:val="0"/>
        </w:rPr>
        <w:t>.</w:t>
      </w:r>
      <w:r>
        <w:rPr>
          <w:snapToGrid w:val="0"/>
        </w:rPr>
        <w:tab/>
        <w:t>Unlicensed charitable collections</w:t>
      </w:r>
      <w:bookmarkEnd w:id="14"/>
      <w:bookmarkEnd w:id="15"/>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collects or has collected any moneys or articles for or in aid of any charitable purpose but with respect to which no application for a licence under the Act has been made to or granted by the Minister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and such person or any such body, combination or committee of persons neglects or refuses to make application for authority under the provisions of section 11 of the Act and these regulations, or to obey any lawful order or direction of the Minister, the Minister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vested in and transferred to the Minister for allotment to a charitable purpose.</w:t>
      </w:r>
    </w:p>
    <w:p>
      <w:pPr>
        <w:pStyle w:val="Subsection"/>
        <w:rPr>
          <w:snapToGrid w:val="0"/>
        </w:rPr>
      </w:pPr>
      <w:r>
        <w:rPr>
          <w:snapToGrid w:val="0"/>
        </w:rPr>
        <w:tab/>
        <w:t>(2)</w:t>
      </w:r>
      <w:r>
        <w:rPr>
          <w:snapToGrid w:val="0"/>
        </w:rPr>
        <w:tab/>
        <w:t xml:space="preserve">Any direction issued by the Minister under this regulation shall have the force of law, and payments and transfers shall be made to carry out the directions of the Minister. </w:t>
      </w:r>
    </w:p>
    <w:p>
      <w:pPr>
        <w:pStyle w:val="Penstart"/>
        <w:rPr>
          <w:snapToGrid w:val="0"/>
        </w:rPr>
      </w:pPr>
      <w:r>
        <w:rPr>
          <w:snapToGrid w:val="0"/>
        </w:rPr>
        <w:tab/>
        <w:t>Penalty: $40.</w:t>
      </w:r>
    </w:p>
    <w:p>
      <w:pPr>
        <w:pStyle w:val="Subsection"/>
        <w:rPr>
          <w:snapToGrid w:val="0"/>
        </w:rPr>
      </w:pPr>
      <w:r>
        <w:rPr>
          <w:snapToGrid w:val="0"/>
        </w:rPr>
        <w:tab/>
        <w:t>(3)</w:t>
      </w:r>
      <w:r>
        <w:rPr>
          <w:snapToGrid w:val="0"/>
        </w:rPr>
        <w:tab/>
        <w:t>The provisions of this regulation and any direction given by the Minister hereunder shall not exempt any person from liability for any breach of the Act or regulations.</w:t>
      </w:r>
    </w:p>
    <w:p>
      <w:pPr>
        <w:pStyle w:val="Footnotesection"/>
        <w:spacing w:before="100"/>
      </w:pPr>
      <w:r>
        <w:tab/>
        <w:t>[Regulation 10 amended: Act No. 113 of 1965 s. 8.]</w:t>
      </w:r>
    </w:p>
    <w:p>
      <w:pPr>
        <w:pStyle w:val="Heading5"/>
        <w:rPr>
          <w:snapToGrid w:val="0"/>
        </w:rPr>
      </w:pPr>
      <w:bookmarkStart w:id="16" w:name="_Toc378069731"/>
      <w:bookmarkStart w:id="17" w:name="_Toc476837802"/>
      <w:r>
        <w:rPr>
          <w:rStyle w:val="CharSectno"/>
        </w:rPr>
        <w:t>11</w:t>
      </w:r>
      <w:r>
        <w:rPr>
          <w:snapToGrid w:val="0"/>
        </w:rPr>
        <w:t>.</w:t>
      </w:r>
      <w:r>
        <w:rPr>
          <w:snapToGrid w:val="0"/>
        </w:rPr>
        <w:tab/>
        <w:t>Bank account</w:t>
      </w:r>
      <w:bookmarkEnd w:id="16"/>
      <w:bookmarkEnd w:id="17"/>
    </w:p>
    <w:p>
      <w:pPr>
        <w:pStyle w:val="Subsection"/>
        <w:spacing w:before="140"/>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spacing w:before="140"/>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spacing w:before="140"/>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spacing w:before="140"/>
      </w:pPr>
      <w:r>
        <w:tab/>
        <w:t>(4)</w:t>
      </w:r>
      <w:r>
        <w:tab/>
        <w:t>Every bank account of a charitable organisation is to be operated by authority signed by 2 officers of the organisation appointed in writing for the purpose by the governing body of the organisation.</w:t>
      </w:r>
    </w:p>
    <w:p>
      <w:pPr>
        <w:pStyle w:val="Footnotesection"/>
        <w:spacing w:before="100"/>
      </w:pPr>
      <w:r>
        <w:tab/>
        <w:t xml:space="preserve">[Regulation 11 amended: Gazette 22 Oct 1970 p. 3235; 8 Sep 1972 p. 3506; 22 Aug 2000 p. 4847.] </w:t>
      </w:r>
    </w:p>
    <w:p>
      <w:pPr>
        <w:pStyle w:val="Ednotesection"/>
      </w:pPr>
      <w:r>
        <w:t>[</w:t>
      </w:r>
      <w:r>
        <w:rPr>
          <w:b/>
        </w:rPr>
        <w:t>12,</w:t>
      </w:r>
      <w:r>
        <w:t xml:space="preserve"> </w:t>
      </w:r>
      <w:r>
        <w:rPr>
          <w:b/>
        </w:rPr>
        <w:t>13.</w:t>
      </w:r>
      <w:r>
        <w:tab/>
        <w:t>Deleted: Gazette 22 Aug 2000 p. 4847.]</w:t>
      </w:r>
    </w:p>
    <w:p>
      <w:pPr>
        <w:pStyle w:val="Heading5"/>
      </w:pPr>
      <w:bookmarkStart w:id="18" w:name="_Toc378069732"/>
      <w:bookmarkStart w:id="19" w:name="_Toc476837803"/>
      <w:r>
        <w:rPr>
          <w:rStyle w:val="CharSectno"/>
        </w:rPr>
        <w:t>14</w:t>
      </w:r>
      <w:r>
        <w:t>.</w:t>
      </w:r>
      <w:r>
        <w:tab/>
        <w:t>Permitted collection times</w:t>
      </w:r>
      <w:bookmarkEnd w:id="18"/>
      <w:bookmarkEnd w:id="19"/>
    </w:p>
    <w:p>
      <w:pPr>
        <w:pStyle w:val="Subsection"/>
        <w:spacing w:before="140"/>
      </w:pPr>
      <w:r>
        <w:tab/>
        <w:t>(1)</w:t>
      </w:r>
      <w:r>
        <w:tab/>
        <w:t xml:space="preserve">A collector must not visit a house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6 p.m.,</w:t>
      </w:r>
    </w:p>
    <w:p>
      <w:pPr>
        <w:pStyle w:val="Subsection"/>
        <w:spacing w:before="120"/>
      </w:pPr>
      <w:r>
        <w:tab/>
      </w:r>
      <w:r>
        <w:tab/>
        <w:t>unless authorised by the Minister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8 p.m.,</w:t>
      </w:r>
    </w:p>
    <w:p>
      <w:pPr>
        <w:pStyle w:val="Subsection"/>
        <w:spacing w:before="120"/>
      </w:pPr>
      <w:r>
        <w:tab/>
      </w:r>
      <w:r>
        <w:tab/>
        <w:t>unless authorised by the Minister in writing to do so.</w:t>
      </w:r>
    </w:p>
    <w:p>
      <w:pPr>
        <w:pStyle w:val="Footnotesection"/>
        <w:spacing w:before="100"/>
      </w:pPr>
      <w:r>
        <w:tab/>
        <w:t>[Regulation 14 inserted: Gazette 22 Aug 2000 p. 4848.]</w:t>
      </w:r>
    </w:p>
    <w:p>
      <w:pPr>
        <w:pStyle w:val="Ednotesection"/>
      </w:pPr>
      <w:r>
        <w:t>[</w:t>
      </w:r>
      <w:r>
        <w:rPr>
          <w:b/>
        </w:rPr>
        <w:t>15.</w:t>
      </w:r>
      <w:r>
        <w:rPr>
          <w:b/>
        </w:rPr>
        <w:tab/>
      </w:r>
      <w:r>
        <w:t>Deleted: Gazette 22 Aug 2000 p. 4848.]</w:t>
      </w:r>
    </w:p>
    <w:p>
      <w:pPr>
        <w:pStyle w:val="Heading5"/>
      </w:pPr>
      <w:bookmarkStart w:id="20" w:name="_Toc378069733"/>
      <w:bookmarkStart w:id="21" w:name="_Toc476837804"/>
      <w:r>
        <w:rPr>
          <w:rStyle w:val="CharSectno"/>
        </w:rPr>
        <w:t>16</w:t>
      </w:r>
      <w:r>
        <w:t>.</w:t>
      </w:r>
      <w:r>
        <w:rPr>
          <w:rStyle w:val="CharSectno"/>
        </w:rPr>
        <w:tab/>
      </w:r>
      <w:r>
        <w:t>Investments</w:t>
      </w:r>
      <w:bookmarkEnd w:id="20"/>
      <w:bookmarkEnd w:id="21"/>
    </w:p>
    <w:p>
      <w:pPr>
        <w:pStyle w:val="Subsection"/>
        <w:spacing w:before="140"/>
      </w:pPr>
      <w:r>
        <w:tab/>
      </w:r>
      <w:r>
        <w:tab/>
        <w:t xml:space="preserve">Except with the approval of the Minister, a charitable organisation shall not invest monies belonging to the organisation other than — </w:t>
      </w:r>
    </w:p>
    <w:p>
      <w:pPr>
        <w:pStyle w:val="Indenta"/>
        <w:spacing w:before="60"/>
      </w:pPr>
      <w:r>
        <w:tab/>
        <w:t>(a)</w:t>
      </w:r>
      <w:r>
        <w:tab/>
        <w:t xml:space="preserve">in a fixed deposit in any company registered to carry on the business of banking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 xml:space="preserve">as trust funds may be invested under Part III of the </w:t>
      </w:r>
      <w:r>
        <w:rPr>
          <w:i/>
        </w:rPr>
        <w:t>Trustees Act 1962.</w:t>
      </w:r>
    </w:p>
    <w:p>
      <w:pPr>
        <w:pStyle w:val="Footnotesection"/>
        <w:spacing w:before="100"/>
      </w:pPr>
      <w:r>
        <w:tab/>
        <w:t>[Regulation 16 inserted: Gazette 18 Aug 1998 p. 4451; amended: Gazette 27 Nov 1998 p. 6341.]</w:t>
      </w:r>
    </w:p>
    <w:p>
      <w:pPr>
        <w:pStyle w:val="Heading5"/>
        <w:rPr>
          <w:snapToGrid w:val="0"/>
        </w:rPr>
      </w:pPr>
      <w:bookmarkStart w:id="22" w:name="_Toc378069734"/>
      <w:bookmarkStart w:id="23" w:name="_Toc476837805"/>
      <w:r>
        <w:rPr>
          <w:rStyle w:val="CharSectno"/>
        </w:rPr>
        <w:t>17</w:t>
      </w:r>
      <w:r>
        <w:rPr>
          <w:snapToGrid w:val="0"/>
        </w:rPr>
        <w:t>.</w:t>
      </w:r>
      <w:r>
        <w:rPr>
          <w:snapToGrid w:val="0"/>
        </w:rPr>
        <w:tab/>
        <w:t>Penalties</w:t>
      </w:r>
      <w:bookmarkEnd w:id="22"/>
      <w:bookmarkEnd w:id="23"/>
    </w:p>
    <w:p>
      <w:pPr>
        <w:pStyle w:val="Subsection"/>
        <w:spacing w:before="130"/>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Footnotesection"/>
        <w:spacing w:before="100"/>
      </w:pPr>
      <w:r>
        <w:tab/>
        <w:t>[Regulation 17 amended: Act No. 113 of 1965 s. 8.]</w:t>
      </w:r>
    </w:p>
    <w:p>
      <w:pPr>
        <w:pStyle w:val="Heading5"/>
      </w:pPr>
      <w:bookmarkStart w:id="24" w:name="_Toc378069735"/>
      <w:bookmarkStart w:id="25" w:name="_Toc476837806"/>
      <w:r>
        <w:rPr>
          <w:rStyle w:val="CharSectno"/>
        </w:rPr>
        <w:t>18</w:t>
      </w:r>
      <w:r>
        <w:t>.</w:t>
      </w:r>
      <w:r>
        <w:tab/>
        <w:t>Infringement notices</w:t>
      </w:r>
      <w:bookmarkEnd w:id="24"/>
      <w:bookmarkEnd w:id="25"/>
    </w:p>
    <w:p>
      <w:pPr>
        <w:pStyle w:val="Subsection"/>
        <w:spacing w:before="140"/>
      </w:pPr>
      <w:r>
        <w:tab/>
        <w:t>(1)</w:t>
      </w:r>
      <w:r>
        <w:tab/>
        <w:t xml:space="preserve">The offences specified in Schedule 1 are offences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Gazette 22 Sep 2006 p. 4079; amended: Gazette 12 Jun 2009 p. 2107.]</w:t>
      </w:r>
    </w:p>
    <w:p>
      <w:pPr>
        <w:pStyle w:val="Heading5"/>
      </w:pPr>
      <w:bookmarkStart w:id="26" w:name="_Toc378069736"/>
      <w:bookmarkStart w:id="27" w:name="_Toc476837807"/>
      <w:r>
        <w:rPr>
          <w:rStyle w:val="CharSectno"/>
        </w:rPr>
        <w:t>19</w:t>
      </w:r>
      <w:r>
        <w:t>.</w:t>
      </w:r>
      <w:r>
        <w:tab/>
        <w:t>Forms</w:t>
      </w:r>
      <w:bookmarkEnd w:id="26"/>
      <w:bookmarkEnd w:id="27"/>
    </w:p>
    <w:p>
      <w:pPr>
        <w:pStyle w:val="Subsection"/>
      </w:pPr>
      <w:r>
        <w:tab/>
      </w:r>
      <w:r>
        <w:tab/>
        <w:t>The forms set out in Schedule 2 are prescribed in relation to the matters specified in those forms.</w:t>
      </w:r>
    </w:p>
    <w:p>
      <w:pPr>
        <w:pStyle w:val="Footnotesection"/>
      </w:pPr>
      <w:r>
        <w:tab/>
        <w:t>[Regulation 19 inserted: Gazette 22 Sep 2006 p. 4079.]</w:t>
      </w:r>
    </w:p>
    <w:p>
      <w:pPr>
        <w:pStyle w:val="yEdnotesection"/>
        <w:rPr>
          <w:sz w:val="24"/>
          <w:szCs w:val="24"/>
        </w:rPr>
      </w:pPr>
      <w:r>
        <w:rPr>
          <w:sz w:val="24"/>
          <w:szCs w:val="24"/>
        </w:rPr>
        <w:t>[Appendix deleted: Gazette 22 Aug 2000 p. 4848.]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8" w:name="_Toc378069737"/>
      <w:bookmarkStart w:id="29" w:name="_Toc415234065"/>
      <w:bookmarkStart w:id="30" w:name="_Toc415234081"/>
      <w:bookmarkStart w:id="31" w:name="_Toc476837808"/>
      <w:r>
        <w:rPr>
          <w:rStyle w:val="CharSchNo"/>
        </w:rPr>
        <w:t>Schedule 1</w:t>
      </w:r>
      <w:r>
        <w:t> — </w:t>
      </w:r>
      <w:r>
        <w:rPr>
          <w:rStyle w:val="CharSchText"/>
        </w:rPr>
        <w:t>Prescribed offences and modified penalties</w:t>
      </w:r>
      <w:bookmarkEnd w:id="28"/>
      <w:bookmarkEnd w:id="29"/>
      <w:bookmarkEnd w:id="30"/>
      <w:bookmarkEnd w:id="31"/>
    </w:p>
    <w:p>
      <w:pPr>
        <w:pStyle w:val="yShoulderClause"/>
      </w:pPr>
      <w:r>
        <w:t>[r. 18]</w:t>
      </w:r>
    </w:p>
    <w:p>
      <w:pPr>
        <w:pStyle w:val="yFootnoteheading"/>
        <w:spacing w:after="60"/>
      </w:pPr>
      <w:r>
        <w:tab/>
        <w:t>[Heading inserted: Gazette 22 Sep 2006 p. 4079.]</w:t>
      </w:r>
    </w:p>
    <w:tbl>
      <w:tblPr>
        <w:tblW w:w="0" w:type="auto"/>
        <w:tblInd w:w="57" w:type="dxa"/>
        <w:tblLayout w:type="fixed"/>
        <w:tblCellMar>
          <w:left w:w="57" w:type="dxa"/>
          <w:right w:w="57" w:type="dxa"/>
        </w:tblCellMar>
        <w:tblLook w:val="0000" w:firstRow="0" w:lastRow="0" w:firstColumn="0" w:lastColumn="0" w:noHBand="0" w:noVBand="0"/>
      </w:tblPr>
      <w:tblGrid>
        <w:gridCol w:w="993"/>
        <w:gridCol w:w="5103"/>
        <w:gridCol w:w="992"/>
      </w:tblGrid>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Act 1946</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s. 6</w:t>
            </w:r>
          </w:p>
        </w:tc>
        <w:tc>
          <w:tcPr>
            <w:tcW w:w="5103" w:type="dxa"/>
          </w:tcPr>
          <w:p>
            <w:pPr>
              <w:pStyle w:val="yTableNAm"/>
            </w:pPr>
            <w:r>
              <w:t>Unlicensed person collecting for charity .........................</w:t>
            </w:r>
          </w:p>
        </w:tc>
        <w:tc>
          <w:tcPr>
            <w:tcW w:w="992" w:type="dxa"/>
          </w:tcPr>
          <w:p>
            <w:pPr>
              <w:pStyle w:val="yTableNAm"/>
            </w:pPr>
            <w:r>
              <w:t>$20</w:t>
            </w:r>
          </w:p>
        </w:tc>
      </w:tr>
      <w:tr>
        <w:trPr>
          <w:cantSplit/>
          <w:trHeight w:val="21"/>
        </w:trPr>
        <w:tc>
          <w:tcPr>
            <w:tcW w:w="993" w:type="dxa"/>
          </w:tcPr>
          <w:p>
            <w:pPr>
              <w:pStyle w:val="yTableNAm"/>
            </w:pPr>
            <w:r>
              <w:t>s. 9</w:t>
            </w:r>
          </w:p>
        </w:tc>
        <w:tc>
          <w:tcPr>
            <w:tcW w:w="5103" w:type="dxa"/>
          </w:tcPr>
          <w:p>
            <w:pPr>
              <w:pStyle w:val="yTableNAm"/>
            </w:pPr>
            <w:r>
              <w:t>Failing to deliver moneys, books etc. when authority revoked ............................................................................</w:t>
            </w:r>
          </w:p>
        </w:tc>
        <w:tc>
          <w:tcPr>
            <w:tcW w:w="992" w:type="dxa"/>
          </w:tcPr>
          <w:p>
            <w:pPr>
              <w:pStyle w:val="yTableNAm"/>
            </w:pPr>
            <w:r>
              <w:br/>
              <w:t>$20</w:t>
            </w:r>
          </w:p>
        </w:tc>
      </w:tr>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Regulations 1947</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r. 8(1)</w:t>
            </w:r>
          </w:p>
        </w:tc>
        <w:tc>
          <w:tcPr>
            <w:tcW w:w="5103" w:type="dxa"/>
          </w:tcPr>
          <w:p>
            <w:pPr>
              <w:pStyle w:val="yTableNAm"/>
            </w:pPr>
            <w:r>
              <w:t>Failing to provide information required by Minister .......</w:t>
            </w:r>
          </w:p>
        </w:tc>
        <w:tc>
          <w:tcPr>
            <w:tcW w:w="992" w:type="dxa"/>
          </w:tcPr>
          <w:p>
            <w:pPr>
              <w:pStyle w:val="yTableNAm"/>
            </w:pPr>
            <w:r>
              <w:t>$8</w:t>
            </w:r>
          </w:p>
        </w:tc>
      </w:tr>
      <w:tr>
        <w:trPr>
          <w:cantSplit/>
          <w:trHeight w:val="21"/>
        </w:trPr>
        <w:tc>
          <w:tcPr>
            <w:tcW w:w="993" w:type="dxa"/>
          </w:tcPr>
          <w:p>
            <w:pPr>
              <w:pStyle w:val="yTableNAm"/>
            </w:pPr>
            <w:r>
              <w:t>r. 8(2)</w:t>
            </w:r>
          </w:p>
        </w:tc>
        <w:tc>
          <w:tcPr>
            <w:tcW w:w="5103" w:type="dxa"/>
          </w:tcPr>
          <w:p>
            <w:pPr>
              <w:pStyle w:val="yTableNAm"/>
            </w:pPr>
            <w:r>
              <w:t>Failing to notify change of executive officers .................</w:t>
            </w:r>
          </w:p>
        </w:tc>
        <w:tc>
          <w:tcPr>
            <w:tcW w:w="992" w:type="dxa"/>
          </w:tcPr>
          <w:p>
            <w:pPr>
              <w:pStyle w:val="yTableNAm"/>
            </w:pPr>
            <w:r>
              <w:t>$8</w:t>
            </w:r>
          </w:p>
        </w:tc>
      </w:tr>
      <w:tr>
        <w:trPr>
          <w:cantSplit/>
          <w:trHeight w:val="21"/>
        </w:trPr>
        <w:tc>
          <w:tcPr>
            <w:tcW w:w="993" w:type="dxa"/>
          </w:tcPr>
          <w:p>
            <w:pPr>
              <w:pStyle w:val="yTableNAm"/>
            </w:pPr>
            <w:r>
              <w:t>r. 14(1)</w:t>
            </w:r>
          </w:p>
        </w:tc>
        <w:tc>
          <w:tcPr>
            <w:tcW w:w="5103" w:type="dxa"/>
          </w:tcPr>
          <w:p>
            <w:pPr>
              <w:pStyle w:val="yTableNAm"/>
            </w:pPr>
            <w:r>
              <w:t>Visiting a house for purposes of collecting outside permitted hours ................................................................</w:t>
            </w:r>
          </w:p>
        </w:tc>
        <w:tc>
          <w:tcPr>
            <w:tcW w:w="992" w:type="dxa"/>
          </w:tcPr>
          <w:p>
            <w:pPr>
              <w:pStyle w:val="yTableNAm"/>
            </w:pPr>
            <w:r>
              <w:br/>
              <w:t>$8</w:t>
            </w:r>
          </w:p>
        </w:tc>
      </w:tr>
      <w:tr>
        <w:trPr>
          <w:cantSplit/>
          <w:trHeight w:val="21"/>
        </w:trPr>
        <w:tc>
          <w:tcPr>
            <w:tcW w:w="993" w:type="dxa"/>
            <w:tcBorders>
              <w:bottom w:val="single" w:sz="4" w:space="0" w:color="auto"/>
            </w:tcBorders>
          </w:tcPr>
          <w:p>
            <w:pPr>
              <w:pStyle w:val="yTableNAm"/>
            </w:pPr>
            <w:r>
              <w:t>r. 14(2)</w:t>
            </w:r>
          </w:p>
        </w:tc>
        <w:tc>
          <w:tcPr>
            <w:tcW w:w="5103" w:type="dxa"/>
            <w:tcBorders>
              <w:bottom w:val="single" w:sz="4" w:space="0" w:color="auto"/>
            </w:tcBorders>
          </w:tcPr>
          <w:p>
            <w:pPr>
              <w:pStyle w:val="yTableNAm"/>
            </w:pPr>
            <w:r>
              <w:t>Making telephone call for purposes of collecting outside permitted hours ................................................................</w:t>
            </w:r>
          </w:p>
        </w:tc>
        <w:tc>
          <w:tcPr>
            <w:tcW w:w="992" w:type="dxa"/>
            <w:tcBorders>
              <w:bottom w:val="single" w:sz="4" w:space="0" w:color="auto"/>
            </w:tcBorders>
          </w:tcPr>
          <w:p>
            <w:pPr>
              <w:pStyle w:val="yTableNAm"/>
            </w:pPr>
            <w:r>
              <w:br/>
              <w:t>$8</w:t>
            </w:r>
          </w:p>
        </w:tc>
      </w:tr>
    </w:tbl>
    <w:p>
      <w:pPr>
        <w:pStyle w:val="yFootnotesection"/>
        <w:rPr>
          <w:rStyle w:val="CharSchNo"/>
        </w:rPr>
      </w:pPr>
      <w:r>
        <w:rPr>
          <w:rStyle w:val="CharSchNo"/>
        </w:rPr>
        <w:tab/>
        <w:t xml:space="preserve">[Schedule 1 inserted: </w:t>
      </w:r>
      <w:r>
        <w:t>Gazette 22 Sep 2006 p. 4079-80.]</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33" w:name="_Toc378069738"/>
      <w:bookmarkStart w:id="34" w:name="_Toc415234066"/>
      <w:bookmarkStart w:id="35" w:name="_Toc415234082"/>
      <w:bookmarkStart w:id="36" w:name="_Toc476837809"/>
      <w:r>
        <w:rPr>
          <w:rStyle w:val="CharSchNo"/>
        </w:rPr>
        <w:t>Schedule 2</w:t>
      </w:r>
      <w:r>
        <w:t> — </w:t>
      </w:r>
      <w:r>
        <w:rPr>
          <w:rStyle w:val="CharSchText"/>
        </w:rPr>
        <w:t>Forms</w:t>
      </w:r>
      <w:bookmarkEnd w:id="33"/>
      <w:bookmarkEnd w:id="34"/>
      <w:bookmarkEnd w:id="35"/>
      <w:bookmarkEnd w:id="36"/>
    </w:p>
    <w:p>
      <w:pPr>
        <w:pStyle w:val="yShoulderClause"/>
      </w:pPr>
      <w:r>
        <w:t>[r. 19]</w:t>
      </w:r>
    </w:p>
    <w:p>
      <w:pPr>
        <w:pStyle w:val="yFootnoteheading"/>
      </w:pPr>
      <w:r>
        <w:tab/>
        <w:t>[Heading inserted: Gazette 22 Sep 2006 p. 4080.]</w:t>
      </w:r>
    </w:p>
    <w:p>
      <w:pPr>
        <w:pStyle w:val="yMiscellaneousBody"/>
        <w:spacing w:after="120"/>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70"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459"/>
              </w:tabs>
              <w:spacing w:before="0"/>
              <w:ind w:left="459" w:hanging="283"/>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
              <w:spacing w:before="0"/>
              <w:ind w:left="601"/>
              <w:rPr>
                <w:sz w:val="20"/>
                <w:vertAlign w:val="superscript"/>
              </w:rPr>
            </w:pPr>
            <w:r>
              <w:rPr>
                <w:sz w:val="20"/>
              </w:rPr>
              <w:t xml:space="preserve">Department of Consumer and Employment Protection </w:t>
            </w:r>
            <w:r>
              <w:rPr>
                <w:sz w:val="20"/>
                <w:vertAlign w:val="superscript"/>
              </w:rPr>
              <w:t>2</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vertAlign w:val="superscript"/>
              </w:rPr>
            </w:pPr>
            <w:r>
              <w:rPr>
                <w:sz w:val="20"/>
              </w:rPr>
              <w:t>Department of Consumer and Employment Protection</w:t>
            </w:r>
            <w:r>
              <w:rPr>
                <w:sz w:val="20"/>
                <w:vertAlign w:val="superscript"/>
              </w:rPr>
              <w:t xml:space="preserve"> 2</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Gazette 22 Sep 2006 p. 4080; amended: Gazette 20 Aug 2013 p. 3824.]</w:t>
      </w:r>
    </w:p>
    <w:p>
      <w:pPr>
        <w:pStyle w:val="yMiscellaneousBody"/>
        <w:pageBreakBefore/>
        <w:spacing w:before="0" w:after="12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70"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7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70"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70"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7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
              <w:spacing w:before="0"/>
              <w:ind w:left="510"/>
              <w:rPr>
                <w:sz w:val="20"/>
                <w:vertAlign w:val="superscript"/>
              </w:rPr>
            </w:pPr>
            <w:r>
              <w:rPr>
                <w:sz w:val="20"/>
              </w:rPr>
              <w:t xml:space="preserve">Department of Consumer and Employment Protection </w:t>
            </w:r>
            <w:r>
              <w:rPr>
                <w:sz w:val="20"/>
                <w:vertAlign w:val="superscript"/>
              </w:rPr>
              <w:t>2</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Gazette 22 Sep 2006 p. 4081.]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37" w:name="_Toc378069739"/>
      <w:bookmarkStart w:id="38" w:name="_Toc415234067"/>
      <w:bookmarkStart w:id="39" w:name="_Toc415234083"/>
      <w:bookmarkStart w:id="40" w:name="_Toc476837810"/>
      <w:r>
        <w:t>Notes</w:t>
      </w:r>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Charitable Collections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378069740"/>
      <w:bookmarkStart w:id="42" w:name="_Toc476837811"/>
      <w:r>
        <w:rPr>
          <w:snapToGrid w:val="0"/>
        </w:rPr>
        <w:t>Compilation table</w:t>
      </w:r>
      <w:bookmarkEnd w:id="41"/>
      <w:bookmarkEnd w:id="4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Charitable Collections Regulations 1947</w:t>
            </w:r>
          </w:p>
        </w:tc>
        <w:tc>
          <w:tcPr>
            <w:tcW w:w="1276" w:type="dxa"/>
            <w:tcBorders>
              <w:top w:val="single" w:sz="8" w:space="0" w:color="auto"/>
            </w:tcBorders>
          </w:tcPr>
          <w:p>
            <w:pPr>
              <w:pStyle w:val="nTable"/>
              <w:spacing w:after="40"/>
            </w:pPr>
            <w:r>
              <w:t>3 Apr 1947 p. 566</w:t>
            </w:r>
            <w:r>
              <w:noBreakHyphen/>
              <w:t>73</w:t>
            </w:r>
          </w:p>
        </w:tc>
        <w:tc>
          <w:tcPr>
            <w:tcW w:w="2693" w:type="dxa"/>
            <w:tcBorders>
              <w:top w:val="single" w:sz="8" w:space="0" w:color="auto"/>
            </w:tcBorders>
          </w:tcPr>
          <w:p>
            <w:pPr>
              <w:pStyle w:val="nTable"/>
              <w:spacing w:after="40"/>
            </w:pPr>
            <w:r>
              <w:t>3 Apr 1947</w:t>
            </w:r>
          </w:p>
        </w:tc>
      </w:tr>
      <w:tr>
        <w:trPr>
          <w:cantSplit/>
        </w:trPr>
        <w:tc>
          <w:tcPr>
            <w:tcW w:w="3118" w:type="dxa"/>
          </w:tcPr>
          <w:p>
            <w:pPr>
              <w:pStyle w:val="nTable"/>
              <w:keepLines/>
              <w:tabs>
                <w:tab w:val="left" w:pos="893"/>
              </w:tabs>
              <w:spacing w:after="40"/>
              <w:ind w:right="113"/>
            </w:pPr>
            <w:r>
              <w:t>Untitled regulations</w:t>
            </w:r>
          </w:p>
        </w:tc>
        <w:tc>
          <w:tcPr>
            <w:tcW w:w="1276" w:type="dxa"/>
          </w:tcPr>
          <w:p>
            <w:pPr>
              <w:pStyle w:val="nTable"/>
              <w:spacing w:after="40"/>
            </w:pPr>
            <w:r>
              <w:t>2 Oct 1953</w:t>
            </w:r>
            <w:r>
              <w:br/>
              <w:t>p. 2025</w:t>
            </w:r>
          </w:p>
        </w:tc>
        <w:tc>
          <w:tcPr>
            <w:tcW w:w="2693" w:type="dxa"/>
          </w:tcPr>
          <w:p>
            <w:pPr>
              <w:pStyle w:val="nTable"/>
              <w:spacing w:after="40"/>
            </w:pPr>
            <w:r>
              <w:t>2 Oct 1953</w:t>
            </w:r>
          </w:p>
        </w:tc>
      </w:tr>
      <w:tr>
        <w:trPr>
          <w:cantSplit/>
        </w:trPr>
        <w:tc>
          <w:tcPr>
            <w:tcW w:w="4394"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Act other than s. 4-9: 21 Dec 1965 (see s. 2(1));</w:t>
            </w:r>
            <w:r>
              <w:br/>
              <w:t>s. 4-9: 14 Feb 1966 (see s. 2(2))</w:t>
            </w:r>
          </w:p>
        </w:tc>
      </w:tr>
      <w:tr>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in </w:t>
            </w:r>
            <w:r>
              <w:rPr>
                <w:b/>
                <w:i/>
              </w:rPr>
              <w:t>Gazette</w:t>
            </w:r>
            <w:r>
              <w:rPr>
                <w:b/>
              </w:rPr>
              <w:t xml:space="preserve"> 26 Jul 1966 p. 2067</w:t>
            </w:r>
            <w:r>
              <w:rPr>
                <w:b/>
              </w:rPr>
              <w:noBreakHyphen/>
              <w:t>77</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22 Oct 1970 p. 3235</w:t>
            </w:r>
          </w:p>
        </w:tc>
        <w:tc>
          <w:tcPr>
            <w:tcW w:w="2693" w:type="dxa"/>
          </w:tcPr>
          <w:p>
            <w:pPr>
              <w:pStyle w:val="nTable"/>
              <w:spacing w:after="40"/>
            </w:pPr>
            <w:r>
              <w:t>22 Oct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8 Sep 1972 p. 3506</w:t>
            </w:r>
          </w:p>
        </w:tc>
        <w:tc>
          <w:tcPr>
            <w:tcW w:w="2693" w:type="dxa"/>
          </w:tcPr>
          <w:p>
            <w:pPr>
              <w:pStyle w:val="nTable"/>
              <w:spacing w:after="40"/>
            </w:pPr>
            <w:r>
              <w:t>8 Sep 1972</w:t>
            </w:r>
          </w:p>
        </w:tc>
      </w:tr>
      <w:tr>
        <w:trPr>
          <w:cantSplit/>
        </w:trPr>
        <w:tc>
          <w:tcPr>
            <w:tcW w:w="3118" w:type="dxa"/>
          </w:tcPr>
          <w:p>
            <w:pPr>
              <w:pStyle w:val="nTable"/>
              <w:spacing w:after="40"/>
              <w:ind w:right="113"/>
            </w:pPr>
            <w:r>
              <w:t>Untitled regulations</w:t>
            </w:r>
          </w:p>
        </w:tc>
        <w:tc>
          <w:tcPr>
            <w:tcW w:w="1276" w:type="dxa"/>
          </w:tcPr>
          <w:p>
            <w:pPr>
              <w:pStyle w:val="nTable"/>
              <w:spacing w:after="40"/>
            </w:pPr>
            <w:r>
              <w:t>21 Jan 1977 p. 132</w:t>
            </w:r>
          </w:p>
        </w:tc>
        <w:tc>
          <w:tcPr>
            <w:tcW w:w="2693" w:type="dxa"/>
          </w:tcPr>
          <w:p>
            <w:pPr>
              <w:pStyle w:val="nTable"/>
              <w:spacing w:after="40"/>
            </w:pPr>
            <w:r>
              <w:t>21 Jan 1977</w:t>
            </w:r>
          </w:p>
        </w:tc>
      </w:tr>
      <w:tr>
        <w:trPr>
          <w:cantSplit/>
        </w:trPr>
        <w:tc>
          <w:tcPr>
            <w:tcW w:w="3118" w:type="dxa"/>
          </w:tcPr>
          <w:p>
            <w:pPr>
              <w:pStyle w:val="nTable"/>
              <w:spacing w:after="40"/>
              <w:ind w:right="113"/>
            </w:pPr>
            <w:r>
              <w:rPr>
                <w:i/>
              </w:rPr>
              <w:t>Charitable Collections Amendment Regulations 1994</w:t>
            </w:r>
          </w:p>
        </w:tc>
        <w:tc>
          <w:tcPr>
            <w:tcW w:w="1276" w:type="dxa"/>
          </w:tcPr>
          <w:p>
            <w:pPr>
              <w:pStyle w:val="nTable"/>
              <w:spacing w:after="40"/>
            </w:pPr>
            <w:r>
              <w:t>6 May 1994 p. 1874</w:t>
            </w:r>
            <w:r>
              <w:noBreakHyphen/>
              <w:t>5</w:t>
            </w:r>
          </w:p>
        </w:tc>
        <w:tc>
          <w:tcPr>
            <w:tcW w:w="2693" w:type="dxa"/>
          </w:tcPr>
          <w:p>
            <w:pPr>
              <w:pStyle w:val="nTable"/>
              <w:spacing w:after="40"/>
            </w:pPr>
            <w:r>
              <w:t>6 May 1994</w:t>
            </w:r>
          </w:p>
        </w:tc>
      </w:tr>
      <w:tr>
        <w:trPr>
          <w:cantSplit/>
        </w:trPr>
        <w:tc>
          <w:tcPr>
            <w:tcW w:w="3118" w:type="dxa"/>
          </w:tcPr>
          <w:p>
            <w:pPr>
              <w:pStyle w:val="nTable"/>
              <w:spacing w:after="40"/>
              <w:ind w:right="113"/>
              <w:rPr>
                <w:i/>
              </w:rPr>
            </w:pPr>
            <w:r>
              <w:rPr>
                <w:i/>
              </w:rPr>
              <w:t>Charitable Collections Amendment Regulations 1998</w:t>
            </w:r>
          </w:p>
        </w:tc>
        <w:tc>
          <w:tcPr>
            <w:tcW w:w="1276" w:type="dxa"/>
          </w:tcPr>
          <w:p>
            <w:pPr>
              <w:pStyle w:val="nTable"/>
              <w:spacing w:after="40"/>
            </w:pPr>
            <w:r>
              <w:t>18 Aug 1998 p. 4451</w:t>
            </w:r>
          </w:p>
        </w:tc>
        <w:tc>
          <w:tcPr>
            <w:tcW w:w="2693" w:type="dxa"/>
          </w:tcPr>
          <w:p>
            <w:pPr>
              <w:pStyle w:val="nTable"/>
              <w:spacing w:after="40"/>
            </w:pPr>
            <w:r>
              <w:t>18 Aug 1998</w:t>
            </w:r>
          </w:p>
        </w:tc>
      </w:tr>
      <w:tr>
        <w:trPr>
          <w:cantSplit/>
        </w:trPr>
        <w:tc>
          <w:tcPr>
            <w:tcW w:w="3118" w:type="dxa"/>
          </w:tcPr>
          <w:p>
            <w:pPr>
              <w:pStyle w:val="nTable"/>
              <w:spacing w:after="40"/>
              <w:ind w:right="113"/>
              <w:rPr>
                <w:i/>
              </w:rPr>
            </w:pPr>
            <w:r>
              <w:rPr>
                <w:i/>
              </w:rPr>
              <w:t>Charitable Collections Amendment Regulations (No. 2) 1998</w:t>
            </w:r>
          </w:p>
        </w:tc>
        <w:tc>
          <w:tcPr>
            <w:tcW w:w="1276" w:type="dxa"/>
          </w:tcPr>
          <w:p>
            <w:pPr>
              <w:pStyle w:val="nTable"/>
              <w:spacing w:after="40"/>
            </w:pPr>
            <w:r>
              <w:t>27 Nov 1998 p. 6341</w:t>
            </w:r>
          </w:p>
        </w:tc>
        <w:tc>
          <w:tcPr>
            <w:tcW w:w="2693" w:type="dxa"/>
          </w:tcPr>
          <w:p>
            <w:pPr>
              <w:pStyle w:val="nTable"/>
              <w:spacing w:after="40"/>
            </w:pPr>
            <w:r>
              <w:t>27 Nov 1998</w:t>
            </w:r>
          </w:p>
        </w:tc>
      </w:tr>
      <w:tr>
        <w:trPr>
          <w:cantSplit/>
        </w:trPr>
        <w:tc>
          <w:tcPr>
            <w:tcW w:w="3118" w:type="dxa"/>
          </w:tcPr>
          <w:p>
            <w:pPr>
              <w:pStyle w:val="nTable"/>
              <w:spacing w:after="40"/>
              <w:ind w:right="113"/>
              <w:rPr>
                <w:i/>
                <w:vertAlign w:val="superscript"/>
              </w:rPr>
            </w:pPr>
            <w:r>
              <w:rPr>
                <w:i/>
              </w:rPr>
              <w:t>Charitable Collections Amendment Regulations 2000 </w:t>
            </w:r>
            <w:r>
              <w:rPr>
                <w:vertAlign w:val="superscript"/>
              </w:rPr>
              <w:t>3</w:t>
            </w:r>
          </w:p>
        </w:tc>
        <w:tc>
          <w:tcPr>
            <w:tcW w:w="1276" w:type="dxa"/>
          </w:tcPr>
          <w:p>
            <w:pPr>
              <w:pStyle w:val="nTable"/>
              <w:spacing w:after="40"/>
            </w:pPr>
            <w:r>
              <w:t>22 Aug 2000 p. 4845-8</w:t>
            </w:r>
          </w:p>
        </w:tc>
        <w:tc>
          <w:tcPr>
            <w:tcW w:w="2693" w:type="dxa"/>
          </w:tcPr>
          <w:p>
            <w:pPr>
              <w:pStyle w:val="nTable"/>
              <w:spacing w:after="40"/>
            </w:pPr>
            <w:r>
              <w:t>22 Aug 2000</w:t>
            </w:r>
          </w:p>
        </w:tc>
      </w:tr>
      <w:tr>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as at 3 Oct 2000</w:t>
            </w:r>
            <w:r>
              <w:t xml:space="preserve"> (includes amendments listed above)</w:t>
            </w:r>
          </w:p>
        </w:tc>
      </w:tr>
      <w:tr>
        <w:trPr>
          <w:cantSplit/>
        </w:trPr>
        <w:tc>
          <w:tcPr>
            <w:tcW w:w="3118" w:type="dxa"/>
          </w:tcPr>
          <w:p>
            <w:pPr>
              <w:pStyle w:val="nTable"/>
              <w:spacing w:after="40"/>
              <w:ind w:right="113"/>
              <w:rPr>
                <w:i/>
              </w:rPr>
            </w:pPr>
            <w:r>
              <w:rPr>
                <w:i/>
              </w:rPr>
              <w:t>Charitable Collections Amendment Regulations 2006</w:t>
            </w:r>
          </w:p>
        </w:tc>
        <w:tc>
          <w:tcPr>
            <w:tcW w:w="1276" w:type="dxa"/>
          </w:tcPr>
          <w:p>
            <w:pPr>
              <w:pStyle w:val="nTable"/>
              <w:spacing w:after="40"/>
            </w:pPr>
            <w:r>
              <w:t>22 Sep 2006 p. 4078</w:t>
            </w:r>
            <w:r>
              <w:noBreakHyphen/>
              <w:t>81</w:t>
            </w:r>
          </w:p>
        </w:tc>
        <w:tc>
          <w:tcPr>
            <w:tcW w:w="2693" w:type="dxa"/>
          </w:tcPr>
          <w:p>
            <w:pPr>
              <w:pStyle w:val="nTable"/>
              <w:spacing w:after="40"/>
            </w:pPr>
            <w:r>
              <w:t>22 Sep 2006 (see r. 2(a))</w:t>
            </w:r>
          </w:p>
        </w:tc>
      </w:tr>
      <w:tr>
        <w:trPr>
          <w:cantSplit/>
        </w:trPr>
        <w:tc>
          <w:tcPr>
            <w:tcW w:w="3118" w:type="dxa"/>
          </w:tcPr>
          <w:p>
            <w:pPr>
              <w:pStyle w:val="nTable"/>
              <w:spacing w:after="40"/>
              <w:ind w:right="113"/>
              <w:rPr>
                <w:i/>
              </w:rPr>
            </w:pPr>
            <w:r>
              <w:rPr>
                <w:i/>
              </w:rPr>
              <w:t>Charitable Collections Amendment Regulations 2009</w:t>
            </w:r>
          </w:p>
        </w:tc>
        <w:tc>
          <w:tcPr>
            <w:tcW w:w="1276" w:type="dxa"/>
          </w:tcPr>
          <w:p>
            <w:pPr>
              <w:pStyle w:val="nTable"/>
              <w:spacing w:after="40"/>
            </w:pPr>
            <w:r>
              <w:t>12 Jun 2009 p. 2106</w:t>
            </w:r>
            <w:r>
              <w:noBreakHyphen/>
              <w:t>7</w:t>
            </w:r>
          </w:p>
        </w:tc>
        <w:tc>
          <w:tcPr>
            <w:tcW w:w="2693" w:type="dxa"/>
          </w:tcPr>
          <w:p>
            <w:pPr>
              <w:pStyle w:val="nTable"/>
              <w:spacing w:after="40"/>
            </w:pPr>
            <w:r>
              <w:rPr>
                <w:snapToGrid w:val="0"/>
                <w:spacing w:val="-2"/>
              </w:rPr>
              <w:t>r. 1 and 2: 12 Jun 2009 (see r. 2(a));</w:t>
            </w:r>
            <w:r>
              <w:rPr>
                <w:snapToGrid w:val="0"/>
                <w:spacing w:val="-2"/>
              </w:rPr>
              <w:br/>
              <w:t>Regulations other than r. 1 and 2: 13 Jun 2009 (see r. 2(b))</w:t>
            </w:r>
          </w:p>
        </w:tc>
      </w:tr>
      <w:tr>
        <w:trPr>
          <w:cantSplit/>
        </w:trPr>
        <w:tc>
          <w:tcPr>
            <w:tcW w:w="3118" w:type="dxa"/>
            <w:shd w:val="clear" w:color="auto" w:fill="auto"/>
          </w:tcPr>
          <w:p>
            <w:pPr>
              <w:pStyle w:val="nTable"/>
              <w:spacing w:after="40"/>
              <w:ind w:right="113"/>
              <w:rPr>
                <w:i/>
              </w:rPr>
            </w:pPr>
            <w:r>
              <w:rPr>
                <w:i/>
              </w:rPr>
              <w:t>Charitable Collections Amendment Regulations 2011</w:t>
            </w:r>
          </w:p>
        </w:tc>
        <w:tc>
          <w:tcPr>
            <w:tcW w:w="1276" w:type="dxa"/>
            <w:shd w:val="clear" w:color="auto" w:fill="auto"/>
          </w:tcPr>
          <w:p>
            <w:pPr>
              <w:pStyle w:val="nTable"/>
              <w:spacing w:after="40"/>
            </w:pPr>
            <w:r>
              <w:t>30 Jun 2011 p. 2647</w:t>
            </w:r>
          </w:p>
        </w:tc>
        <w:tc>
          <w:tcPr>
            <w:tcW w:w="2693" w:type="dxa"/>
            <w:shd w:val="clear" w:color="auto" w:fill="auto"/>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7087" w:type="dxa"/>
            <w:gridSpan w:val="3"/>
            <w:shd w:val="clear" w:color="auto" w:fill="auto"/>
          </w:tcPr>
          <w:p>
            <w:pPr>
              <w:pStyle w:val="nTable"/>
              <w:spacing w:after="40"/>
              <w:rPr>
                <w:snapToGrid w:val="0"/>
                <w:spacing w:val="-2"/>
              </w:rPr>
            </w:pPr>
            <w:r>
              <w:rPr>
                <w:b/>
              </w:rPr>
              <w:t xml:space="preserve">Reprint 3: The </w:t>
            </w:r>
            <w:r>
              <w:rPr>
                <w:b/>
                <w:i/>
              </w:rPr>
              <w:t>Charitable Collections Regulations 1947</w:t>
            </w:r>
            <w:r>
              <w:rPr>
                <w:b/>
              </w:rPr>
              <w:t xml:space="preserve"> as at 26 Apr 2013</w:t>
            </w:r>
            <w:r>
              <w:t xml:space="preserve"> (includes amendments listed above)</w:t>
            </w:r>
          </w:p>
        </w:tc>
      </w:tr>
      <w:tr>
        <w:trPr>
          <w:cantSplit/>
        </w:trPr>
        <w:tc>
          <w:tcPr>
            <w:tcW w:w="3118" w:type="dxa"/>
            <w:shd w:val="clear" w:color="auto" w:fill="auto"/>
          </w:tcPr>
          <w:p>
            <w:pPr>
              <w:pStyle w:val="nTable"/>
              <w:spacing w:after="40"/>
              <w:ind w:right="113"/>
              <w:rPr>
                <w:i/>
              </w:rPr>
            </w:pPr>
            <w:r>
              <w:rPr>
                <w:i/>
              </w:rPr>
              <w:t>Charitable Collections Amendment Regulations 2013</w:t>
            </w:r>
          </w:p>
        </w:tc>
        <w:tc>
          <w:tcPr>
            <w:tcW w:w="1276" w:type="dxa"/>
            <w:shd w:val="clear" w:color="auto" w:fill="auto"/>
          </w:tcPr>
          <w:p>
            <w:pPr>
              <w:pStyle w:val="nTable"/>
              <w:spacing w:after="40"/>
            </w:pPr>
            <w:r>
              <w:t>20 Aug 2013 p. 3824</w:t>
            </w:r>
          </w:p>
        </w:tc>
        <w:tc>
          <w:tcPr>
            <w:tcW w:w="2693" w:type="dxa"/>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rPr>
          <w:cantSplit/>
        </w:trPr>
        <w:tc>
          <w:tcPr>
            <w:tcW w:w="3118" w:type="dxa"/>
            <w:tcBorders>
              <w:bottom w:val="single" w:sz="4" w:space="0" w:color="auto"/>
            </w:tcBorders>
            <w:shd w:val="clear" w:color="auto" w:fill="auto"/>
          </w:tcPr>
          <w:p>
            <w:pPr>
              <w:pStyle w:val="nTable"/>
              <w:spacing w:after="40"/>
              <w:ind w:right="113"/>
              <w:rPr>
                <w:i/>
              </w:rPr>
            </w:pPr>
            <w:r>
              <w:rPr>
                <w:i/>
              </w:rPr>
              <w:t>Charitable Collections Amendment Regulations 2017</w:t>
            </w:r>
          </w:p>
        </w:tc>
        <w:tc>
          <w:tcPr>
            <w:tcW w:w="1276" w:type="dxa"/>
            <w:tcBorders>
              <w:bottom w:val="single" w:sz="4" w:space="0" w:color="auto"/>
            </w:tcBorders>
            <w:shd w:val="clear" w:color="auto" w:fill="auto"/>
          </w:tcPr>
          <w:p>
            <w:pPr>
              <w:pStyle w:val="nTable"/>
              <w:spacing w:after="40"/>
            </w:pPr>
            <w:r>
              <w:t>10 Mar 2017 p. 1567</w:t>
            </w:r>
          </w:p>
        </w:tc>
        <w:tc>
          <w:tcPr>
            <w:tcW w:w="2693" w:type="dxa"/>
            <w:tcBorders>
              <w:bottom w:val="single" w:sz="4" w:space="0" w:color="auto"/>
            </w:tcBorders>
            <w:shd w:val="clear" w:color="auto" w:fill="auto"/>
          </w:tcPr>
          <w:p>
            <w:pPr>
              <w:pStyle w:val="nTable"/>
              <w:spacing w:after="40"/>
              <w:rPr>
                <w:snapToGrid w:val="0"/>
                <w:spacing w:val="-2"/>
              </w:rPr>
            </w:pPr>
            <w:r>
              <w:rPr>
                <w:rFonts w:ascii="Times" w:hAnsi="Times"/>
                <w:bCs/>
                <w:snapToGrid w:val="0"/>
                <w:spacing w:val="-2"/>
              </w:rPr>
              <w:t xml:space="preserve">r. 1 and 2: </w:t>
            </w:r>
            <w:r>
              <w:rPr>
                <w:snapToGrid w:val="0"/>
                <w:spacing w:val="-2"/>
              </w:rPr>
              <w:t>10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spacing w:val="-2"/>
              </w:rPr>
              <w:t>11 Mar 2017</w:t>
            </w:r>
            <w:r>
              <w:rPr>
                <w:rFonts w:ascii="Times" w:hAnsi="Times"/>
                <w:bCs/>
                <w:snapToGrid w:val="0"/>
                <w:spacing w:val="-2"/>
              </w:rPr>
              <w:t xml:space="preserve"> (see r. 2(b))</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pPr>
      <w:r>
        <w:rPr>
          <w:vertAlign w:val="superscript"/>
        </w:rPr>
        <w:t>3</w:t>
      </w:r>
      <w:r>
        <w:tab/>
        <w:t xml:space="preserve">The </w:t>
      </w:r>
      <w:r>
        <w:rPr>
          <w:i/>
        </w:rPr>
        <w:t>Charitable Collections Amendment Regulations 2000</w:t>
      </w:r>
      <w:r>
        <w:t xml:space="preserve"> r. 12 reads as follows:</w:t>
      </w:r>
    </w:p>
    <w:p>
      <w:pPr>
        <w:pStyle w:val="BlankOpen"/>
      </w:pPr>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BlankClose"/>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4" w:name="_Toc415234085"/>
      <w:bookmarkStart w:id="45" w:name="_Toc476837812"/>
      <w:r>
        <w:rPr>
          <w:sz w:val="28"/>
        </w:rPr>
        <w:t>Defined terms</w:t>
      </w:r>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approved</w:t>
      </w:r>
      <w:r>
        <w:tab/>
        <w:t>2</w:t>
      </w:r>
    </w:p>
    <w:p>
      <w:pPr>
        <w:pStyle w:val="DefinedTerms"/>
      </w:pPr>
      <w:r>
        <w:t>branch organisation</w:t>
      </w:r>
      <w:r>
        <w:tab/>
        <w:t>2</w:t>
      </w:r>
    </w:p>
    <w:p>
      <w:pPr>
        <w:pStyle w:val="DefinedTerms"/>
      </w:pPr>
      <w:r>
        <w:t>charitable organisation</w:t>
      </w:r>
      <w:r>
        <w:tab/>
        <w:t>2</w:t>
      </w:r>
    </w:p>
    <w:p>
      <w:pPr>
        <w:pStyle w:val="DefinedTerms"/>
      </w:pPr>
      <w:r>
        <w:t>collection</w:t>
      </w:r>
      <w:r>
        <w:tab/>
        <w:t>2</w:t>
      </w:r>
    </w:p>
    <w:p>
      <w:pPr>
        <w:pStyle w:val="DefinedTerms"/>
      </w:pPr>
      <w:r>
        <w:t>collector</w:t>
      </w:r>
      <w:r>
        <w:tab/>
        <w:t>2</w:t>
      </w:r>
    </w:p>
    <w:p>
      <w:pPr>
        <w:pStyle w:val="DefinedTerms"/>
      </w:pPr>
      <w:r>
        <w:t>Commissioner</w:t>
      </w:r>
      <w:r>
        <w:tab/>
        <w:t>2</w:t>
      </w:r>
    </w:p>
    <w:p>
      <w:pPr>
        <w:pStyle w:val="DefinedTerms"/>
      </w:pPr>
      <w:r>
        <w:t>executive officers</w:t>
      </w:r>
      <w:r>
        <w:tab/>
        <w:t>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007"/>
    <w:docVar w:name="WAFER_20140121114156" w:val="RemoveTocBookmarks,RemoveUnusedBookmarks,RemoveLanguageTags,UsedStyles,ResetPageSize,UpdateArrangement"/>
    <w:docVar w:name="WAFER_20140121114156_GUID" w:val="9691e70e-1a40-4136-92d7-0db82bbd34b0"/>
    <w:docVar w:name="WAFER_20140121120113" w:val="RemoveTocBookmarks,RunningHeaders"/>
    <w:docVar w:name="WAFER_20140121120113_GUID" w:val="deae64b6-6b8b-466c-acc4-0dae5534c134"/>
    <w:docVar w:name="WAFER_20150327152741" w:val="ResetPageSize,UpdateArrangement,UpdateNTable"/>
    <w:docVar w:name="WAFER_20150327152741_GUID" w:val="f2f2a55e-10b3-4102-9bb6-f5206250f2cc"/>
    <w:docVar w:name="WAFER_20151102150723" w:val="UpdateStyles,UsedStyles"/>
    <w:docVar w:name="WAFER_20151102150723_GUID" w:val="17c68121-bf8f-46e5-b4da-949d5e8f04bc"/>
    <w:docVar w:name="WAFER_20151102150733" w:val="UpdateStyles,UsedStyles"/>
    <w:docVar w:name="WAFER_20151102150733_GUID" w:val="a092f796-04e2-467d-8c42-571f8eaeb5a3"/>
    <w:docVar w:name="WAFER_20151201084007" w:val="RemoveTrackChanges"/>
    <w:docVar w:name="WAFER_20151201084007_GUID" w:val="1e0d2c33-92f6-4d37-9b0c-43a8c0df46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3043</Words>
  <Characters>15767</Characters>
  <Application>Microsoft Office Word</Application>
  <DocSecurity>0</DocSecurity>
  <Lines>563</Lines>
  <Paragraphs>361</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1947 - 03-c0-01</dc:title>
  <dc:subject/>
  <dc:creator/>
  <cp:keywords/>
  <dc:description/>
  <cp:lastModifiedBy>svcMRProcess</cp:lastModifiedBy>
  <cp:revision>4</cp:revision>
  <cp:lastPrinted>2013-04-24T01:26:00Z</cp:lastPrinted>
  <dcterms:created xsi:type="dcterms:W3CDTF">2019-01-17T03:55:00Z</dcterms:created>
  <dcterms:modified xsi:type="dcterms:W3CDTF">2019-01-17T03:55:00Z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CommencementDate">
    <vt:lpwstr>20170311</vt:lpwstr>
  </property>
  <property fmtid="{D5CDD505-2E9C-101B-9397-08002B2CF9AE}" pid="4" name="DocumentType">
    <vt:lpwstr>Reg</vt:lpwstr>
  </property>
  <property fmtid="{D5CDD505-2E9C-101B-9397-08002B2CF9AE}" pid="5" name="OwlsUID">
    <vt:i4>4344</vt:i4>
  </property>
  <property fmtid="{D5CDD505-2E9C-101B-9397-08002B2CF9AE}" pid="6" name="ReprintNo">
    <vt:lpwstr>3</vt:lpwstr>
  </property>
  <property fmtid="{D5CDD505-2E9C-101B-9397-08002B2CF9AE}" pid="7" name="ReprintedAsAt">
    <vt:filetime>2013-04-25T16:00:00Z</vt:filetime>
  </property>
  <property fmtid="{D5CDD505-2E9C-101B-9397-08002B2CF9AE}" pid="8" name="AsAtDate">
    <vt:lpwstr>11 Mar 2017</vt:lpwstr>
  </property>
  <property fmtid="{D5CDD505-2E9C-101B-9397-08002B2CF9AE}" pid="9" name="Suffix">
    <vt:lpwstr>03-c0-01</vt:lpwstr>
  </property>
</Properties>
</file>