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Taxi-cars Fares) Regulations 1991</w:t>
      </w:r>
      <w:r>
        <w:rPr>
          <w:sz w:val="48"/>
        </w:rPr>
        <w:fldChar w:fldCharType="end"/>
      </w:r>
    </w:p>
    <w:p>
      <w:pPr>
        <w:pStyle w:val="ReprintNo"/>
      </w:pPr>
      <w:r>
        <w:t>Reprint 4:  The regulations as at 10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EF3F2D" w:rsidRDefault="00EF3F2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EF3F2D" w:rsidRDefault="00EF3F2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EF3F2D" w:rsidRDefault="00EF3F2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EF3F2D" w:rsidRDefault="00EF3F2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_Toc38804341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_Toc38804342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_Toc38804343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_Toc38804344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_Toc38804345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_Toc38804346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_Toc38804347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_Toc38804348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_Toc38804349 \h </w:instrText>
      </w:r>
      <w:r>
        <w:fldChar w:fldCharType="separate"/>
      </w:r>
      <w:r>
        <w:t>6</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_Toc38804350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_Toc38804351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_Toc38804352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_Toc38804353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_Toc38804354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_Toc38804355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Fares</w:t>
      </w:r>
    </w:p>
    <w:p>
      <w:pPr>
        <w:pStyle w:val="TOC4"/>
        <w:tabs>
          <w:tab w:val="righ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pos="7077"/>
        </w:tabs>
        <w:rPr>
          <w:rFonts w:asciiTheme="minorHAnsi" w:eastAsiaTheme="minorEastAsia" w:hAnsiTheme="minorHAnsi" w:cstheme="minorBidi"/>
          <w:b w:val="0"/>
          <w:szCs w:val="22"/>
        </w:rPr>
      </w:pPr>
      <w:r>
        <w:t>Division 2 — Goldfields</w:t>
      </w:r>
      <w:r>
        <w:noBreakHyphen/>
        <w:t>Esperance region</w:t>
      </w:r>
    </w:p>
    <w:p>
      <w:pPr>
        <w:pStyle w:val="TOC4"/>
        <w:tabs>
          <w:tab w:val="right" w:pos="7077"/>
        </w:tabs>
        <w:rPr>
          <w:rFonts w:asciiTheme="minorHAnsi" w:eastAsiaTheme="minorEastAsia" w:hAnsiTheme="minorHAnsi" w:cstheme="minorBidi"/>
          <w:b w:val="0"/>
          <w:szCs w:val="22"/>
        </w:rPr>
      </w:pPr>
      <w:r>
        <w:t>Division 3 — Great Southern region</w:t>
      </w:r>
    </w:p>
    <w:p>
      <w:pPr>
        <w:pStyle w:val="TOC4"/>
        <w:tabs>
          <w:tab w:val="right" w:pos="7077"/>
        </w:tabs>
        <w:rPr>
          <w:rFonts w:asciiTheme="minorHAnsi" w:eastAsiaTheme="minorEastAsia" w:hAnsiTheme="minorHAnsi" w:cstheme="minorBidi"/>
          <w:b w:val="0"/>
          <w:szCs w:val="22"/>
        </w:rPr>
      </w:pPr>
      <w:r>
        <w:t>Division 4 — Kimberley region</w:t>
      </w:r>
    </w:p>
    <w:p>
      <w:pPr>
        <w:pStyle w:val="TOC4"/>
        <w:tabs>
          <w:tab w:val="right" w:pos="7077"/>
        </w:tabs>
        <w:rPr>
          <w:rFonts w:asciiTheme="minorHAnsi" w:eastAsiaTheme="minorEastAsia" w:hAnsiTheme="minorHAnsi" w:cstheme="minorBidi"/>
          <w:b w:val="0"/>
          <w:szCs w:val="22"/>
        </w:rPr>
      </w:pPr>
      <w:r>
        <w:t>Division 5 — Mid West region</w:t>
      </w:r>
    </w:p>
    <w:p>
      <w:pPr>
        <w:pStyle w:val="TOC4"/>
        <w:tabs>
          <w:tab w:val="right" w:pos="7077"/>
        </w:tabs>
        <w:rPr>
          <w:rFonts w:asciiTheme="minorHAnsi" w:eastAsiaTheme="minorEastAsia" w:hAnsiTheme="minorHAnsi" w:cstheme="minorBidi"/>
          <w:b w:val="0"/>
          <w:szCs w:val="22"/>
        </w:rPr>
      </w:pPr>
      <w:r>
        <w:t>Division 6 — Peel region</w:t>
      </w:r>
    </w:p>
    <w:p>
      <w:pPr>
        <w:pStyle w:val="TOC4"/>
        <w:tabs>
          <w:tab w:val="right" w:pos="7077"/>
        </w:tabs>
        <w:rPr>
          <w:rFonts w:asciiTheme="minorHAnsi" w:eastAsiaTheme="minorEastAsia" w:hAnsiTheme="minorHAnsi" w:cstheme="minorBidi"/>
          <w:b w:val="0"/>
          <w:szCs w:val="22"/>
        </w:rPr>
      </w:pPr>
      <w:r>
        <w:t>Division 7 — Pilbara region</w:t>
      </w:r>
    </w:p>
    <w:p>
      <w:pPr>
        <w:pStyle w:val="TOC4"/>
        <w:tabs>
          <w:tab w:val="right" w:pos="7077"/>
        </w:tabs>
        <w:rPr>
          <w:rFonts w:asciiTheme="minorHAnsi" w:eastAsiaTheme="minorEastAsia" w:hAnsiTheme="minorHAnsi" w:cstheme="minorBidi"/>
          <w:b w:val="0"/>
          <w:szCs w:val="22"/>
        </w:rPr>
      </w:pPr>
      <w:r>
        <w:t>Division 8 — South West region</w:t>
      </w:r>
    </w:p>
    <w:p>
      <w:pPr>
        <w:pStyle w:val="TOC4"/>
        <w:tabs>
          <w:tab w:val="right" w:pos="7077"/>
        </w:tabs>
        <w:rPr>
          <w:rFonts w:asciiTheme="minorHAnsi" w:eastAsiaTheme="minorEastAsia" w:hAnsiTheme="minorHAnsi" w:cstheme="minorBidi"/>
          <w:b w:val="0"/>
          <w:szCs w:val="22"/>
        </w:rPr>
      </w:pPr>
      <w:r>
        <w:t>Division 9 — Wheatbelt region</w:t>
      </w:r>
    </w:p>
    <w:p>
      <w:pPr>
        <w:pStyle w:val="TOC2"/>
        <w:tabs>
          <w:tab w:val="right" w:pos="7077"/>
        </w:tabs>
        <w:rPr>
          <w:rFonts w:asciiTheme="minorHAnsi" w:eastAsiaTheme="minorEastAsia" w:hAnsiTheme="minorHAnsi" w:cstheme="minorBidi"/>
          <w:b w:val="0"/>
          <w:sz w:val="22"/>
          <w:szCs w:val="22"/>
        </w:rPr>
      </w:pPr>
      <w:r>
        <w:t>Schedule 2 — Modified penalties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_Toc38804369 \h </w:instrText>
      </w:r>
      <w:r>
        <w:fldChar w:fldCharType="separate"/>
      </w:r>
      <w:r>
        <w:t>29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38804341"/>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3880434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38804343"/>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38804344"/>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7" w:name="_Toc38804345"/>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8" w:name="_Toc38804346"/>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38804347"/>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38804348"/>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38804349"/>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38804350"/>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38804351"/>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38804352"/>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15" w:name="_Toc38804353"/>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38804354"/>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38804355"/>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3"/>
          <w:headerReference w:type="defaul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38804356"/>
      <w:r>
        <w:rPr>
          <w:rStyle w:val="CharSchNo"/>
        </w:rPr>
        <w:t>Schedule 1</w:t>
      </w:r>
      <w:r>
        <w:t> — </w:t>
      </w:r>
      <w:r>
        <w:rPr>
          <w:rStyle w:val="CharSchText"/>
        </w:rPr>
        <w:t>Fares</w:t>
      </w:r>
      <w:bookmarkEnd w:id="18"/>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19" w:name="_Toc38804357"/>
      <w:r>
        <w:rPr>
          <w:rStyle w:val="CharSDivNo"/>
        </w:rPr>
        <w:t>Division 1</w:t>
      </w:r>
      <w:r>
        <w:rPr>
          <w:b w:val="0"/>
        </w:rPr>
        <w:t> — </w:t>
      </w:r>
      <w:r>
        <w:rPr>
          <w:rStyle w:val="CharSDivText"/>
        </w:rPr>
        <w:t>Gascoyne region</w:t>
      </w:r>
      <w:bookmarkEnd w:id="19"/>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0" w:name="_Toc38804358"/>
      <w:r>
        <w:rPr>
          <w:rStyle w:val="CharSDivNo"/>
        </w:rPr>
        <w:t>Division 2</w:t>
      </w:r>
      <w:r>
        <w:t> — </w:t>
      </w:r>
      <w:r>
        <w:rPr>
          <w:rStyle w:val="CharSDivText"/>
        </w:rPr>
        <w:t>Goldfields</w:t>
      </w:r>
      <w:r>
        <w:rPr>
          <w:rStyle w:val="CharSDivText"/>
        </w:rPr>
        <w:noBreakHyphen/>
        <w:t>Esperance region</w:t>
      </w:r>
      <w:bookmarkEnd w:id="20"/>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21" w:name="_Toc38804359"/>
      <w:r>
        <w:rPr>
          <w:rStyle w:val="CharSDivNo"/>
        </w:rPr>
        <w:t>Division 3 </w:t>
      </w:r>
      <w:r>
        <w:t>— </w:t>
      </w:r>
      <w:r>
        <w:rPr>
          <w:rStyle w:val="CharSDivText"/>
        </w:rPr>
        <w:t>Great Southern region</w:t>
      </w:r>
      <w:bookmarkEnd w:id="21"/>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22" w:name="_Toc38804360"/>
      <w:r>
        <w:rPr>
          <w:rStyle w:val="CharSDivNo"/>
        </w:rPr>
        <w:t>Division 4</w:t>
      </w:r>
      <w:r>
        <w:t> — </w:t>
      </w:r>
      <w:r>
        <w:rPr>
          <w:rStyle w:val="CharSDivText"/>
        </w:rPr>
        <w:t>Kimberley region</w:t>
      </w:r>
      <w:bookmarkEnd w:id="22"/>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23" w:name="_Toc38804361"/>
      <w:r>
        <w:rPr>
          <w:rStyle w:val="CharSDivNo"/>
        </w:rPr>
        <w:t>Division 5</w:t>
      </w:r>
      <w:r>
        <w:t> — </w:t>
      </w:r>
      <w:r>
        <w:rPr>
          <w:rStyle w:val="CharSDivText"/>
        </w:rPr>
        <w:t>Mid West region</w:t>
      </w:r>
      <w:bookmarkEnd w:id="23"/>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24" w:name="_Toc38804362"/>
      <w:r>
        <w:rPr>
          <w:rStyle w:val="CharSDivNo"/>
        </w:rPr>
        <w:t>Division 6</w:t>
      </w:r>
      <w:r>
        <w:t> — </w:t>
      </w:r>
      <w:r>
        <w:rPr>
          <w:rStyle w:val="CharSDivText"/>
        </w:rPr>
        <w:t>Peel region</w:t>
      </w:r>
      <w:bookmarkEnd w:id="24"/>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25" w:name="_Toc38804363"/>
      <w:r>
        <w:rPr>
          <w:rStyle w:val="CharSDivNo"/>
        </w:rPr>
        <w:t>Division 7</w:t>
      </w:r>
      <w:r>
        <w:t> — </w:t>
      </w:r>
      <w:r>
        <w:rPr>
          <w:rStyle w:val="CharSDivText"/>
        </w:rPr>
        <w:t>Pilbara region</w:t>
      </w:r>
      <w:bookmarkEnd w:id="25"/>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26" w:name="_Toc38804364"/>
      <w:r>
        <w:rPr>
          <w:rStyle w:val="CharSDivNo"/>
        </w:rPr>
        <w:t>Division 8</w:t>
      </w:r>
      <w:r>
        <w:t> — </w:t>
      </w:r>
      <w:r>
        <w:rPr>
          <w:rStyle w:val="CharSDivText"/>
        </w:rPr>
        <w:t>South West region</w:t>
      </w:r>
      <w:bookmarkEnd w:id="26"/>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27" w:name="_Toc38804365"/>
      <w:r>
        <w:rPr>
          <w:rStyle w:val="CharSDivNo"/>
        </w:rPr>
        <w:t>Division 9</w:t>
      </w:r>
      <w:r>
        <w:t> — </w:t>
      </w:r>
      <w:r>
        <w:rPr>
          <w:rStyle w:val="CharSDivText"/>
        </w:rPr>
        <w:t>Wheatbelt region</w:t>
      </w:r>
      <w:bookmarkEnd w:id="27"/>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28" w:name="_Toc38804366"/>
      <w:r>
        <w:rPr>
          <w:rStyle w:val="CharSchNo"/>
        </w:rPr>
        <w:t>Schedule 2</w:t>
      </w:r>
      <w:r>
        <w:rPr>
          <w:rStyle w:val="CharSDivNo"/>
        </w:rPr>
        <w:t> </w:t>
      </w:r>
      <w:r>
        <w:t>—</w:t>
      </w:r>
      <w:r>
        <w:rPr>
          <w:rStyle w:val="CharSDivText"/>
        </w:rPr>
        <w:t> </w:t>
      </w:r>
      <w:r>
        <w:rPr>
          <w:rStyle w:val="CharSchText"/>
        </w:rPr>
        <w:t>Modified penalties</w:t>
      </w:r>
      <w:bookmarkEnd w:id="28"/>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9" w:name="_Toc38804367"/>
      <w:r>
        <w:rPr>
          <w:rStyle w:val="CharSchNo"/>
        </w:rPr>
        <w:t>Schedule 3</w:t>
      </w:r>
      <w:r>
        <w:rPr>
          <w:rStyle w:val="CharSDivNo"/>
        </w:rPr>
        <w:t> </w:t>
      </w:r>
      <w:r>
        <w:t>—</w:t>
      </w:r>
      <w:r>
        <w:rPr>
          <w:rStyle w:val="CharSDivText"/>
        </w:rPr>
        <w:t> </w:t>
      </w:r>
      <w:r>
        <w:rPr>
          <w:rStyle w:val="CharSchText"/>
        </w:rPr>
        <w:t>Forms</w:t>
      </w:r>
      <w:bookmarkEnd w:id="29"/>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0" w:name="_Toc38804368"/>
      <w:r>
        <w:t>Notes</w:t>
      </w:r>
      <w:bookmarkEnd w:id="30"/>
    </w:p>
    <w:p>
      <w:pPr>
        <w:pStyle w:val="nSubsection"/>
      </w:pPr>
      <w:r>
        <w:rPr>
          <w:vertAlign w:val="superscript"/>
        </w:rPr>
        <w:t>1</w:t>
      </w:r>
      <w:r>
        <w:tab/>
        <w:t xml:space="preserve">This reprint is a compilation as at 10 March 2017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31" w:name="_Toc38804369"/>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tcBorders>
              <w:bottom w:val="single" w:sz="8"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3" w:name="_Toc38804370"/>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noProof/>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bLrXlPUC&#10;AACBBgAADgAAAAAAAAAAAAAAAAAuAgAAZHJzL2Uyb0RvYy54bWxQSwECLQAUAAYACAAAACEAaCLE&#10;RNsAAAAEAQAADwAAAAAAAAAAAAAAAABPBQAAZHJzL2Rvd25yZXYueG1sUEsFBgAAAAAEAAQA8wAA&#10;AFcGAAAAAA==&#10;" stroked="f" strokeweight=".5pt">
                <v:textbox>
                  <w:txbxContent>
                    <w:p w:rsidR="007942E0" w:rsidRDefault="007942E0">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16"/>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16"/>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ind w:right="17"/>
            <w:rPr>
              <w:b/>
              <w:bCs/>
            </w:rPr>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noProof/>
            </w:rPr>
            <w:instrText>FORM 1</w:instrText>
          </w:r>
          <w:r>
            <w:rPr>
              <w:b/>
              <w:noProof/>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noProof/>
            </w:rPr>
            <w:instrText>0</w:instrText>
          </w:r>
          <w:r>
            <w:rPr>
              <w:b/>
              <w:noProof/>
            </w:rPr>
            <w:fldChar w:fldCharType="end"/>
          </w:r>
          <w:r>
            <w:rPr>
              <w:b/>
            </w:rPr>
            <w:instrText xml:space="preserve"> </w:instrText>
          </w:r>
          <w:r>
            <w:rPr>
              <w:b/>
            </w:rPr>
            <w:fldChar w:fldCharType="begin"/>
          </w:r>
          <w:r>
            <w:rPr>
              <w:b/>
            </w:rPr>
            <w:instrText xml:space="preserve"> StyleRef CharSClsNo </w:instrText>
          </w:r>
          <w:r>
            <w:rPr>
              <w:b/>
            </w:rPr>
            <w:fldChar w:fldCharType="separate"/>
          </w:r>
          <w:r>
            <w:rPr>
              <w:b/>
              <w:noProof/>
            </w:rPr>
            <w:instrText>FORM 1</w:instrText>
          </w:r>
          <w:r>
            <w:rPr>
              <w:b/>
              <w:noProof/>
            </w:rPr>
            <w:fldChar w:fldCharType="end"/>
          </w:r>
          <w:r>
            <w:rPr>
              <w:b/>
            </w:rPr>
            <w:instrText xml:space="preserve"> </w:instrText>
          </w:r>
          <w:r>
            <w:rPr>
              <w:b/>
            </w:rPr>
            <w:fldChar w:fldCharType="separate"/>
          </w:r>
          <w:r>
            <w:rPr>
              <w:b/>
              <w:noProof/>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ind w:right="17"/>
            <w:jc w:val="right"/>
            <w:rPr>
              <w:b/>
              <w:bCs/>
            </w:rPr>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noProof/>
            </w:rPr>
            <w:instrText>FORM 1</w:instrText>
          </w:r>
          <w:r>
            <w:rPr>
              <w:b/>
              <w:noProof/>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noProof/>
            </w:rPr>
            <w:instrText>0</w:instrText>
          </w:r>
          <w:r>
            <w:rPr>
              <w:b/>
              <w:noProof/>
            </w:rPr>
            <w:fldChar w:fldCharType="end"/>
          </w:r>
          <w:r>
            <w:rPr>
              <w:b/>
            </w:rPr>
            <w:instrText xml:space="preserve"> </w:instrText>
          </w:r>
          <w:r>
            <w:rPr>
              <w:b/>
            </w:rPr>
            <w:fldChar w:fldCharType="begin"/>
          </w:r>
          <w:r>
            <w:rPr>
              <w:b/>
            </w:rPr>
            <w:instrText xml:space="preserve"> StyleRef CharSClsNo </w:instrText>
          </w:r>
          <w:r>
            <w:rPr>
              <w:b/>
            </w:rPr>
            <w:fldChar w:fldCharType="separate"/>
          </w:r>
          <w:r>
            <w:rPr>
              <w:b/>
              <w:noProof/>
            </w:rPr>
            <w:instrText>FORM 1</w:instrText>
          </w:r>
          <w:r>
            <w:rPr>
              <w:b/>
              <w:noProof/>
            </w:rPr>
            <w:fldChar w:fldCharType="end"/>
          </w:r>
          <w:r>
            <w:rPr>
              <w:b/>
            </w:rPr>
            <w:instrText xml:space="preserve"> </w:instrText>
          </w:r>
          <w:r>
            <w:rPr>
              <w:b/>
            </w:rPr>
            <w:fldChar w:fldCharType="separate"/>
          </w:r>
          <w:r>
            <w:rPr>
              <w:b/>
              <w:noProof/>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ind w:right="17"/>
            <w:rPr>
              <w:bCs/>
            </w:rPr>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10813"/>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FFF9-EF71-4514-B863-D0A3A281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6885</Words>
  <Characters>33738</Characters>
  <Application>Microsoft Office Word</Application>
  <DocSecurity>0</DocSecurity>
  <Lines>1874</Lines>
  <Paragraphs>1069</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1991 - 04-00-00</dc:title>
  <dc:subject/>
  <dc:creator/>
  <cp:keywords/>
  <dc:description/>
  <cp:lastModifiedBy>svcMRProcess</cp:lastModifiedBy>
  <cp:revision>4</cp:revision>
  <cp:lastPrinted>2017-03-08T04:38:00Z</cp:lastPrinted>
  <dcterms:created xsi:type="dcterms:W3CDTF">2020-04-26T06:38:00Z</dcterms:created>
  <dcterms:modified xsi:type="dcterms:W3CDTF">2020-04-26T06:38:00Z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CommencementDate">
    <vt:lpwstr>20170310</vt:lpwstr>
  </property>
  <property fmtid="{D5CDD505-2E9C-101B-9397-08002B2CF9AE}" pid="6" name="AsAtDate">
    <vt:lpwstr>10 Mar 2017</vt:lpwstr>
  </property>
  <property fmtid="{D5CDD505-2E9C-101B-9397-08002B2CF9AE}" pid="7" name="Suffix">
    <vt:lpwstr>04-00-00</vt:lpwstr>
  </property>
  <property fmtid="{D5CDD505-2E9C-101B-9397-08002B2CF9AE}" pid="8" name="ReprintedAsAt">
    <vt:filetime>2017-03-09T16:00:00Z</vt:filetime>
  </property>
  <property fmtid="{D5CDD505-2E9C-101B-9397-08002B2CF9AE}" pid="9" name="ReprintNo">
    <vt:lpwstr>4</vt:lpwstr>
  </property>
</Properties>
</file>