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8D" w:rsidRDefault="005A4E48">
      <w:pPr>
        <w:pStyle w:val="WA"/>
      </w:pPr>
      <w:bookmarkStart w:id="0" w:name="UpToHere"/>
      <w:bookmarkStart w:id="1" w:name="_GoBack"/>
      <w:bookmarkEnd w:id="0"/>
      <w:bookmarkEnd w:id="1"/>
      <w:r>
        <w:t>Western Australia</w:t>
      </w:r>
    </w:p>
    <w:p w:rsidR="001D7D8D" w:rsidRDefault="005A4E48">
      <w:pPr>
        <w:pStyle w:val="NameofActRegPage1"/>
        <w:spacing w:before="3760" w:after="4200"/>
      </w:pPr>
      <w:r>
        <w:fldChar w:fldCharType="begin"/>
      </w:r>
      <w:r>
        <w:instrText xml:space="preserve"> STYLEREF "Name Of Act/Reg"</w:instrText>
      </w:r>
      <w:r>
        <w:fldChar w:fldCharType="separate"/>
      </w:r>
      <w:r w:rsidR="000176C8">
        <w:rPr>
          <w:noProof/>
        </w:rPr>
        <w:t>Electricity Industry (Ombudsman Scheme) Regulations 2005</w:t>
      </w:r>
      <w:r>
        <w:fldChar w:fldCharType="end"/>
      </w:r>
    </w:p>
    <w:p w:rsidR="001D7D8D" w:rsidRDefault="001D7D8D">
      <w:pPr>
        <w:jc w:val="center"/>
        <w:rPr>
          <w:b/>
        </w:rPr>
        <w:sectPr w:rsidR="001D7D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D7D8D" w:rsidRDefault="005A4E48">
      <w:pPr>
        <w:pStyle w:val="WA"/>
      </w:pPr>
      <w:r>
        <w:lastRenderedPageBreak/>
        <w:t>Western Australia</w:t>
      </w:r>
    </w:p>
    <w:p w:rsidR="001D7D8D" w:rsidRDefault="005A4E48">
      <w:pPr>
        <w:pStyle w:val="NameofActRegPage1"/>
      </w:pPr>
      <w:r>
        <w:fldChar w:fldCharType="begin"/>
      </w:r>
      <w:r>
        <w:instrText xml:space="preserve"> STYLEREF "Name Of Act/Reg"</w:instrText>
      </w:r>
      <w:r>
        <w:fldChar w:fldCharType="separate"/>
      </w:r>
      <w:r w:rsidR="000176C8">
        <w:rPr>
          <w:noProof/>
        </w:rPr>
        <w:t>Electricity Industry (Ombudsman Scheme) Regulations 2005</w:t>
      </w:r>
      <w:r>
        <w:fldChar w:fldCharType="end"/>
      </w:r>
    </w:p>
    <w:p w:rsidR="001D7D8D" w:rsidRDefault="005A4E48">
      <w:pPr>
        <w:pStyle w:val="Arrangement"/>
      </w:pPr>
      <w:r>
        <w:t>CONTENTS</w:t>
      </w:r>
    </w:p>
    <w:p w:rsidR="001D7D8D" w:rsidRDefault="005A4E4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_Toc124148839 \h </w:instrText>
      </w:r>
      <w:r>
        <w:fldChar w:fldCharType="separate"/>
      </w:r>
      <w:r w:rsidR="000176C8">
        <w:t>1</w:t>
      </w:r>
      <w:r>
        <w:fldChar w:fldCharType="end"/>
      </w:r>
    </w:p>
    <w:p w:rsidR="001D7D8D" w:rsidRDefault="005A4E48">
      <w:pPr>
        <w:pStyle w:val="TOC8"/>
        <w:rPr>
          <w:sz w:val="24"/>
          <w:szCs w:val="24"/>
        </w:rPr>
      </w:pPr>
      <w:r>
        <w:rPr>
          <w:szCs w:val="24"/>
        </w:rPr>
        <w:t>2.</w:t>
      </w:r>
      <w:r>
        <w:rPr>
          <w:szCs w:val="24"/>
        </w:rPr>
        <w:tab/>
        <w:t>Definitions</w:t>
      </w:r>
      <w:r>
        <w:tab/>
      </w:r>
      <w:r>
        <w:fldChar w:fldCharType="begin"/>
      </w:r>
      <w:r>
        <w:instrText xml:space="preserve"> PAGEREF _Toc124148840 \h </w:instrText>
      </w:r>
      <w:r>
        <w:fldChar w:fldCharType="separate"/>
      </w:r>
      <w:r w:rsidR="000176C8">
        <w:t>1</w:t>
      </w:r>
      <w:r>
        <w:fldChar w:fldCharType="end"/>
      </w:r>
    </w:p>
    <w:p w:rsidR="001D7D8D" w:rsidRDefault="005A4E48">
      <w:pPr>
        <w:pStyle w:val="TOC8"/>
        <w:rPr>
          <w:sz w:val="24"/>
          <w:szCs w:val="24"/>
        </w:rPr>
      </w:pPr>
      <w:r>
        <w:rPr>
          <w:szCs w:val="24"/>
        </w:rPr>
        <w:t>3.</w:t>
      </w:r>
      <w:r>
        <w:rPr>
          <w:szCs w:val="24"/>
        </w:rPr>
        <w:tab/>
        <w:t>Scheme to have a governing body</w:t>
      </w:r>
      <w:r>
        <w:tab/>
      </w:r>
      <w:r>
        <w:fldChar w:fldCharType="begin"/>
      </w:r>
      <w:r>
        <w:instrText xml:space="preserve"> PAGEREF _Toc124148841 \h </w:instrText>
      </w:r>
      <w:r>
        <w:fldChar w:fldCharType="separate"/>
      </w:r>
      <w:r w:rsidR="000176C8">
        <w:t>1</w:t>
      </w:r>
      <w:r>
        <w:fldChar w:fldCharType="end"/>
      </w:r>
    </w:p>
    <w:p w:rsidR="001D7D8D" w:rsidRDefault="005A4E48">
      <w:pPr>
        <w:pStyle w:val="TOC8"/>
        <w:rPr>
          <w:sz w:val="24"/>
          <w:szCs w:val="24"/>
        </w:rPr>
      </w:pPr>
      <w:r>
        <w:rPr>
          <w:szCs w:val="24"/>
        </w:rPr>
        <w:t>4.</w:t>
      </w:r>
      <w:r>
        <w:rPr>
          <w:szCs w:val="24"/>
        </w:rPr>
        <w:tab/>
        <w:t>Additional jurisdiction of EO</w:t>
      </w:r>
      <w:r>
        <w:tab/>
      </w:r>
      <w:r>
        <w:fldChar w:fldCharType="begin"/>
      </w:r>
      <w:r>
        <w:instrText xml:space="preserve"> PAGEREF _Toc124148842 \h </w:instrText>
      </w:r>
      <w:r>
        <w:fldChar w:fldCharType="separate"/>
      </w:r>
      <w:r w:rsidR="000176C8">
        <w:t>2</w:t>
      </w:r>
      <w:r>
        <w:fldChar w:fldCharType="end"/>
      </w:r>
    </w:p>
    <w:p w:rsidR="001D7D8D" w:rsidRDefault="005A4E48">
      <w:pPr>
        <w:pStyle w:val="TOC8"/>
        <w:rPr>
          <w:sz w:val="24"/>
          <w:szCs w:val="24"/>
        </w:rPr>
      </w:pPr>
      <w:r>
        <w:rPr>
          <w:szCs w:val="24"/>
        </w:rPr>
        <w:t>5.</w:t>
      </w:r>
      <w:r>
        <w:rPr>
          <w:szCs w:val="24"/>
        </w:rPr>
        <w:tab/>
        <w:t>Functions of EO</w:t>
      </w:r>
      <w:r>
        <w:tab/>
      </w:r>
      <w:r>
        <w:fldChar w:fldCharType="begin"/>
      </w:r>
      <w:r>
        <w:instrText xml:space="preserve"> PAGEREF _Toc124148843 \h </w:instrText>
      </w:r>
      <w:r>
        <w:fldChar w:fldCharType="separate"/>
      </w:r>
      <w:r w:rsidR="000176C8">
        <w:t>3</w:t>
      </w:r>
      <w:r>
        <w:fldChar w:fldCharType="end"/>
      </w:r>
    </w:p>
    <w:p w:rsidR="001D7D8D" w:rsidRDefault="005A4E48">
      <w:pPr>
        <w:pStyle w:val="TOC8"/>
        <w:rPr>
          <w:sz w:val="24"/>
          <w:szCs w:val="24"/>
        </w:rPr>
      </w:pPr>
      <w:r>
        <w:rPr>
          <w:szCs w:val="24"/>
        </w:rPr>
        <w:t>6.</w:t>
      </w:r>
      <w:r>
        <w:rPr>
          <w:szCs w:val="24"/>
        </w:rPr>
        <w:tab/>
        <w:t>Powers of EO</w:t>
      </w:r>
      <w:r>
        <w:tab/>
      </w:r>
      <w:r>
        <w:fldChar w:fldCharType="begin"/>
      </w:r>
      <w:r>
        <w:instrText xml:space="preserve"> PAGEREF _Toc124148844 \h </w:instrText>
      </w:r>
      <w:r>
        <w:fldChar w:fldCharType="separate"/>
      </w:r>
      <w:r w:rsidR="000176C8">
        <w:t>3</w:t>
      </w:r>
      <w:r>
        <w:fldChar w:fldCharType="end"/>
      </w:r>
    </w:p>
    <w:p w:rsidR="001D7D8D" w:rsidRDefault="005A4E48">
      <w:pPr>
        <w:pStyle w:val="TOC8"/>
        <w:rPr>
          <w:sz w:val="24"/>
          <w:szCs w:val="24"/>
        </w:rPr>
      </w:pPr>
      <w:r>
        <w:rPr>
          <w:szCs w:val="24"/>
        </w:rPr>
        <w:t>6A.</w:t>
      </w:r>
      <w:r>
        <w:rPr>
          <w:szCs w:val="24"/>
        </w:rPr>
        <w:tab/>
        <w:t xml:space="preserve">Particular provision relating to the </w:t>
      </w:r>
      <w:r>
        <w:rPr>
          <w:i/>
          <w:iCs/>
          <w:szCs w:val="24"/>
        </w:rPr>
        <w:t>Electricity Industry (Network Quality and Reliability of Supply) Code 2005</w:t>
      </w:r>
      <w:r>
        <w:tab/>
      </w:r>
      <w:r>
        <w:fldChar w:fldCharType="begin"/>
      </w:r>
      <w:r>
        <w:instrText xml:space="preserve"> PAGEREF _Toc124148845 \h </w:instrText>
      </w:r>
      <w:r>
        <w:fldChar w:fldCharType="separate"/>
      </w:r>
      <w:r w:rsidR="000176C8">
        <w:t>4</w:t>
      </w:r>
      <w:r>
        <w:fldChar w:fldCharType="end"/>
      </w:r>
    </w:p>
    <w:p w:rsidR="001D7D8D" w:rsidRDefault="005A4E48">
      <w:pPr>
        <w:pStyle w:val="TOC8"/>
        <w:rPr>
          <w:sz w:val="24"/>
          <w:szCs w:val="24"/>
        </w:rPr>
      </w:pPr>
      <w:r>
        <w:rPr>
          <w:szCs w:val="24"/>
        </w:rPr>
        <w:t>7.</w:t>
      </w:r>
      <w:r>
        <w:rPr>
          <w:szCs w:val="24"/>
        </w:rPr>
        <w:tab/>
        <w:t>Reasons for decisions</w:t>
      </w:r>
      <w:r>
        <w:tab/>
      </w:r>
      <w:r>
        <w:fldChar w:fldCharType="begin"/>
      </w:r>
      <w:r>
        <w:instrText xml:space="preserve"> PAGEREF _Toc124148846 \h </w:instrText>
      </w:r>
      <w:r>
        <w:fldChar w:fldCharType="separate"/>
      </w:r>
      <w:r w:rsidR="000176C8">
        <w:t>4</w:t>
      </w:r>
      <w:r>
        <w:fldChar w:fldCharType="end"/>
      </w:r>
    </w:p>
    <w:p w:rsidR="001D7D8D" w:rsidRDefault="005A4E48">
      <w:pPr>
        <w:pStyle w:val="TOC8"/>
        <w:rPr>
          <w:sz w:val="24"/>
          <w:szCs w:val="24"/>
        </w:rPr>
      </w:pPr>
      <w:r>
        <w:rPr>
          <w:szCs w:val="24"/>
        </w:rPr>
        <w:t>8.</w:t>
      </w:r>
      <w:r>
        <w:rPr>
          <w:szCs w:val="24"/>
        </w:rPr>
        <w:tab/>
        <w:t>Enforcement against electricity marketing agents</w:t>
      </w:r>
      <w:r>
        <w:tab/>
      </w:r>
      <w:r>
        <w:fldChar w:fldCharType="begin"/>
      </w:r>
      <w:r>
        <w:instrText xml:space="preserve"> PAGEREF _Toc124148847 \h </w:instrText>
      </w:r>
      <w:r>
        <w:fldChar w:fldCharType="separate"/>
      </w:r>
      <w:r w:rsidR="000176C8">
        <w:t>5</w:t>
      </w:r>
      <w:r>
        <w:fldChar w:fldCharType="end"/>
      </w:r>
    </w:p>
    <w:p w:rsidR="001D7D8D" w:rsidRDefault="005A4E48">
      <w:pPr>
        <w:pStyle w:val="TOC8"/>
        <w:rPr>
          <w:sz w:val="24"/>
          <w:szCs w:val="24"/>
        </w:rPr>
      </w:pPr>
      <w:r>
        <w:rPr>
          <w:szCs w:val="24"/>
        </w:rPr>
        <w:t>9.</w:t>
      </w:r>
      <w:r>
        <w:rPr>
          <w:szCs w:val="24"/>
        </w:rPr>
        <w:tab/>
        <w:t>Review of schemes</w:t>
      </w:r>
      <w:r>
        <w:tab/>
      </w:r>
      <w:r>
        <w:fldChar w:fldCharType="begin"/>
      </w:r>
      <w:r>
        <w:instrText xml:space="preserve"> PAGEREF _Toc124148848 \h </w:instrText>
      </w:r>
      <w:r>
        <w:fldChar w:fldCharType="separate"/>
      </w:r>
      <w:r w:rsidR="000176C8">
        <w:t>5</w:t>
      </w:r>
      <w:r>
        <w:fldChar w:fldCharType="end"/>
      </w:r>
    </w:p>
    <w:p w:rsidR="001D7D8D" w:rsidRDefault="005A4E48">
      <w:pPr>
        <w:pStyle w:val="TOC8"/>
        <w:rPr>
          <w:sz w:val="24"/>
          <w:szCs w:val="24"/>
        </w:rPr>
      </w:pPr>
      <w:r>
        <w:rPr>
          <w:szCs w:val="24"/>
        </w:rPr>
        <w:t>10.</w:t>
      </w:r>
      <w:r>
        <w:rPr>
          <w:szCs w:val="24"/>
        </w:rPr>
        <w:tab/>
        <w:t>Revocation of a scheme’s approval</w:t>
      </w:r>
      <w:r>
        <w:tab/>
      </w:r>
      <w:r>
        <w:fldChar w:fldCharType="begin"/>
      </w:r>
      <w:r>
        <w:instrText xml:space="preserve"> PAGEREF _Toc124148849 \h </w:instrText>
      </w:r>
      <w:r>
        <w:fldChar w:fldCharType="separate"/>
      </w:r>
      <w:r w:rsidR="000176C8">
        <w:t>5</w:t>
      </w:r>
      <w:r>
        <w:fldChar w:fldCharType="end"/>
      </w:r>
    </w:p>
    <w:p w:rsidR="001D7D8D" w:rsidRDefault="005A4E48">
      <w:pPr>
        <w:pStyle w:val="TOC2"/>
        <w:tabs>
          <w:tab w:val="right" w:leader="dot" w:pos="7086"/>
        </w:tabs>
        <w:rPr>
          <w:b w:val="0"/>
          <w:sz w:val="24"/>
          <w:szCs w:val="24"/>
        </w:rPr>
      </w:pPr>
      <w:r>
        <w:rPr>
          <w:szCs w:val="26"/>
        </w:rPr>
        <w:t>Notes</w:t>
      </w:r>
    </w:p>
    <w:p w:rsidR="001D7D8D" w:rsidRDefault="005A4E48">
      <w:pPr>
        <w:pStyle w:val="TOC8"/>
        <w:rPr>
          <w:sz w:val="24"/>
          <w:szCs w:val="24"/>
        </w:rPr>
      </w:pPr>
      <w:r>
        <w:rPr>
          <w:szCs w:val="24"/>
        </w:rPr>
        <w:tab/>
        <w:t>Compilation table</w:t>
      </w:r>
      <w:r>
        <w:tab/>
      </w:r>
      <w:r>
        <w:fldChar w:fldCharType="begin"/>
      </w:r>
      <w:r>
        <w:instrText xml:space="preserve"> PAGEREF _Toc124148851 \h </w:instrText>
      </w:r>
      <w:r>
        <w:fldChar w:fldCharType="separate"/>
      </w:r>
      <w:r w:rsidR="000176C8">
        <w:t>7</w:t>
      </w:r>
      <w:r>
        <w:fldChar w:fldCharType="end"/>
      </w:r>
    </w:p>
    <w:p w:rsidR="001D7D8D" w:rsidRDefault="005A4E48">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1D7D8D" w:rsidRDefault="005A4E48">
      <w:pPr>
        <w:pStyle w:val="TOC8"/>
        <w:rPr>
          <w:sz w:val="24"/>
          <w:szCs w:val="24"/>
        </w:rPr>
      </w:pPr>
      <w:r>
        <w:rPr>
          <w:szCs w:val="24"/>
        </w:rPr>
        <w:instrText>1.</w:instrText>
      </w:r>
      <w:r>
        <w:rPr>
          <w:szCs w:val="24"/>
        </w:rPr>
        <w:tab/>
        <w:instrText>Citation</w:instrText>
      </w:r>
      <w:r>
        <w:tab/>
      </w:r>
      <w:r>
        <w:fldChar w:fldCharType="begin"/>
      </w:r>
      <w:r>
        <w:instrText xml:space="preserve"> PAGEREF _Toc170208793 \h </w:instrText>
      </w:r>
      <w:r>
        <w:fldChar w:fldCharType="separate"/>
      </w:r>
      <w:r w:rsidR="000176C8">
        <w:instrText>1</w:instrText>
      </w:r>
      <w:r>
        <w:fldChar w:fldCharType="end"/>
      </w:r>
    </w:p>
    <w:p w:rsidR="001D7D8D" w:rsidRDefault="005A4E48">
      <w:pPr>
        <w:pStyle w:val="TOC8"/>
        <w:rPr>
          <w:sz w:val="24"/>
          <w:szCs w:val="24"/>
        </w:rPr>
      </w:pPr>
      <w:r>
        <w:rPr>
          <w:szCs w:val="24"/>
        </w:rPr>
        <w:instrText>2.</w:instrText>
      </w:r>
      <w:r>
        <w:rPr>
          <w:szCs w:val="24"/>
        </w:rPr>
        <w:tab/>
        <w:instrText>Definitions</w:instrText>
      </w:r>
      <w:r>
        <w:tab/>
      </w:r>
      <w:r>
        <w:fldChar w:fldCharType="begin"/>
      </w:r>
      <w:r>
        <w:instrText xml:space="preserve"> PAGEREF _Toc170208794 \h </w:instrText>
      </w:r>
      <w:r>
        <w:fldChar w:fldCharType="separate"/>
      </w:r>
      <w:r w:rsidR="000176C8">
        <w:instrText>1</w:instrText>
      </w:r>
      <w:r>
        <w:fldChar w:fldCharType="end"/>
      </w:r>
    </w:p>
    <w:p w:rsidR="001D7D8D" w:rsidRDefault="005A4E48">
      <w:pPr>
        <w:pStyle w:val="TOC8"/>
        <w:rPr>
          <w:sz w:val="24"/>
          <w:szCs w:val="24"/>
        </w:rPr>
      </w:pPr>
      <w:r>
        <w:rPr>
          <w:szCs w:val="24"/>
        </w:rPr>
        <w:instrText>3.</w:instrText>
      </w:r>
      <w:r>
        <w:rPr>
          <w:szCs w:val="24"/>
        </w:rPr>
        <w:tab/>
        <w:instrText>Scheme to have a governing body</w:instrText>
      </w:r>
      <w:r>
        <w:tab/>
      </w:r>
      <w:r>
        <w:fldChar w:fldCharType="begin"/>
      </w:r>
      <w:r>
        <w:instrText xml:space="preserve"> PAGEREF _Toc170208795 \h </w:instrText>
      </w:r>
      <w:r>
        <w:fldChar w:fldCharType="separate"/>
      </w:r>
      <w:r w:rsidR="000176C8">
        <w:instrText>1</w:instrText>
      </w:r>
      <w:r>
        <w:fldChar w:fldCharType="end"/>
      </w:r>
    </w:p>
    <w:p w:rsidR="001D7D8D" w:rsidRDefault="005A4E48">
      <w:pPr>
        <w:pStyle w:val="TOC8"/>
        <w:rPr>
          <w:sz w:val="24"/>
          <w:szCs w:val="24"/>
        </w:rPr>
      </w:pPr>
      <w:r>
        <w:rPr>
          <w:szCs w:val="24"/>
        </w:rPr>
        <w:instrText>4.</w:instrText>
      </w:r>
      <w:r>
        <w:rPr>
          <w:szCs w:val="24"/>
        </w:rPr>
        <w:tab/>
        <w:instrText>Additional jurisdiction of EO</w:instrText>
      </w:r>
      <w:r>
        <w:tab/>
      </w:r>
      <w:r>
        <w:fldChar w:fldCharType="begin"/>
      </w:r>
      <w:r>
        <w:instrText xml:space="preserve"> PAGEREF _Toc170208796 \h </w:instrText>
      </w:r>
      <w:r>
        <w:fldChar w:fldCharType="separate"/>
      </w:r>
      <w:r w:rsidR="000176C8">
        <w:instrText>2</w:instrText>
      </w:r>
      <w:r>
        <w:fldChar w:fldCharType="end"/>
      </w:r>
    </w:p>
    <w:p w:rsidR="001D7D8D" w:rsidRDefault="005A4E48">
      <w:pPr>
        <w:pStyle w:val="TOC8"/>
        <w:rPr>
          <w:sz w:val="24"/>
          <w:szCs w:val="24"/>
        </w:rPr>
      </w:pPr>
      <w:r>
        <w:rPr>
          <w:szCs w:val="24"/>
        </w:rPr>
        <w:instrText>5.</w:instrText>
      </w:r>
      <w:r>
        <w:rPr>
          <w:szCs w:val="24"/>
        </w:rPr>
        <w:tab/>
        <w:instrText>Functions of EO</w:instrText>
      </w:r>
      <w:r>
        <w:tab/>
      </w:r>
      <w:r>
        <w:fldChar w:fldCharType="begin"/>
      </w:r>
      <w:r>
        <w:instrText xml:space="preserve"> PAGEREF _Toc170208797 \h </w:instrText>
      </w:r>
      <w:r>
        <w:fldChar w:fldCharType="separate"/>
      </w:r>
      <w:r w:rsidR="000176C8">
        <w:instrText>3</w:instrText>
      </w:r>
      <w:r>
        <w:fldChar w:fldCharType="end"/>
      </w:r>
    </w:p>
    <w:p w:rsidR="001D7D8D" w:rsidRDefault="005A4E48">
      <w:pPr>
        <w:pStyle w:val="TOC8"/>
        <w:rPr>
          <w:sz w:val="24"/>
          <w:szCs w:val="24"/>
        </w:rPr>
      </w:pPr>
      <w:r>
        <w:rPr>
          <w:szCs w:val="24"/>
        </w:rPr>
        <w:instrText>6.</w:instrText>
      </w:r>
      <w:r>
        <w:rPr>
          <w:szCs w:val="24"/>
        </w:rPr>
        <w:tab/>
        <w:instrText>Powers of EO</w:instrText>
      </w:r>
      <w:r>
        <w:tab/>
      </w:r>
      <w:r>
        <w:fldChar w:fldCharType="begin"/>
      </w:r>
      <w:r>
        <w:instrText xml:space="preserve"> PAGEREF _Toc170208798 \h </w:instrText>
      </w:r>
      <w:r>
        <w:fldChar w:fldCharType="separate"/>
      </w:r>
      <w:r w:rsidR="000176C8">
        <w:instrText>3</w:instrText>
      </w:r>
      <w:r>
        <w:fldChar w:fldCharType="end"/>
      </w:r>
    </w:p>
    <w:p w:rsidR="001D7D8D" w:rsidRDefault="005A4E48">
      <w:pPr>
        <w:pStyle w:val="TOC8"/>
        <w:rPr>
          <w:sz w:val="24"/>
          <w:szCs w:val="24"/>
        </w:rPr>
      </w:pPr>
      <w:r>
        <w:rPr>
          <w:szCs w:val="24"/>
        </w:rPr>
        <w:instrText>6A.</w:instrText>
      </w:r>
      <w:r>
        <w:rPr>
          <w:szCs w:val="24"/>
        </w:rPr>
        <w:tab/>
        <w:instrText xml:space="preserve">Particular provision relating to the </w:instrText>
      </w:r>
      <w:r>
        <w:rPr>
          <w:i/>
          <w:iCs/>
          <w:szCs w:val="24"/>
        </w:rPr>
        <w:instrText>Electricity Industry (Network Quality and Reliability of Supply) Code 2005</w:instrText>
      </w:r>
      <w:r>
        <w:tab/>
      </w:r>
      <w:r>
        <w:fldChar w:fldCharType="begin"/>
      </w:r>
      <w:r>
        <w:instrText xml:space="preserve"> PAGEREF _Toc170208799 \h </w:instrText>
      </w:r>
      <w:r>
        <w:fldChar w:fldCharType="separate"/>
      </w:r>
      <w:r w:rsidR="000176C8">
        <w:instrText>4</w:instrText>
      </w:r>
      <w:r>
        <w:fldChar w:fldCharType="end"/>
      </w:r>
    </w:p>
    <w:p w:rsidR="001D7D8D" w:rsidRDefault="005A4E48">
      <w:pPr>
        <w:pStyle w:val="TOC8"/>
        <w:rPr>
          <w:sz w:val="24"/>
          <w:szCs w:val="24"/>
        </w:rPr>
      </w:pPr>
      <w:r>
        <w:rPr>
          <w:szCs w:val="24"/>
        </w:rPr>
        <w:instrText>7.</w:instrText>
      </w:r>
      <w:r>
        <w:rPr>
          <w:szCs w:val="24"/>
        </w:rPr>
        <w:tab/>
        <w:instrText>Reasons for decisions</w:instrText>
      </w:r>
      <w:r>
        <w:tab/>
      </w:r>
      <w:r>
        <w:fldChar w:fldCharType="begin"/>
      </w:r>
      <w:r>
        <w:instrText xml:space="preserve"> PAGEREF _Toc170208800 \h </w:instrText>
      </w:r>
      <w:r>
        <w:fldChar w:fldCharType="separate"/>
      </w:r>
      <w:r w:rsidR="000176C8">
        <w:instrText>4</w:instrText>
      </w:r>
      <w:r>
        <w:fldChar w:fldCharType="end"/>
      </w:r>
    </w:p>
    <w:p w:rsidR="001D7D8D" w:rsidRDefault="005A4E48">
      <w:pPr>
        <w:pStyle w:val="TOC8"/>
        <w:rPr>
          <w:sz w:val="24"/>
          <w:szCs w:val="24"/>
        </w:rPr>
      </w:pPr>
      <w:r>
        <w:rPr>
          <w:szCs w:val="24"/>
        </w:rPr>
        <w:instrText>8.</w:instrText>
      </w:r>
      <w:r>
        <w:rPr>
          <w:szCs w:val="24"/>
        </w:rPr>
        <w:tab/>
        <w:instrText>Enforcement against electricity marketing agents</w:instrText>
      </w:r>
      <w:r>
        <w:tab/>
      </w:r>
      <w:r>
        <w:fldChar w:fldCharType="begin"/>
      </w:r>
      <w:r>
        <w:instrText xml:space="preserve"> PAGEREF _Toc170208801 \h </w:instrText>
      </w:r>
      <w:r>
        <w:fldChar w:fldCharType="separate"/>
      </w:r>
      <w:r w:rsidR="000176C8">
        <w:instrText>5</w:instrText>
      </w:r>
      <w:r>
        <w:fldChar w:fldCharType="end"/>
      </w:r>
    </w:p>
    <w:p w:rsidR="001D7D8D" w:rsidRDefault="005A4E48">
      <w:pPr>
        <w:pStyle w:val="TOC8"/>
        <w:rPr>
          <w:sz w:val="24"/>
          <w:szCs w:val="24"/>
        </w:rPr>
      </w:pPr>
      <w:r>
        <w:rPr>
          <w:szCs w:val="24"/>
        </w:rPr>
        <w:instrText>9.</w:instrText>
      </w:r>
      <w:r>
        <w:rPr>
          <w:szCs w:val="24"/>
        </w:rPr>
        <w:tab/>
        <w:instrText>Review of schemes</w:instrText>
      </w:r>
      <w:r>
        <w:tab/>
      </w:r>
      <w:r>
        <w:fldChar w:fldCharType="begin"/>
      </w:r>
      <w:r>
        <w:instrText xml:space="preserve"> PAGEREF _Toc170208802 \h </w:instrText>
      </w:r>
      <w:r>
        <w:fldChar w:fldCharType="separate"/>
      </w:r>
      <w:r w:rsidR="000176C8">
        <w:instrText>5</w:instrText>
      </w:r>
      <w:r>
        <w:fldChar w:fldCharType="end"/>
      </w:r>
    </w:p>
    <w:p w:rsidR="001D7D8D" w:rsidRDefault="005A4E48">
      <w:pPr>
        <w:pStyle w:val="TOC8"/>
        <w:rPr>
          <w:sz w:val="24"/>
          <w:szCs w:val="24"/>
        </w:rPr>
      </w:pPr>
      <w:r>
        <w:rPr>
          <w:szCs w:val="24"/>
        </w:rPr>
        <w:instrText>10.</w:instrText>
      </w:r>
      <w:r>
        <w:rPr>
          <w:szCs w:val="24"/>
        </w:rPr>
        <w:tab/>
        <w:instrText>Revocation of a scheme’s approval</w:instrText>
      </w:r>
      <w:r>
        <w:tab/>
      </w:r>
      <w:r>
        <w:fldChar w:fldCharType="begin"/>
      </w:r>
      <w:r>
        <w:instrText xml:space="preserve"> PAGEREF _Toc170208803 \h </w:instrText>
      </w:r>
      <w:r>
        <w:fldChar w:fldCharType="separate"/>
      </w:r>
      <w:r w:rsidR="000176C8">
        <w:instrText>5</w:instrText>
      </w:r>
      <w:r>
        <w:fldChar w:fldCharType="end"/>
      </w:r>
    </w:p>
    <w:p w:rsidR="001D7D8D" w:rsidRDefault="005A4E48">
      <w:pPr>
        <w:pStyle w:val="TOC2"/>
        <w:tabs>
          <w:tab w:val="right" w:pos="7086"/>
        </w:tabs>
        <w:rPr>
          <w:b w:val="0"/>
          <w:sz w:val="24"/>
          <w:szCs w:val="24"/>
        </w:rPr>
      </w:pPr>
      <w:r>
        <w:rPr>
          <w:szCs w:val="26"/>
        </w:rPr>
        <w:instrText>Notes</w:instrText>
      </w:r>
    </w:p>
    <w:p w:rsidR="001D7D8D" w:rsidRDefault="005A4E48">
      <w:pPr>
        <w:pStyle w:val="TOC8"/>
        <w:rPr>
          <w:sz w:val="24"/>
          <w:szCs w:val="24"/>
        </w:rPr>
      </w:pPr>
      <w:r>
        <w:rPr>
          <w:szCs w:val="24"/>
        </w:rPr>
        <w:instrText>Compilation table</w:instrText>
      </w:r>
      <w:r>
        <w:tab/>
      </w:r>
      <w:r>
        <w:fldChar w:fldCharType="begin"/>
      </w:r>
      <w:r>
        <w:instrText xml:space="preserve"> PAGEREF _Toc170208805 \h </w:instrText>
      </w:r>
      <w:r>
        <w:fldChar w:fldCharType="separate"/>
      </w:r>
      <w:r w:rsidR="000176C8">
        <w:instrText>7</w:instrText>
      </w:r>
      <w:r>
        <w:fldChar w:fldCharType="end"/>
      </w:r>
    </w:p>
    <w:p w:rsidR="001D7D8D" w:rsidRDefault="005A4E48">
      <w:pPr>
        <w:pStyle w:val="TOC4"/>
      </w:pPr>
      <w:r>
        <w:fldChar w:fldCharType="end"/>
      </w:r>
      <w:r>
        <w:instrText xml:space="preserve"> </w:instrText>
      </w:r>
      <w:r>
        <w:fldChar w:fldCharType="end"/>
      </w:r>
    </w:p>
    <w:p w:rsidR="001D7D8D" w:rsidRDefault="005A4E4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D7D8D" w:rsidRDefault="001D7D8D">
      <w:pPr>
        <w:pStyle w:val="NoteHeading"/>
        <w:sectPr w:rsidR="001D7D8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D7D8D" w:rsidRDefault="005A4E48">
      <w:pPr>
        <w:pStyle w:val="WA"/>
      </w:pPr>
      <w:r>
        <w:t>Western Australia</w:t>
      </w:r>
    </w:p>
    <w:p w:rsidR="001D7D8D" w:rsidRDefault="005A4E48">
      <w:pPr>
        <w:pStyle w:val="PrincipalActReg"/>
      </w:pPr>
      <w:r>
        <w:t>Electricity Industry Act 2004</w:t>
      </w:r>
    </w:p>
    <w:p w:rsidR="001D7D8D" w:rsidRDefault="005A4E48">
      <w:pPr>
        <w:pStyle w:val="NameofActReg"/>
      </w:pPr>
      <w:r>
        <w:t>Electricity Industry (Ombudsman Scheme) Regulations 2005</w:t>
      </w:r>
    </w:p>
    <w:p w:rsidR="001D7D8D" w:rsidRDefault="005A4E48">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22234660"/>
      <w:bookmarkStart w:id="10" w:name="_Toc124148839"/>
      <w:bookmarkStart w:id="11" w:name="_Toc170208793"/>
      <w:r>
        <w:rPr>
          <w:rStyle w:val="CharSectno"/>
        </w:rPr>
        <w:t>1</w:t>
      </w:r>
      <w:r>
        <w:t>.</w:t>
      </w:r>
      <w:r>
        <w:tab/>
        <w:t>Citation</w:t>
      </w:r>
      <w:bookmarkEnd w:id="2"/>
      <w:bookmarkEnd w:id="3"/>
      <w:bookmarkEnd w:id="4"/>
      <w:bookmarkEnd w:id="5"/>
      <w:bookmarkEnd w:id="6"/>
      <w:bookmarkEnd w:id="7"/>
      <w:bookmarkEnd w:id="8"/>
      <w:bookmarkEnd w:id="9"/>
      <w:bookmarkEnd w:id="10"/>
      <w:bookmarkEnd w:id="11"/>
    </w:p>
    <w:p w:rsidR="001D7D8D" w:rsidRDefault="005A4E48">
      <w:pPr>
        <w:pStyle w:val="Subsection"/>
      </w:pPr>
      <w:r>
        <w:tab/>
      </w:r>
      <w:r>
        <w:tab/>
      </w:r>
      <w:r>
        <w:rPr>
          <w:spacing w:val="-2"/>
        </w:rPr>
        <w:t>These</w:t>
      </w:r>
      <w:r>
        <w:t xml:space="preserve"> </w:t>
      </w:r>
      <w:r>
        <w:rPr>
          <w:spacing w:val="-2"/>
        </w:rPr>
        <w:t>regulations</w:t>
      </w:r>
      <w:r>
        <w:t xml:space="preserve"> are the </w:t>
      </w:r>
      <w:r>
        <w:rPr>
          <w:i/>
        </w:rPr>
        <w:t>Electricity Industry (Ombudsman Scheme) Regulations 2005</w:t>
      </w:r>
      <w:r>
        <w:t>.</w:t>
      </w:r>
    </w:p>
    <w:p w:rsidR="001D7D8D" w:rsidRDefault="005A4E48">
      <w:pPr>
        <w:pStyle w:val="Heading5"/>
      </w:pPr>
      <w:bookmarkStart w:id="12" w:name="_Toc122234661"/>
      <w:bookmarkStart w:id="13" w:name="_Toc124148840"/>
      <w:bookmarkStart w:id="14" w:name="_Toc170208794"/>
      <w:r>
        <w:rPr>
          <w:rStyle w:val="CharSectno"/>
        </w:rPr>
        <w:t>2</w:t>
      </w:r>
      <w:r>
        <w:t>.</w:t>
      </w:r>
      <w:r>
        <w:tab/>
        <w:t>Definitions</w:t>
      </w:r>
      <w:bookmarkEnd w:id="12"/>
      <w:bookmarkEnd w:id="13"/>
      <w:bookmarkEnd w:id="14"/>
    </w:p>
    <w:p w:rsidR="001D7D8D" w:rsidRDefault="005A4E48">
      <w:pPr>
        <w:pStyle w:val="Subsection"/>
      </w:pPr>
      <w:r>
        <w:tab/>
      </w:r>
      <w:r>
        <w:tab/>
        <w:t xml:space="preserve">In these regulations — </w:t>
      </w:r>
    </w:p>
    <w:p w:rsidR="001D7D8D" w:rsidRDefault="005A4E48">
      <w:pPr>
        <w:pStyle w:val="Defstart"/>
      </w:pPr>
      <w:r>
        <w:rPr>
          <w:b/>
        </w:rPr>
        <w:tab/>
        <w:t>“</w:t>
      </w:r>
      <w:r>
        <w:rPr>
          <w:rStyle w:val="CharDefText"/>
        </w:rPr>
        <w:t>complainant</w:t>
      </w:r>
      <w:r>
        <w:rPr>
          <w:b/>
        </w:rPr>
        <w:t>”</w:t>
      </w:r>
      <w:r>
        <w:t xml:space="preserve"> includes a person who is in dispute with a member of an approved scheme or an electricity marketing agent;</w:t>
      </w:r>
    </w:p>
    <w:p w:rsidR="001D7D8D" w:rsidRDefault="005A4E48">
      <w:pPr>
        <w:pStyle w:val="Defstart"/>
      </w:pPr>
      <w:r>
        <w:rPr>
          <w:b/>
        </w:rPr>
        <w:tab/>
        <w:t>“</w:t>
      </w:r>
      <w:r>
        <w:rPr>
          <w:rStyle w:val="CharDefText"/>
        </w:rPr>
        <w:t>complaint</w:t>
      </w:r>
      <w:r>
        <w:rPr>
          <w:b/>
        </w:rPr>
        <w:t>”</w:t>
      </w:r>
      <w:r>
        <w:t xml:space="preserve"> includes a dispute with a member of an approved scheme or an electricity marketing agent;</w:t>
      </w:r>
    </w:p>
    <w:p w:rsidR="001D7D8D" w:rsidRDefault="005A4E48">
      <w:pPr>
        <w:pStyle w:val="Defstart"/>
      </w:pPr>
      <w:r>
        <w:rPr>
          <w:b/>
        </w:rPr>
        <w:tab/>
        <w:t>“</w:t>
      </w:r>
      <w:r>
        <w:rPr>
          <w:rStyle w:val="CharDefText"/>
        </w:rPr>
        <w:t>EO</w:t>
      </w:r>
      <w:r>
        <w:rPr>
          <w:b/>
        </w:rPr>
        <w:t>”</w:t>
      </w:r>
      <w:r>
        <w:t xml:space="preserve"> has the meaning given to the term “electricity ombudsman” in section 92(1) of the Act;</w:t>
      </w:r>
    </w:p>
    <w:p w:rsidR="001D7D8D" w:rsidRDefault="005A4E48">
      <w:pPr>
        <w:pStyle w:val="Defstart"/>
      </w:pPr>
      <w:r>
        <w:rPr>
          <w:b/>
        </w:rPr>
        <w:tab/>
        <w:t>“</w:t>
      </w:r>
      <w:r>
        <w:rPr>
          <w:rStyle w:val="CharDefText"/>
        </w:rPr>
        <w:t>the Act</w:t>
      </w:r>
      <w:r>
        <w:rPr>
          <w:b/>
        </w:rPr>
        <w:t>”</w:t>
      </w:r>
      <w:r>
        <w:t xml:space="preserve"> means the </w:t>
      </w:r>
      <w:r>
        <w:rPr>
          <w:i/>
          <w:iCs/>
        </w:rPr>
        <w:t>Electricity Industry Act 2004</w:t>
      </w:r>
      <w:r>
        <w:t>.</w:t>
      </w:r>
    </w:p>
    <w:p w:rsidR="001D7D8D" w:rsidRDefault="005A4E48">
      <w:pPr>
        <w:pStyle w:val="Heading5"/>
      </w:pPr>
      <w:bookmarkStart w:id="15" w:name="_Toc122234662"/>
      <w:bookmarkStart w:id="16" w:name="_Toc124148841"/>
      <w:bookmarkStart w:id="17" w:name="_Toc170208795"/>
      <w:r>
        <w:rPr>
          <w:rStyle w:val="CharSectno"/>
        </w:rPr>
        <w:t>3</w:t>
      </w:r>
      <w:r>
        <w:t>.</w:t>
      </w:r>
      <w:r>
        <w:tab/>
        <w:t>Scheme to have a governing body</w:t>
      </w:r>
      <w:bookmarkEnd w:id="15"/>
      <w:bookmarkEnd w:id="16"/>
      <w:bookmarkEnd w:id="17"/>
    </w:p>
    <w:p w:rsidR="001D7D8D" w:rsidRDefault="005A4E48">
      <w:pPr>
        <w:pStyle w:val="Subsection"/>
      </w:pPr>
      <w:r>
        <w:tab/>
      </w:r>
      <w:r>
        <w:tab/>
        <w:t xml:space="preserve">In order to receive approval under sections 92 and 93 of the Act, a scheme must provide for there to be a governing body of the scheme that has overall responsibility for overseeing and administering the scheme’s operations, and in particular for — </w:t>
      </w:r>
    </w:p>
    <w:p w:rsidR="001D7D8D" w:rsidRDefault="005A4E48">
      <w:pPr>
        <w:pStyle w:val="Indenta"/>
      </w:pPr>
      <w:r>
        <w:tab/>
        <w:t>(a)</w:t>
      </w:r>
      <w:r>
        <w:tab/>
        <w:t>maintaining the independence of the EO;</w:t>
      </w:r>
    </w:p>
    <w:p w:rsidR="001D7D8D" w:rsidRDefault="005A4E48">
      <w:pPr>
        <w:pStyle w:val="Indenta"/>
      </w:pPr>
      <w:r>
        <w:tab/>
        <w:t>(b)</w:t>
      </w:r>
      <w:r>
        <w:tab/>
        <w:t>providing advice to the EO on policy matters;</w:t>
      </w:r>
    </w:p>
    <w:p w:rsidR="001D7D8D" w:rsidRDefault="005A4E48">
      <w:pPr>
        <w:pStyle w:val="Indenta"/>
      </w:pPr>
      <w:r>
        <w:tab/>
        <w:t>(c)</w:t>
      </w:r>
      <w:r>
        <w:tab/>
        <w:t>appointing, and terminating the appointment of, the EO, and appointing an acting EO as, and for so long as, may be required;</w:t>
      </w:r>
    </w:p>
    <w:p w:rsidR="001D7D8D" w:rsidRDefault="005A4E48">
      <w:pPr>
        <w:pStyle w:val="Indenta"/>
      </w:pPr>
      <w:r>
        <w:tab/>
        <w:t>(d)</w:t>
      </w:r>
      <w:r>
        <w:tab/>
        <w:t>determining policies relating to the administration of the scheme;</w:t>
      </w:r>
    </w:p>
    <w:p w:rsidR="001D7D8D" w:rsidRDefault="005A4E48">
      <w:pPr>
        <w:pStyle w:val="Indenta"/>
      </w:pPr>
      <w:r>
        <w:tab/>
        <w:t>(e)</w:t>
      </w:r>
      <w:r>
        <w:tab/>
        <w:t>approving EO budgets in consultation with the EO and ensuring that the scheme has sufficient funding for its operations;</w:t>
      </w:r>
    </w:p>
    <w:p w:rsidR="001D7D8D" w:rsidRDefault="005A4E48">
      <w:pPr>
        <w:pStyle w:val="Indenta"/>
      </w:pPr>
      <w:r>
        <w:tab/>
        <w:t>(f)</w:t>
      </w:r>
      <w:r>
        <w:tab/>
        <w:t>considering the appropriateness, scope and effectiveness of the scheme and, in particular, reviewing the scheme in accordance with regulation 9; and</w:t>
      </w:r>
    </w:p>
    <w:p w:rsidR="001D7D8D" w:rsidRDefault="005A4E48">
      <w:pPr>
        <w:pStyle w:val="Indenta"/>
      </w:pPr>
      <w:r>
        <w:tab/>
        <w:t>(g)</w:t>
      </w:r>
      <w:r>
        <w:tab/>
        <w:t>providing advice to the EO on the promotion of the scheme and the preparation of the annual report,</w:t>
      </w:r>
    </w:p>
    <w:p w:rsidR="001D7D8D" w:rsidRDefault="005A4E48">
      <w:pPr>
        <w:pStyle w:val="Subsection"/>
      </w:pPr>
      <w:r>
        <w:tab/>
      </w:r>
      <w:r>
        <w:tab/>
        <w:t xml:space="preserve">and must provide — </w:t>
      </w:r>
    </w:p>
    <w:p w:rsidR="001D7D8D" w:rsidRDefault="005A4E48">
      <w:pPr>
        <w:pStyle w:val="Indenta"/>
      </w:pPr>
      <w:r>
        <w:tab/>
        <w:t>(h)</w:t>
      </w:r>
      <w:r>
        <w:tab/>
        <w:t xml:space="preserve">for there to be equal representation on the governing body of — </w:t>
      </w:r>
    </w:p>
    <w:p w:rsidR="001D7D8D" w:rsidRDefault="005A4E48">
      <w:pPr>
        <w:pStyle w:val="Indenti"/>
      </w:pPr>
      <w:r>
        <w:tab/>
        <w:t>(i)</w:t>
      </w:r>
      <w:r>
        <w:tab/>
        <w:t>members of the scheme; and</w:t>
      </w:r>
    </w:p>
    <w:p w:rsidR="001D7D8D" w:rsidRDefault="005A4E48">
      <w:pPr>
        <w:pStyle w:val="Indenti"/>
      </w:pPr>
      <w:r>
        <w:tab/>
        <w:t>(ii)</w:t>
      </w:r>
      <w:r>
        <w:tab/>
        <w:t xml:space="preserve">customers of electricity services and the public; </w:t>
      </w:r>
    </w:p>
    <w:p w:rsidR="001D7D8D" w:rsidRDefault="005A4E48">
      <w:pPr>
        <w:pStyle w:val="Indenta"/>
      </w:pPr>
      <w:r>
        <w:tab/>
      </w:r>
      <w:r>
        <w:tab/>
        <w:t>and</w:t>
      </w:r>
    </w:p>
    <w:p w:rsidR="001D7D8D" w:rsidRDefault="005A4E48">
      <w:pPr>
        <w:pStyle w:val="Indenta"/>
      </w:pPr>
      <w:r>
        <w:tab/>
        <w:t>(i)</w:t>
      </w:r>
      <w:r>
        <w:tab/>
        <w:t>for the governing body to have an independent chairperson.</w:t>
      </w:r>
    </w:p>
    <w:p w:rsidR="001D7D8D" w:rsidRDefault="005A4E48">
      <w:pPr>
        <w:pStyle w:val="Heading5"/>
      </w:pPr>
      <w:bookmarkStart w:id="18" w:name="_Toc122234663"/>
      <w:bookmarkStart w:id="19" w:name="_Toc124148842"/>
      <w:bookmarkStart w:id="20" w:name="_Toc170208796"/>
      <w:r>
        <w:rPr>
          <w:rStyle w:val="CharSectno"/>
        </w:rPr>
        <w:t>4</w:t>
      </w:r>
      <w:r>
        <w:t>.</w:t>
      </w:r>
      <w:r>
        <w:tab/>
        <w:t>Additional jurisdiction of EO</w:t>
      </w:r>
      <w:bookmarkEnd w:id="18"/>
      <w:bookmarkEnd w:id="19"/>
      <w:bookmarkEnd w:id="20"/>
    </w:p>
    <w:p w:rsidR="001D7D8D" w:rsidRDefault="005A4E48">
      <w:pPr>
        <w:pStyle w:val="Subsection"/>
      </w:pPr>
      <w:r>
        <w:tab/>
      </w:r>
      <w:r>
        <w:tab/>
        <w:t xml:space="preserve">For the purposes of section 92(1)(d) of the Act, the following kinds of complaint may be investigated and dealt with by the EO under an approved scheme — </w:t>
      </w:r>
    </w:p>
    <w:p w:rsidR="001D7D8D" w:rsidRDefault="005A4E48">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rsidR="001D7D8D" w:rsidRDefault="005A4E48">
      <w:pPr>
        <w:pStyle w:val="Indenta"/>
      </w:pPr>
      <w:r>
        <w:tab/>
        <w:t>(b)</w:t>
      </w:r>
      <w:r>
        <w:tab/>
        <w:t>complaints relating to a member of the scheme or an electricity marketing agent that are referred to the EO by the member or agent with the agreement of the EO and the complainant.</w:t>
      </w:r>
    </w:p>
    <w:p w:rsidR="001D7D8D" w:rsidRDefault="005A4E48">
      <w:pPr>
        <w:pStyle w:val="Heading5"/>
      </w:pPr>
      <w:bookmarkStart w:id="21" w:name="_Toc122234664"/>
      <w:bookmarkStart w:id="22" w:name="_Toc124148843"/>
      <w:bookmarkStart w:id="23" w:name="_Toc170208797"/>
      <w:r>
        <w:rPr>
          <w:rStyle w:val="CharSectno"/>
        </w:rPr>
        <w:t>5</w:t>
      </w:r>
      <w:r>
        <w:t>.</w:t>
      </w:r>
      <w:r>
        <w:tab/>
        <w:t>Functions of EO</w:t>
      </w:r>
      <w:bookmarkEnd w:id="21"/>
      <w:bookmarkEnd w:id="22"/>
      <w:bookmarkEnd w:id="23"/>
    </w:p>
    <w:p w:rsidR="001D7D8D" w:rsidRDefault="005A4E48">
      <w:pPr>
        <w:pStyle w:val="Subsection"/>
      </w:pPr>
      <w:r>
        <w:tab/>
        <w:t>(1)</w:t>
      </w:r>
      <w:r>
        <w:tab/>
        <w:t xml:space="preserve">The functions of the EO under an approved scheme are — </w:t>
      </w:r>
    </w:p>
    <w:p w:rsidR="001D7D8D" w:rsidRDefault="005A4E48">
      <w:pPr>
        <w:pStyle w:val="Indenta"/>
      </w:pPr>
      <w:r>
        <w:tab/>
        <w:t>(a)</w:t>
      </w:r>
      <w:r>
        <w:tab/>
        <w:t>to have day to day responsibility for overseeing and administering the scheme’s operations; and</w:t>
      </w:r>
    </w:p>
    <w:p w:rsidR="001D7D8D" w:rsidRDefault="005A4E48">
      <w:pPr>
        <w:pStyle w:val="Indenta"/>
      </w:pPr>
      <w:r>
        <w:tab/>
        <w:t>(b)</w:t>
      </w:r>
      <w:r>
        <w:tab/>
        <w:t>to investigate and deal with a complaint referred to in section 92(1)(a), (b) or (c) of the Act or regulation 4, to the extent that it relates to commercial activities of a member of the scheme that are within the scope of the licence held by the member.</w:t>
      </w:r>
    </w:p>
    <w:p w:rsidR="001D7D8D" w:rsidRDefault="005A4E48">
      <w:pPr>
        <w:pStyle w:val="Subsection"/>
      </w:pPr>
      <w:r>
        <w:tab/>
        <w:t>(2)</w:t>
      </w:r>
      <w:r>
        <w:tab/>
        <w:t>It is not a function of the EO to set prices or tariffs or determine price structures.</w:t>
      </w:r>
    </w:p>
    <w:p w:rsidR="001D7D8D" w:rsidRDefault="005A4E48">
      <w:pPr>
        <w:pStyle w:val="Heading5"/>
      </w:pPr>
      <w:bookmarkStart w:id="24" w:name="_Toc122234665"/>
      <w:bookmarkStart w:id="25" w:name="_Toc124148844"/>
      <w:bookmarkStart w:id="26" w:name="_Toc170208798"/>
      <w:r>
        <w:rPr>
          <w:rStyle w:val="CharSectno"/>
        </w:rPr>
        <w:t>6</w:t>
      </w:r>
      <w:r>
        <w:t>.</w:t>
      </w:r>
      <w:r>
        <w:tab/>
        <w:t>Powers of EO</w:t>
      </w:r>
      <w:bookmarkEnd w:id="24"/>
      <w:bookmarkEnd w:id="25"/>
      <w:bookmarkEnd w:id="26"/>
    </w:p>
    <w:p w:rsidR="001D7D8D" w:rsidRDefault="005A4E48">
      <w:pPr>
        <w:pStyle w:val="Subsection"/>
      </w:pPr>
      <w:r>
        <w:tab/>
      </w:r>
      <w:r>
        <w:tab/>
        <w:t xml:space="preserve">Without limiting the things that the EO under an approved scheme may do for the purpose of dealing with a complaint, but subject to any limitations set out in the scheme, the EO may give a member of the scheme one or more of the following directions — </w:t>
      </w:r>
    </w:p>
    <w:p w:rsidR="001D7D8D" w:rsidRDefault="005A4E48">
      <w:pPr>
        <w:pStyle w:val="Indenta"/>
      </w:pPr>
      <w:r>
        <w:tab/>
        <w:t>(a)</w:t>
      </w:r>
      <w:r>
        <w:tab/>
        <w:t>a direction to pay compensation to a complainant;</w:t>
      </w:r>
    </w:p>
    <w:p w:rsidR="001D7D8D" w:rsidRDefault="005A4E48">
      <w:pPr>
        <w:pStyle w:val="Indenta"/>
      </w:pPr>
      <w:r>
        <w:tab/>
        <w:t>(b)</w:t>
      </w:r>
      <w:r>
        <w:tab/>
        <w:t>a direction to provide an electricity service;</w:t>
      </w:r>
    </w:p>
    <w:p w:rsidR="001D7D8D" w:rsidRDefault="005A4E48">
      <w:pPr>
        <w:pStyle w:val="Indenta"/>
      </w:pPr>
      <w:r>
        <w:tab/>
        <w:t>(c)</w:t>
      </w:r>
      <w:r>
        <w:tab/>
        <w:t>a direction to amend, or not to impose, a charge in relation to a service;</w:t>
      </w:r>
    </w:p>
    <w:p w:rsidR="001D7D8D" w:rsidRDefault="005A4E48">
      <w:pPr>
        <w:pStyle w:val="Indenta"/>
      </w:pPr>
      <w:r>
        <w:tab/>
        <w:t>(d)</w:t>
      </w:r>
      <w:r>
        <w:tab/>
        <w:t>a direction to supply goods or services the subject of the complaint or undertake any necessary corrective or other work to resolve the complaint;</w:t>
      </w:r>
    </w:p>
    <w:p w:rsidR="001D7D8D" w:rsidRDefault="005A4E48">
      <w:pPr>
        <w:pStyle w:val="Indenta"/>
      </w:pPr>
      <w:r>
        <w:tab/>
        <w:t>(e)</w:t>
      </w:r>
      <w:r>
        <w:tab/>
        <w:t>a direction to make an appropriate correction, deletion or addition to a record;</w:t>
      </w:r>
    </w:p>
    <w:p w:rsidR="001D7D8D" w:rsidRDefault="005A4E48">
      <w:pPr>
        <w:pStyle w:val="Indenta"/>
      </w:pPr>
      <w:r>
        <w:tab/>
        <w:t>(f)</w:t>
      </w:r>
      <w:r>
        <w:tab/>
        <w:t>a direction to attach to a record a statement provided by the complainant of a correction, deletion or addition sought by the complainant;</w:t>
      </w:r>
    </w:p>
    <w:p w:rsidR="001D7D8D" w:rsidRDefault="005A4E48">
      <w:pPr>
        <w:pStyle w:val="Indenta"/>
      </w:pPr>
      <w:r>
        <w:tab/>
        <w:t>(g)</w:t>
      </w:r>
      <w:r>
        <w:tab/>
        <w:t>a direction to do, not do or cease doing, an act,</w:t>
      </w:r>
    </w:p>
    <w:p w:rsidR="001D7D8D" w:rsidRDefault="005A4E48">
      <w:pPr>
        <w:pStyle w:val="Subsection"/>
      </w:pPr>
      <w:r>
        <w:tab/>
      </w:r>
      <w:r>
        <w:tab/>
        <w:t>and may give an electricity marketing agent a direction to provide an electricity service.</w:t>
      </w:r>
    </w:p>
    <w:p w:rsidR="001D7D8D" w:rsidRDefault="005A4E48">
      <w:pPr>
        <w:pStyle w:val="Heading5"/>
      </w:pPr>
      <w:bookmarkStart w:id="27" w:name="_Toc124148845"/>
      <w:bookmarkStart w:id="28" w:name="_Toc170208799"/>
      <w:bookmarkStart w:id="29" w:name="_Toc122234666"/>
      <w:r>
        <w:rPr>
          <w:rStyle w:val="CharSectno"/>
        </w:rPr>
        <w:t>6A</w:t>
      </w:r>
      <w:r>
        <w:t>.</w:t>
      </w:r>
      <w:r>
        <w:tab/>
        <w:t xml:space="preserve">Particular provision relating to the </w:t>
      </w:r>
      <w:r>
        <w:rPr>
          <w:i/>
          <w:iCs/>
        </w:rPr>
        <w:t>Electricity Industry (Network Quality and Reliability of Supply) Code 2005</w:t>
      </w:r>
      <w:bookmarkEnd w:id="27"/>
      <w:bookmarkEnd w:id="28"/>
    </w:p>
    <w:p w:rsidR="001D7D8D" w:rsidRDefault="005A4E48">
      <w:pPr>
        <w:pStyle w:val="Subsection"/>
      </w:pPr>
      <w:r>
        <w:tab/>
        <w:t>(1)</w:t>
      </w:r>
      <w:r>
        <w:tab/>
        <w:t xml:space="preserve">In this regulation — </w:t>
      </w:r>
    </w:p>
    <w:p w:rsidR="001D7D8D" w:rsidRDefault="005A4E48">
      <w:pPr>
        <w:pStyle w:val="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rsidR="001D7D8D" w:rsidRDefault="005A4E48">
      <w:pPr>
        <w:pStyle w:val="Subsection"/>
      </w:pPr>
      <w:r>
        <w:tab/>
        <w:t>(2)</w:t>
      </w:r>
      <w:r>
        <w:tab/>
        <w:t xml:space="preserve">Terms used in this regulation that are defined in the </w:t>
      </w:r>
      <w:r>
        <w:rPr>
          <w:i/>
          <w:iCs/>
        </w:rPr>
        <w:t>Electricity Industry (Network Quality and Reliability of Supply) Code 2005</w:t>
      </w:r>
      <w:r>
        <w:t xml:space="preserve"> (the </w:t>
      </w:r>
      <w:r>
        <w:rPr>
          <w:b/>
        </w:rPr>
        <w:t>“</w:t>
      </w:r>
      <w:r>
        <w:rPr>
          <w:rStyle w:val="CharDefText"/>
        </w:rPr>
        <w:t>Code</w:t>
      </w:r>
      <w:r>
        <w:rPr>
          <w:b/>
        </w:rPr>
        <w:t>”</w:t>
      </w:r>
      <w:r>
        <w:rPr>
          <w:bCs/>
        </w:rPr>
        <w:t xml:space="preserve">) </w:t>
      </w:r>
      <w:r>
        <w:t>have the same meanings as they have in the Code.</w:t>
      </w:r>
    </w:p>
    <w:p w:rsidR="001D7D8D" w:rsidRDefault="005A4E48">
      <w:pPr>
        <w:pStyle w:val="Subsection"/>
      </w:pPr>
      <w:r>
        <w:tab/>
        <w:t>(3)</w:t>
      </w:r>
      <w:r>
        <w:tab/>
        <w:t>If the EO is dealing with a complaint by a customer that a provision of the Code has not been, or is not being, complied with by a transmitter or distributor, the EO may request the Director of Energy Safety to provide advice to assist the EO in the dealing with the complaint.</w:t>
      </w:r>
    </w:p>
    <w:p w:rsidR="001D7D8D" w:rsidRDefault="005A4E48">
      <w:pPr>
        <w:pStyle w:val="Subsection"/>
      </w:pPr>
      <w:r>
        <w:tab/>
        <w:t>(4)</w:t>
      </w:r>
      <w:r>
        <w:tab/>
        <w:t>It is a function of the Director of Energy Safety to do all such things as are required to comply with a request under subregulation (3).</w:t>
      </w:r>
    </w:p>
    <w:p w:rsidR="001D7D8D" w:rsidRDefault="005A4E48">
      <w:pPr>
        <w:pStyle w:val="Subsection"/>
      </w:pPr>
      <w:r>
        <w:tab/>
        <w:t>(5)</w:t>
      </w:r>
      <w:r>
        <w:tab/>
        <w:t>Subregulation (3) does not limit the power of the EO to consult other persons in relation to a complaint referred to in that subregulation.</w:t>
      </w:r>
    </w:p>
    <w:p w:rsidR="001D7D8D" w:rsidRDefault="005A4E48">
      <w:pPr>
        <w:pStyle w:val="Footnotesection"/>
      </w:pPr>
      <w:r>
        <w:tab/>
        <w:t>[Regulation 6A inserted in Gazette 13 Dec 2005 p. 5981-2.]</w:t>
      </w:r>
    </w:p>
    <w:p w:rsidR="001D7D8D" w:rsidRDefault="005A4E48">
      <w:pPr>
        <w:pStyle w:val="Heading5"/>
      </w:pPr>
      <w:bookmarkStart w:id="30" w:name="_Toc124148846"/>
      <w:bookmarkStart w:id="31" w:name="_Toc170208800"/>
      <w:r>
        <w:rPr>
          <w:rStyle w:val="CharSectno"/>
        </w:rPr>
        <w:t>7</w:t>
      </w:r>
      <w:r>
        <w:t>.</w:t>
      </w:r>
      <w:r>
        <w:tab/>
        <w:t>Reasons for decisions</w:t>
      </w:r>
      <w:bookmarkEnd w:id="29"/>
      <w:bookmarkEnd w:id="30"/>
      <w:bookmarkEnd w:id="31"/>
    </w:p>
    <w:p w:rsidR="001D7D8D" w:rsidRDefault="005A4E48">
      <w:pPr>
        <w:pStyle w:val="Subsection"/>
      </w:pPr>
      <w:r>
        <w:tab/>
      </w:r>
      <w:r>
        <w:tab/>
        <w:t>For the purposes of section 93 of the Act, the scheme will provide for the giving of reasons for decisions made in dealing with a dispute or complaint that the EO has had to investigate, to the parties to the dispute or complaint.</w:t>
      </w:r>
    </w:p>
    <w:p w:rsidR="001D7D8D" w:rsidRDefault="005A4E48">
      <w:pPr>
        <w:pStyle w:val="Heading5"/>
      </w:pPr>
      <w:bookmarkStart w:id="32" w:name="_Toc122234667"/>
      <w:bookmarkStart w:id="33" w:name="_Toc124148847"/>
      <w:bookmarkStart w:id="34" w:name="_Toc170208801"/>
      <w:r>
        <w:rPr>
          <w:rStyle w:val="CharSectno"/>
        </w:rPr>
        <w:t>8</w:t>
      </w:r>
      <w:r>
        <w:t>.</w:t>
      </w:r>
      <w:r>
        <w:tab/>
        <w:t>Enforcement against electricity marketing agents</w:t>
      </w:r>
      <w:bookmarkEnd w:id="32"/>
      <w:bookmarkEnd w:id="33"/>
      <w:bookmarkEnd w:id="34"/>
    </w:p>
    <w:p w:rsidR="001D7D8D" w:rsidRDefault="005A4E48">
      <w:pPr>
        <w:pStyle w:val="Subsection"/>
      </w:pPr>
      <w:r>
        <w:tab/>
      </w:r>
      <w:r>
        <w:tab/>
        <w:t>An electricity marketing agent must comply with a direction given to that electricity marketing agent by the EO under an approved scheme.</w:t>
      </w:r>
    </w:p>
    <w:p w:rsidR="001D7D8D" w:rsidRDefault="005A4E48">
      <w:pPr>
        <w:pStyle w:val="Penstart"/>
      </w:pPr>
      <w:r>
        <w:tab/>
        <w:t xml:space="preserve">Penalty: A fine of — </w:t>
      </w:r>
    </w:p>
    <w:p w:rsidR="001D7D8D" w:rsidRDefault="005A4E48">
      <w:pPr>
        <w:pStyle w:val="Penpara"/>
      </w:pPr>
      <w:r>
        <w:tab/>
        <w:t>(a)</w:t>
      </w:r>
      <w:r>
        <w:tab/>
        <w:t>$2 000 in the case of an individual; or</w:t>
      </w:r>
    </w:p>
    <w:p w:rsidR="001D7D8D" w:rsidRDefault="005A4E48">
      <w:pPr>
        <w:pStyle w:val="Penpara"/>
      </w:pPr>
      <w:r>
        <w:tab/>
        <w:t>(b)</w:t>
      </w:r>
      <w:r>
        <w:tab/>
        <w:t>$8 000 in the case of a body corporate.</w:t>
      </w:r>
    </w:p>
    <w:p w:rsidR="001D7D8D" w:rsidRDefault="005A4E48">
      <w:pPr>
        <w:pStyle w:val="Heading5"/>
      </w:pPr>
      <w:bookmarkStart w:id="35" w:name="_Toc122234668"/>
      <w:bookmarkStart w:id="36" w:name="_Toc124148848"/>
      <w:bookmarkStart w:id="37" w:name="_Toc170208802"/>
      <w:r>
        <w:rPr>
          <w:rStyle w:val="CharSectno"/>
        </w:rPr>
        <w:t>9</w:t>
      </w:r>
      <w:r>
        <w:t>.</w:t>
      </w:r>
      <w:r>
        <w:tab/>
        <w:t>Review of schemes</w:t>
      </w:r>
      <w:bookmarkEnd w:id="35"/>
      <w:bookmarkEnd w:id="36"/>
      <w:bookmarkEnd w:id="37"/>
    </w:p>
    <w:p w:rsidR="001D7D8D" w:rsidRDefault="005A4E48">
      <w:pPr>
        <w:pStyle w:val="Subsection"/>
      </w:pPr>
      <w:r>
        <w:tab/>
        <w:t>(1)</w:t>
      </w:r>
      <w:r>
        <w:tab/>
        <w:t>The governing body of a scheme must review the scheme before the first anniversary of the inception of the scheme and biannually after that.</w:t>
      </w:r>
    </w:p>
    <w:p w:rsidR="001D7D8D" w:rsidRDefault="005A4E48">
      <w:pPr>
        <w:pStyle w:val="Subsection"/>
      </w:pPr>
      <w:r>
        <w:tab/>
        <w:t>(2)</w:t>
      </w:r>
      <w:r>
        <w:tab/>
        <w:t>In reviewing the scheme, the governing body must consult with all, or as many as practicable, of the persons and bodies the governing body considers have an interest in the scheme.</w:t>
      </w:r>
    </w:p>
    <w:p w:rsidR="001D7D8D" w:rsidRDefault="005A4E48">
      <w:pPr>
        <w:pStyle w:val="Subsection"/>
      </w:pPr>
      <w:r>
        <w:tab/>
        <w:t>(3)</w:t>
      </w:r>
      <w:r>
        <w:tab/>
        <w:t>The governing body must give a report on the review to the Authority.</w:t>
      </w:r>
    </w:p>
    <w:p w:rsidR="001D7D8D" w:rsidRDefault="005A4E48">
      <w:pPr>
        <w:pStyle w:val="Heading5"/>
      </w:pPr>
      <w:bookmarkStart w:id="38" w:name="_Toc122234669"/>
      <w:bookmarkStart w:id="39" w:name="_Toc124148849"/>
      <w:bookmarkStart w:id="40" w:name="_Toc170208803"/>
      <w:r>
        <w:rPr>
          <w:rStyle w:val="CharSectno"/>
        </w:rPr>
        <w:t>10</w:t>
      </w:r>
      <w:r>
        <w:t>.</w:t>
      </w:r>
      <w:r>
        <w:tab/>
        <w:t>Revocation of a scheme’s approval</w:t>
      </w:r>
      <w:bookmarkEnd w:id="38"/>
      <w:bookmarkEnd w:id="39"/>
      <w:bookmarkEnd w:id="40"/>
    </w:p>
    <w:p w:rsidR="001D7D8D" w:rsidRDefault="005A4E48">
      <w:pPr>
        <w:pStyle w:val="Subsection"/>
      </w:pPr>
      <w:r>
        <w:tab/>
        <w:t>(1)</w:t>
      </w:r>
      <w:r>
        <w:tab/>
        <w:t>Before exercising the power of revocation in section 94 of the Act, the Authority must comply with subregulations (2) to (5).</w:t>
      </w:r>
    </w:p>
    <w:p w:rsidR="001D7D8D" w:rsidRDefault="005A4E48">
      <w:pPr>
        <w:pStyle w:val="Subsection"/>
      </w:pPr>
      <w:r>
        <w:tab/>
        <w:t>(2)</w:t>
      </w:r>
      <w:r>
        <w:tab/>
        <w:t xml:space="preserve">The Authority must notify — </w:t>
      </w:r>
    </w:p>
    <w:p w:rsidR="001D7D8D" w:rsidRDefault="005A4E48">
      <w:pPr>
        <w:pStyle w:val="Indenta"/>
      </w:pPr>
      <w:r>
        <w:tab/>
        <w:t>(a)</w:t>
      </w:r>
      <w:r>
        <w:tab/>
        <w:t>the Minister;</w:t>
      </w:r>
    </w:p>
    <w:p w:rsidR="001D7D8D" w:rsidRDefault="005A4E48">
      <w:pPr>
        <w:pStyle w:val="Indenta"/>
      </w:pPr>
      <w:r>
        <w:tab/>
        <w:t>(b)</w:t>
      </w:r>
      <w:r>
        <w:tab/>
        <w:t xml:space="preserve">the Minister to whom the administration of the </w:t>
      </w:r>
      <w:r>
        <w:rPr>
          <w:i/>
          <w:iCs/>
        </w:rPr>
        <w:t>Consumer Affairs Act 1971</w:t>
      </w:r>
      <w:r>
        <w:t xml:space="preserve"> is committed; and</w:t>
      </w:r>
    </w:p>
    <w:p w:rsidR="001D7D8D" w:rsidRDefault="005A4E48">
      <w:pPr>
        <w:pStyle w:val="Indenta"/>
      </w:pPr>
      <w:r>
        <w:tab/>
        <w:t>(c)</w:t>
      </w:r>
      <w:r>
        <w:tab/>
        <w:t>the public,</w:t>
      </w:r>
    </w:p>
    <w:p w:rsidR="001D7D8D" w:rsidRDefault="005A4E48">
      <w:pPr>
        <w:pStyle w:val="Subsection"/>
      </w:pPr>
      <w:r>
        <w:tab/>
      </w:r>
      <w:r>
        <w:tab/>
        <w:t>of its intention to exercise the power of revocation.</w:t>
      </w:r>
    </w:p>
    <w:p w:rsidR="001D7D8D" w:rsidRDefault="005A4E48">
      <w:pPr>
        <w:pStyle w:val="Subsection"/>
      </w:pPr>
      <w:r>
        <w:tab/>
        <w:t>(3)</w:t>
      </w:r>
      <w:r>
        <w:tab/>
        <w:t xml:space="preserve">The notification must — </w:t>
      </w:r>
    </w:p>
    <w:p w:rsidR="001D7D8D" w:rsidRDefault="005A4E48">
      <w:pPr>
        <w:pStyle w:val="Indenta"/>
      </w:pPr>
      <w:r>
        <w:tab/>
        <w:t>(a)</w:t>
      </w:r>
      <w:r>
        <w:tab/>
        <w:t>set out the reasons for, and invite submissions on, the proposed exercise of the power of revocation;</w:t>
      </w:r>
    </w:p>
    <w:p w:rsidR="001D7D8D" w:rsidRDefault="005A4E48">
      <w:pPr>
        <w:pStyle w:val="Indenta"/>
      </w:pPr>
      <w:r>
        <w:tab/>
        <w:t>(b)</w:t>
      </w:r>
      <w:r>
        <w:tab/>
        <w:t>specify the last day on which submissions will be received by the Authority (at least 30 days after the day of the notification); and</w:t>
      </w:r>
    </w:p>
    <w:p w:rsidR="001D7D8D" w:rsidRDefault="005A4E48">
      <w:pPr>
        <w:pStyle w:val="Indenta"/>
      </w:pPr>
      <w:r>
        <w:tab/>
        <w:t>(c)</w:t>
      </w:r>
      <w:r>
        <w:tab/>
        <w:t>specify the formats in which submissions will be received by the Authority.</w:t>
      </w:r>
    </w:p>
    <w:p w:rsidR="001D7D8D" w:rsidRDefault="005A4E48">
      <w:pPr>
        <w:pStyle w:val="Subsection"/>
      </w:pPr>
      <w:r>
        <w:tab/>
        <w:t>(4)</w:t>
      </w:r>
      <w:r>
        <w:tab/>
        <w:t xml:space="preserve">To comply with subregulation (2)(c), the notification must be published — </w:t>
      </w:r>
    </w:p>
    <w:p w:rsidR="001D7D8D" w:rsidRDefault="005A4E48">
      <w:pPr>
        <w:pStyle w:val="Indenta"/>
      </w:pPr>
      <w:r>
        <w:tab/>
        <w:t>(a)</w:t>
      </w:r>
      <w:r>
        <w:tab/>
        <w:t xml:space="preserve">in the </w:t>
      </w:r>
      <w:r>
        <w:rPr>
          <w:i/>
          <w:iCs/>
        </w:rPr>
        <w:t>Gazette</w:t>
      </w:r>
      <w:r>
        <w:t>;</w:t>
      </w:r>
    </w:p>
    <w:p w:rsidR="001D7D8D" w:rsidRDefault="005A4E48">
      <w:pPr>
        <w:pStyle w:val="Indenta"/>
      </w:pPr>
      <w:r>
        <w:tab/>
        <w:t>(b)</w:t>
      </w:r>
      <w:r>
        <w:tab/>
        <w:t>in a newspaper circulating in Western Australia;</w:t>
      </w:r>
    </w:p>
    <w:p w:rsidR="001D7D8D" w:rsidRDefault="005A4E48">
      <w:pPr>
        <w:pStyle w:val="Indenta"/>
      </w:pPr>
      <w:r>
        <w:tab/>
        <w:t>(c)</w:t>
      </w:r>
      <w:r>
        <w:tab/>
        <w:t>on an internet website maintained by the Authority; and</w:t>
      </w:r>
    </w:p>
    <w:p w:rsidR="001D7D8D" w:rsidRDefault="005A4E48">
      <w:pPr>
        <w:pStyle w:val="Indenta"/>
      </w:pPr>
      <w:r>
        <w:tab/>
        <w:t>(d)</w:t>
      </w:r>
      <w:r>
        <w:tab/>
        <w:t>by sending it (electronically or otherwise) to persons listed on the Authority’s mailing list as interested in receiving notices from the Authority.</w:t>
      </w:r>
    </w:p>
    <w:p w:rsidR="001D7D8D" w:rsidRDefault="005A4E48">
      <w:pPr>
        <w:pStyle w:val="Subsection"/>
      </w:pPr>
      <w:r>
        <w:tab/>
        <w:t>(5)</w:t>
      </w:r>
      <w:r>
        <w:tab/>
        <w:t>The Authority must take into account all submissions received on or before the last day for receiving submissions.</w:t>
      </w:r>
    </w:p>
    <w:p w:rsidR="001D7D8D" w:rsidRDefault="005A4E48">
      <w:pPr>
        <w:pStyle w:val="Subsection"/>
      </w:pPr>
      <w:r>
        <w:tab/>
        <w:t>(6)</w:t>
      </w:r>
      <w:r>
        <w:tab/>
        <w:t xml:space="preserve">A copy of each submission received by the Authority on or before the last day for receiving submissions must, unless the person making the submission has specified that it is confidential — </w:t>
      </w:r>
    </w:p>
    <w:p w:rsidR="001D7D8D" w:rsidRDefault="005A4E48">
      <w:pPr>
        <w:pStyle w:val="Indenta"/>
      </w:pPr>
      <w:r>
        <w:tab/>
        <w:t>(a)</w:t>
      </w:r>
      <w:r>
        <w:tab/>
        <w:t>be displayed on an internet website maintained by the Authority; and</w:t>
      </w:r>
    </w:p>
    <w:p w:rsidR="001D7D8D" w:rsidRDefault="005A4E48">
      <w:pPr>
        <w:pStyle w:val="Indenta"/>
      </w:pPr>
      <w:r>
        <w:tab/>
        <w:t>(b)</w:t>
      </w:r>
      <w:r>
        <w:tab/>
        <w:t>be available on request.</w:t>
      </w:r>
    </w:p>
    <w:p w:rsidR="001D7D8D" w:rsidRDefault="005A4E48">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rsidR="001D7D8D" w:rsidRDefault="001D7D8D">
      <w:pPr>
        <w:sectPr w:rsidR="001D7D8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1D7D8D" w:rsidRDefault="005A4E48">
      <w:pPr>
        <w:pStyle w:val="nHeading2"/>
      </w:pPr>
      <w:bookmarkStart w:id="41" w:name="_Toc107375294"/>
      <w:bookmarkStart w:id="42" w:name="_Toc107386404"/>
      <w:bookmarkStart w:id="43" w:name="_Toc122165969"/>
      <w:bookmarkStart w:id="44" w:name="_Toc122234670"/>
      <w:bookmarkStart w:id="45" w:name="_Toc124148789"/>
      <w:bookmarkStart w:id="46" w:name="_Toc124148815"/>
      <w:bookmarkStart w:id="47" w:name="_Toc124148850"/>
      <w:bookmarkStart w:id="48" w:name="_Toc170208804"/>
      <w:r>
        <w:t>Notes</w:t>
      </w:r>
      <w:bookmarkEnd w:id="41"/>
      <w:bookmarkEnd w:id="42"/>
      <w:bookmarkEnd w:id="43"/>
      <w:bookmarkEnd w:id="44"/>
      <w:bookmarkEnd w:id="45"/>
      <w:bookmarkEnd w:id="46"/>
      <w:bookmarkEnd w:id="47"/>
      <w:bookmarkEnd w:id="48"/>
    </w:p>
    <w:p w:rsidR="001D7D8D" w:rsidRDefault="005A4E48">
      <w:pPr>
        <w:pStyle w:val="nSubsection"/>
        <w:rPr>
          <w:snapToGrid w:val="0"/>
        </w:rPr>
      </w:pPr>
      <w:r>
        <w:rPr>
          <w:snapToGrid w:val="0"/>
          <w:vertAlign w:val="superscript"/>
        </w:rPr>
        <w:t>1</w:t>
      </w:r>
      <w:r>
        <w:rPr>
          <w:snapToGrid w:val="0"/>
        </w:rPr>
        <w:tab/>
        <w:t xml:space="preserve">This is a compilation of the </w:t>
      </w:r>
      <w:r>
        <w:rPr>
          <w:i/>
        </w:rPr>
        <w:t>Electricity Industry (Ombudsman Scheme) Regulations 2005.</w:t>
      </w:r>
      <w:r>
        <w:t xml:space="preserve">  </w:t>
      </w:r>
      <w:r>
        <w:rPr>
          <w:snapToGrid w:val="0"/>
        </w:rPr>
        <w:t>The following table contains information about those regulations.</w:t>
      </w:r>
    </w:p>
    <w:p w:rsidR="001D7D8D" w:rsidRDefault="005A4E48">
      <w:pPr>
        <w:pStyle w:val="nHeading3"/>
      </w:pPr>
      <w:bookmarkStart w:id="49" w:name="_Toc124148851"/>
      <w:bookmarkStart w:id="50" w:name="_Toc170208805"/>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D7D8D">
        <w:trPr>
          <w:tblHeader/>
        </w:trPr>
        <w:tc>
          <w:tcPr>
            <w:tcW w:w="3118" w:type="dxa"/>
            <w:tcBorders>
              <w:top w:val="single" w:sz="8" w:space="0" w:color="auto"/>
              <w:bottom w:val="single" w:sz="8" w:space="0" w:color="auto"/>
            </w:tcBorders>
          </w:tcPr>
          <w:p w:rsidR="001D7D8D" w:rsidRDefault="005A4E48">
            <w:pPr>
              <w:pStyle w:val="nTable"/>
              <w:spacing w:after="40"/>
              <w:rPr>
                <w:b/>
                <w:sz w:val="19"/>
              </w:rPr>
            </w:pPr>
            <w:r>
              <w:rPr>
                <w:b/>
                <w:sz w:val="19"/>
              </w:rPr>
              <w:t>Citation</w:t>
            </w:r>
          </w:p>
        </w:tc>
        <w:tc>
          <w:tcPr>
            <w:tcW w:w="1276" w:type="dxa"/>
            <w:tcBorders>
              <w:top w:val="single" w:sz="8" w:space="0" w:color="auto"/>
              <w:bottom w:val="single" w:sz="8" w:space="0" w:color="auto"/>
            </w:tcBorders>
          </w:tcPr>
          <w:p w:rsidR="001D7D8D" w:rsidRDefault="005A4E48">
            <w:pPr>
              <w:pStyle w:val="nTable"/>
              <w:spacing w:after="40"/>
              <w:rPr>
                <w:b/>
                <w:sz w:val="19"/>
              </w:rPr>
            </w:pPr>
            <w:r>
              <w:rPr>
                <w:b/>
                <w:sz w:val="19"/>
              </w:rPr>
              <w:t>Gazettal</w:t>
            </w:r>
          </w:p>
        </w:tc>
        <w:tc>
          <w:tcPr>
            <w:tcW w:w="2693" w:type="dxa"/>
            <w:tcBorders>
              <w:top w:val="single" w:sz="8" w:space="0" w:color="auto"/>
              <w:bottom w:val="single" w:sz="8" w:space="0" w:color="auto"/>
            </w:tcBorders>
          </w:tcPr>
          <w:p w:rsidR="001D7D8D" w:rsidRDefault="005A4E48">
            <w:pPr>
              <w:pStyle w:val="nTable"/>
              <w:spacing w:after="40"/>
              <w:rPr>
                <w:b/>
                <w:sz w:val="19"/>
              </w:rPr>
            </w:pPr>
            <w:r>
              <w:rPr>
                <w:b/>
                <w:sz w:val="19"/>
              </w:rPr>
              <w:t>Commencement</w:t>
            </w:r>
          </w:p>
        </w:tc>
      </w:tr>
      <w:tr w:rsidR="001D7D8D">
        <w:tc>
          <w:tcPr>
            <w:tcW w:w="3118" w:type="dxa"/>
            <w:tcBorders>
              <w:top w:val="single" w:sz="8" w:space="0" w:color="auto"/>
            </w:tcBorders>
          </w:tcPr>
          <w:p w:rsidR="001D7D8D" w:rsidRDefault="005A4E48">
            <w:pPr>
              <w:pStyle w:val="nTable"/>
              <w:spacing w:after="40"/>
              <w:rPr>
                <w:sz w:val="19"/>
              </w:rPr>
            </w:pPr>
            <w:r>
              <w:rPr>
                <w:i/>
                <w:sz w:val="19"/>
              </w:rPr>
              <w:t>Electricity Industry (Ombudsman Scheme) Regulations 2005</w:t>
            </w:r>
          </w:p>
        </w:tc>
        <w:tc>
          <w:tcPr>
            <w:tcW w:w="1276" w:type="dxa"/>
            <w:tcBorders>
              <w:top w:val="single" w:sz="8" w:space="0" w:color="auto"/>
            </w:tcBorders>
          </w:tcPr>
          <w:p w:rsidR="001D7D8D" w:rsidRDefault="005A4E48">
            <w:pPr>
              <w:pStyle w:val="nTable"/>
              <w:spacing w:after="40"/>
              <w:rPr>
                <w:sz w:val="19"/>
              </w:rPr>
            </w:pPr>
            <w:r>
              <w:rPr>
                <w:sz w:val="19"/>
              </w:rPr>
              <w:t>24 Jun 2005 p. 2805-12</w:t>
            </w:r>
          </w:p>
        </w:tc>
        <w:tc>
          <w:tcPr>
            <w:tcW w:w="2693" w:type="dxa"/>
            <w:tcBorders>
              <w:top w:val="single" w:sz="8" w:space="0" w:color="auto"/>
            </w:tcBorders>
          </w:tcPr>
          <w:p w:rsidR="001D7D8D" w:rsidRDefault="005A4E48">
            <w:pPr>
              <w:pStyle w:val="nTable"/>
              <w:spacing w:after="40"/>
              <w:rPr>
                <w:sz w:val="19"/>
              </w:rPr>
            </w:pPr>
            <w:r>
              <w:rPr>
                <w:sz w:val="19"/>
              </w:rPr>
              <w:t>24 Jun 2005</w:t>
            </w:r>
          </w:p>
        </w:tc>
      </w:tr>
      <w:tr w:rsidR="001D7D8D">
        <w:tc>
          <w:tcPr>
            <w:tcW w:w="3118" w:type="dxa"/>
            <w:tcBorders>
              <w:bottom w:val="single" w:sz="8" w:space="0" w:color="auto"/>
            </w:tcBorders>
          </w:tcPr>
          <w:p w:rsidR="001D7D8D" w:rsidRDefault="005A4E48">
            <w:pPr>
              <w:pStyle w:val="nTable"/>
              <w:spacing w:after="40"/>
              <w:rPr>
                <w:i/>
                <w:sz w:val="19"/>
              </w:rPr>
            </w:pPr>
            <w:r>
              <w:rPr>
                <w:i/>
                <w:sz w:val="19"/>
              </w:rPr>
              <w:t>Electricity Industry (Ombudsman Scheme) Amendment Regulations 2005</w:t>
            </w:r>
          </w:p>
        </w:tc>
        <w:tc>
          <w:tcPr>
            <w:tcW w:w="1276" w:type="dxa"/>
            <w:tcBorders>
              <w:bottom w:val="single" w:sz="8" w:space="0" w:color="auto"/>
            </w:tcBorders>
          </w:tcPr>
          <w:p w:rsidR="001D7D8D" w:rsidRDefault="005A4E48">
            <w:pPr>
              <w:pStyle w:val="nTable"/>
              <w:spacing w:after="40"/>
              <w:rPr>
                <w:sz w:val="19"/>
              </w:rPr>
            </w:pPr>
            <w:r>
              <w:rPr>
                <w:sz w:val="19"/>
              </w:rPr>
              <w:t>13 Dec 2005 p. 5981-2</w:t>
            </w:r>
          </w:p>
        </w:tc>
        <w:tc>
          <w:tcPr>
            <w:tcW w:w="2693" w:type="dxa"/>
            <w:tcBorders>
              <w:bottom w:val="single" w:sz="8" w:space="0" w:color="auto"/>
            </w:tcBorders>
          </w:tcPr>
          <w:p w:rsidR="001D7D8D" w:rsidRDefault="005A4E48">
            <w:pPr>
              <w:pStyle w:val="nTable"/>
              <w:spacing w:after="40"/>
              <w:rPr>
                <w:sz w:val="19"/>
              </w:rPr>
            </w:pPr>
            <w:r>
              <w:rPr>
                <w:sz w:val="19"/>
              </w:rPr>
              <w:t>1 Jan 2006 (see r.2)</w:t>
            </w:r>
          </w:p>
        </w:tc>
      </w:tr>
    </w:tbl>
    <w:p w:rsidR="001D7D8D" w:rsidRDefault="001D7D8D"/>
    <w:p w:rsidR="001D7D8D" w:rsidRDefault="001D7D8D">
      <w:pPr>
        <w:sectPr w:rsidR="001D7D8D">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1D7D8D" w:rsidRDefault="001D7D8D"/>
    <w:sectPr w:rsidR="001D7D8D">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8D" w:rsidRDefault="005A4E48">
      <w:pPr>
        <w:rPr>
          <w:b/>
          <w:sz w:val="28"/>
        </w:rPr>
      </w:pPr>
      <w:r>
        <w:rPr>
          <w:b/>
          <w:sz w:val="28"/>
        </w:rPr>
        <w:t>Endnotes</w:t>
      </w:r>
    </w:p>
    <w:p w:rsidR="001D7D8D" w:rsidRDefault="005A4E48">
      <w:pPr>
        <w:spacing w:after="240"/>
        <w:rPr>
          <w:rFonts w:ascii="Times" w:hAnsi="Times"/>
          <w:sz w:val="18"/>
        </w:rPr>
      </w:pPr>
      <w:r>
        <w:rPr>
          <w:sz w:val="20"/>
        </w:rPr>
        <w:t>[For ease of reference detach these notes and read them alongside the draft.]</w:t>
      </w:r>
    </w:p>
    <w:p w:rsidR="001D7D8D" w:rsidRDefault="001D7D8D"/>
  </w:endnote>
  <w:endnote w:type="continuationSeparator" w:id="0">
    <w:p w:rsidR="001D7D8D" w:rsidRDefault="001D7D8D">
      <w:pPr>
        <w:pStyle w:val="Footer"/>
      </w:pPr>
    </w:p>
    <w:p w:rsidR="001D7D8D" w:rsidRDefault="001D7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p>
  <w:p w:rsidR="001D7D8D" w:rsidRDefault="005A4E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1D7D8D" w:rsidRDefault="005A4E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1D7D8D" w:rsidRDefault="005A4E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p>
  <w:p w:rsidR="001D7D8D" w:rsidRDefault="005A4E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D7D8D" w:rsidRDefault="005A4E4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76C8">
      <w:rPr>
        <w:rStyle w:val="PageNumber"/>
        <w:rFonts w:ascii="Arial" w:hAnsi="Arial" w:cs="Arial"/>
        <w:noProof/>
      </w:rPr>
      <w:t>i</w:t>
    </w:r>
    <w:r>
      <w:rPr>
        <w:rStyle w:val="PageNumber"/>
        <w:rFonts w:ascii="Arial" w:hAnsi="Arial" w:cs="Arial"/>
      </w:rPr>
      <w:fldChar w:fldCharType="end"/>
    </w:r>
  </w:p>
  <w:p w:rsidR="001D7D8D" w:rsidRDefault="005A4E4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76C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1D7D8D" w:rsidRDefault="005A4E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76C8">
      <w:rPr>
        <w:rStyle w:val="CharPageNo"/>
        <w:rFonts w:ascii="Arial" w:hAnsi="Arial"/>
        <w:noProof/>
      </w:rPr>
      <w:t>7</w:t>
    </w:r>
    <w:r>
      <w:rPr>
        <w:rStyle w:val="CharPageNo"/>
        <w:rFonts w:ascii="Arial" w:hAnsi="Arial"/>
      </w:rPr>
      <w:fldChar w:fldCharType="end"/>
    </w:r>
  </w:p>
  <w:p w:rsidR="001D7D8D" w:rsidRDefault="005A4E4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Footer"/>
      <w:tabs>
        <w:tab w:val="clear" w:pos="4153"/>
        <w:tab w:val="right" w:pos="7088"/>
      </w:tabs>
      <w:rPr>
        <w:rStyle w:val="PageNumber"/>
      </w:rPr>
    </w:pPr>
  </w:p>
  <w:p w:rsidR="001D7D8D" w:rsidRDefault="005A4E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6C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6C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76C8">
      <w:rPr>
        <w:rStyle w:val="CharPageNo"/>
        <w:rFonts w:ascii="Arial" w:hAnsi="Arial"/>
        <w:noProof/>
      </w:rPr>
      <w:t>1</w:t>
    </w:r>
    <w:r>
      <w:rPr>
        <w:rStyle w:val="CharPageNo"/>
        <w:rFonts w:ascii="Arial" w:hAnsi="Arial"/>
      </w:rPr>
      <w:fldChar w:fldCharType="end"/>
    </w:r>
  </w:p>
  <w:p w:rsidR="001D7D8D" w:rsidRDefault="005A4E4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8D" w:rsidRDefault="005A4E48">
      <w:r>
        <w:separator/>
      </w:r>
    </w:p>
  </w:footnote>
  <w:footnote w:type="continuationSeparator" w:id="0">
    <w:p w:rsidR="001D7D8D" w:rsidRDefault="005A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5A4E48">
    <w:pPr>
      <w:pStyle w:val="headerpartodd"/>
      <w:ind w:left="0" w:firstLine="0"/>
      <w:rPr>
        <w:i/>
      </w:rPr>
    </w:pPr>
    <w:r>
      <w:rPr>
        <w:i/>
      </w:rPr>
      <w:fldChar w:fldCharType="begin"/>
    </w:r>
    <w:r>
      <w:rPr>
        <w:i/>
      </w:rPr>
      <w:instrText xml:space="preserve"> Styleref "Name of Act/Reg" </w:instrText>
    </w:r>
    <w:r>
      <w:rPr>
        <w:i/>
      </w:rPr>
      <w:fldChar w:fldCharType="separate"/>
    </w:r>
    <w:r w:rsidR="000176C8">
      <w:rPr>
        <w:i/>
        <w:noProof/>
      </w:rPr>
      <w:t>Electricity Industry (Ombudsman Scheme) Regulations 2005</w:t>
    </w:r>
    <w:r>
      <w:rPr>
        <w:i/>
      </w:rPr>
      <w:fldChar w:fldCharType="end"/>
    </w:r>
  </w:p>
  <w:p w:rsidR="001D7D8D" w:rsidRDefault="005A4E4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D7D8D" w:rsidRDefault="005A4E4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D7D8D" w:rsidRDefault="001D7D8D">
    <w:pPr>
      <w:pStyle w:val="headerpart"/>
    </w:pPr>
  </w:p>
  <w:p w:rsidR="001D7D8D" w:rsidRDefault="001D7D8D">
    <w:pPr>
      <w:pBdr>
        <w:bottom w:val="single" w:sz="6" w:space="1" w:color="auto"/>
      </w:pBdr>
      <w:rPr>
        <w:b/>
      </w:rPr>
    </w:pPr>
  </w:p>
  <w:p w:rsidR="001D7D8D" w:rsidRDefault="001D7D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D8D">
      <w:trPr>
        <w:cantSplit/>
      </w:trPr>
      <w:tc>
        <w:tcPr>
          <w:tcW w:w="7258" w:type="dxa"/>
          <w:gridSpan w:val="2"/>
        </w:tcPr>
        <w:p w:rsidR="001D7D8D" w:rsidRDefault="005A4E48">
          <w:pPr>
            <w:pStyle w:val="HeaderActNameRight"/>
            <w:ind w:right="17"/>
          </w:pPr>
          <w:fldSimple w:instr=" Styleref &quot;Name of Act/Reg&quot; ">
            <w:r w:rsidR="000176C8">
              <w:rPr>
                <w:noProof/>
              </w:rPr>
              <w:t>Electricity Industry (Ombudsman Scheme) Regulations 2005</w:t>
            </w:r>
          </w:fldSimple>
        </w:p>
      </w:tc>
    </w:tr>
    <w:tr w:rsidR="001D7D8D">
      <w:tc>
        <w:tcPr>
          <w:tcW w:w="5715" w:type="dxa"/>
        </w:tcPr>
        <w:p w:rsidR="001D7D8D" w:rsidRDefault="001D7D8D">
          <w:pPr>
            <w:pStyle w:val="HeaderTextRight"/>
          </w:pPr>
        </w:p>
      </w:tc>
      <w:tc>
        <w:tcPr>
          <w:tcW w:w="1548" w:type="dxa"/>
        </w:tcPr>
        <w:p w:rsidR="001D7D8D" w:rsidRDefault="001D7D8D">
          <w:pPr>
            <w:pStyle w:val="HeaderNumberRight"/>
            <w:ind w:right="17"/>
          </w:pPr>
        </w:p>
      </w:tc>
    </w:tr>
    <w:tr w:rsidR="001D7D8D">
      <w:tc>
        <w:tcPr>
          <w:tcW w:w="5715" w:type="dxa"/>
        </w:tcPr>
        <w:p w:rsidR="001D7D8D" w:rsidRDefault="001D7D8D">
          <w:pPr>
            <w:pStyle w:val="HeaderTextRight"/>
          </w:pPr>
        </w:p>
      </w:tc>
      <w:tc>
        <w:tcPr>
          <w:tcW w:w="1548" w:type="dxa"/>
        </w:tcPr>
        <w:p w:rsidR="001D7D8D" w:rsidRDefault="001D7D8D">
          <w:pPr>
            <w:pStyle w:val="HeaderNumberRight"/>
            <w:ind w:right="17"/>
          </w:pPr>
        </w:p>
      </w:tc>
    </w:tr>
    <w:tr w:rsidR="001D7D8D">
      <w:trPr>
        <w:cantSplit/>
      </w:trPr>
      <w:tc>
        <w:tcPr>
          <w:tcW w:w="7258" w:type="dxa"/>
          <w:gridSpan w:val="2"/>
        </w:tcPr>
        <w:p w:rsidR="001D7D8D" w:rsidRDefault="001D7D8D">
          <w:pPr>
            <w:pStyle w:val="HeaderSectionRight"/>
            <w:ind w:right="17"/>
          </w:pPr>
        </w:p>
      </w:tc>
    </w:tr>
  </w:tbl>
  <w:p w:rsidR="001D7D8D" w:rsidRDefault="001D7D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D7D8D">
      <w:trPr>
        <w:cantSplit/>
      </w:trPr>
      <w:tc>
        <w:tcPr>
          <w:tcW w:w="7312" w:type="dxa"/>
          <w:gridSpan w:val="2"/>
        </w:tcPr>
        <w:p w:rsidR="001D7D8D" w:rsidRDefault="005A4E48">
          <w:pPr>
            <w:pStyle w:val="HeaderActNameLeft"/>
          </w:pPr>
          <w:fldSimple w:instr=" Styleref &quot;Name of Act/Reg&quot; ">
            <w:r w:rsidR="000176C8">
              <w:rPr>
                <w:noProof/>
              </w:rPr>
              <w:t>Electricity Industry (Ombudsman Scheme) Regulations 2005</w:t>
            </w:r>
          </w:fldSimple>
        </w:p>
      </w:tc>
    </w:tr>
    <w:tr w:rsidR="001D7D8D">
      <w:tc>
        <w:tcPr>
          <w:tcW w:w="1548" w:type="dxa"/>
        </w:tcPr>
        <w:p w:rsidR="001D7D8D" w:rsidRDefault="001D7D8D">
          <w:pPr>
            <w:pStyle w:val="HeaderNumberLeft"/>
          </w:pPr>
        </w:p>
      </w:tc>
      <w:tc>
        <w:tcPr>
          <w:tcW w:w="5764" w:type="dxa"/>
        </w:tcPr>
        <w:p w:rsidR="001D7D8D" w:rsidRDefault="001D7D8D">
          <w:pPr>
            <w:pStyle w:val="HeaderTextLeft"/>
          </w:pPr>
        </w:p>
      </w:tc>
    </w:tr>
    <w:tr w:rsidR="001D7D8D">
      <w:tc>
        <w:tcPr>
          <w:tcW w:w="1548" w:type="dxa"/>
        </w:tcPr>
        <w:p w:rsidR="001D7D8D" w:rsidRDefault="001D7D8D">
          <w:pPr>
            <w:pStyle w:val="HeaderNumberLeft"/>
          </w:pPr>
        </w:p>
      </w:tc>
      <w:tc>
        <w:tcPr>
          <w:tcW w:w="5764" w:type="dxa"/>
        </w:tcPr>
        <w:p w:rsidR="001D7D8D" w:rsidRDefault="001D7D8D">
          <w:pPr>
            <w:pStyle w:val="HeaderTextLeft"/>
          </w:pPr>
        </w:p>
      </w:tc>
    </w:tr>
    <w:tr w:rsidR="001D7D8D">
      <w:trPr>
        <w:cantSplit/>
      </w:trPr>
      <w:tc>
        <w:tcPr>
          <w:tcW w:w="7312" w:type="dxa"/>
          <w:gridSpan w:val="2"/>
        </w:tcPr>
        <w:p w:rsidR="001D7D8D" w:rsidRDefault="001D7D8D">
          <w:pPr>
            <w:pStyle w:val="HeaderSectionLeft"/>
          </w:pPr>
        </w:p>
      </w:tc>
    </w:tr>
  </w:tbl>
  <w:p w:rsidR="001D7D8D" w:rsidRDefault="001D7D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D8D">
      <w:trPr>
        <w:cantSplit/>
      </w:trPr>
      <w:tc>
        <w:tcPr>
          <w:tcW w:w="7258" w:type="dxa"/>
          <w:gridSpan w:val="2"/>
        </w:tcPr>
        <w:p w:rsidR="001D7D8D" w:rsidRDefault="005A4E48">
          <w:pPr>
            <w:pStyle w:val="HeaderActNameLeft"/>
          </w:pPr>
          <w:fldSimple w:instr=" Styleref &quot;Name of Act/Reg&quot; ">
            <w:r w:rsidR="000176C8">
              <w:rPr>
                <w:noProof/>
              </w:rPr>
              <w:t>Electricity Industry (Ombudsman Scheme) Regulations 2005</w:t>
            </w:r>
          </w:fldSimple>
        </w:p>
      </w:tc>
    </w:tr>
    <w:tr w:rsidR="001D7D8D">
      <w:tc>
        <w:tcPr>
          <w:tcW w:w="1548" w:type="dxa"/>
        </w:tcPr>
        <w:p w:rsidR="001D7D8D" w:rsidRDefault="001D7D8D">
          <w:pPr>
            <w:pStyle w:val="HeaderNumberLeft"/>
          </w:pPr>
        </w:p>
      </w:tc>
      <w:tc>
        <w:tcPr>
          <w:tcW w:w="5715" w:type="dxa"/>
        </w:tcPr>
        <w:p w:rsidR="001D7D8D" w:rsidRDefault="001D7D8D">
          <w:pPr>
            <w:pStyle w:val="HeaderTextLeft"/>
          </w:pPr>
        </w:p>
      </w:tc>
    </w:tr>
    <w:tr w:rsidR="001D7D8D">
      <w:tc>
        <w:tcPr>
          <w:tcW w:w="1548" w:type="dxa"/>
        </w:tcPr>
        <w:p w:rsidR="001D7D8D" w:rsidRDefault="001D7D8D">
          <w:pPr>
            <w:pStyle w:val="HeaderNumberLeft"/>
          </w:pPr>
        </w:p>
      </w:tc>
      <w:tc>
        <w:tcPr>
          <w:tcW w:w="5715" w:type="dxa"/>
        </w:tcPr>
        <w:p w:rsidR="001D7D8D" w:rsidRDefault="001D7D8D">
          <w:pPr>
            <w:pStyle w:val="HeaderTextLeft"/>
          </w:pPr>
        </w:p>
      </w:tc>
    </w:tr>
    <w:tr w:rsidR="001D7D8D">
      <w:trPr>
        <w:cantSplit/>
      </w:trPr>
      <w:tc>
        <w:tcPr>
          <w:tcW w:w="7258" w:type="dxa"/>
          <w:gridSpan w:val="2"/>
        </w:tcPr>
        <w:p w:rsidR="001D7D8D" w:rsidRDefault="005A4E48">
          <w:pPr>
            <w:pStyle w:val="HeaderSectionLeft"/>
            <w:rPr>
              <w:b w:val="0"/>
            </w:rPr>
          </w:pPr>
          <w:r>
            <w:rPr>
              <w:b w:val="0"/>
            </w:rPr>
            <w:t>Contents</w:t>
          </w:r>
        </w:p>
      </w:tc>
    </w:tr>
  </w:tbl>
  <w:p w:rsidR="001D7D8D" w:rsidRDefault="001D7D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D8D">
      <w:trPr>
        <w:cantSplit/>
      </w:trPr>
      <w:tc>
        <w:tcPr>
          <w:tcW w:w="7258" w:type="dxa"/>
          <w:gridSpan w:val="2"/>
        </w:tcPr>
        <w:p w:rsidR="001D7D8D" w:rsidRDefault="005A4E48">
          <w:pPr>
            <w:pStyle w:val="HeaderActNameRight"/>
            <w:ind w:right="17"/>
          </w:pPr>
          <w:fldSimple w:instr=" Styleref &quot;Name of Act/Reg&quot; ">
            <w:r w:rsidR="000176C8">
              <w:rPr>
                <w:noProof/>
              </w:rPr>
              <w:t>Electricity Industry (Ombudsman Scheme) Regulations 2005</w:t>
            </w:r>
          </w:fldSimple>
        </w:p>
      </w:tc>
    </w:tr>
    <w:tr w:rsidR="001D7D8D">
      <w:tc>
        <w:tcPr>
          <w:tcW w:w="5715" w:type="dxa"/>
        </w:tcPr>
        <w:p w:rsidR="001D7D8D" w:rsidRDefault="001D7D8D">
          <w:pPr>
            <w:pStyle w:val="HeaderTextRight"/>
          </w:pPr>
        </w:p>
      </w:tc>
      <w:tc>
        <w:tcPr>
          <w:tcW w:w="1548" w:type="dxa"/>
        </w:tcPr>
        <w:p w:rsidR="001D7D8D" w:rsidRDefault="001D7D8D">
          <w:pPr>
            <w:pStyle w:val="HeaderNumberRight"/>
            <w:ind w:right="17"/>
          </w:pPr>
        </w:p>
      </w:tc>
    </w:tr>
    <w:tr w:rsidR="001D7D8D">
      <w:tc>
        <w:tcPr>
          <w:tcW w:w="5715" w:type="dxa"/>
        </w:tcPr>
        <w:p w:rsidR="001D7D8D" w:rsidRDefault="001D7D8D">
          <w:pPr>
            <w:pStyle w:val="HeaderTextRight"/>
          </w:pPr>
        </w:p>
      </w:tc>
      <w:tc>
        <w:tcPr>
          <w:tcW w:w="1548" w:type="dxa"/>
        </w:tcPr>
        <w:p w:rsidR="001D7D8D" w:rsidRDefault="001D7D8D">
          <w:pPr>
            <w:pStyle w:val="HeaderNumberRight"/>
            <w:ind w:right="17"/>
          </w:pPr>
        </w:p>
      </w:tc>
    </w:tr>
    <w:tr w:rsidR="001D7D8D">
      <w:trPr>
        <w:cantSplit/>
      </w:trPr>
      <w:tc>
        <w:tcPr>
          <w:tcW w:w="7258" w:type="dxa"/>
          <w:gridSpan w:val="2"/>
        </w:tcPr>
        <w:p w:rsidR="001D7D8D" w:rsidRDefault="005A4E48">
          <w:pPr>
            <w:pStyle w:val="HeaderSectionRight"/>
            <w:ind w:right="17"/>
            <w:rPr>
              <w:b w:val="0"/>
            </w:rPr>
          </w:pPr>
          <w:r>
            <w:rPr>
              <w:b w:val="0"/>
            </w:rPr>
            <w:t>Contents</w:t>
          </w:r>
        </w:p>
      </w:tc>
    </w:tr>
  </w:tbl>
  <w:p w:rsidR="001D7D8D" w:rsidRDefault="001D7D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D8D">
      <w:trPr>
        <w:cantSplit/>
      </w:trPr>
      <w:tc>
        <w:tcPr>
          <w:tcW w:w="7258" w:type="dxa"/>
          <w:gridSpan w:val="2"/>
        </w:tcPr>
        <w:p w:rsidR="001D7D8D" w:rsidRDefault="005A4E48">
          <w:pPr>
            <w:pStyle w:val="HeaderActNameLeft"/>
          </w:pPr>
          <w:fldSimple w:instr=" Styleref &quot;Name of Act/Reg&quot; ">
            <w:r w:rsidR="000176C8">
              <w:rPr>
                <w:noProof/>
              </w:rPr>
              <w:t>Electricity Industry (Ombudsman Scheme) Regulations 2005</w:t>
            </w:r>
          </w:fldSimple>
        </w:p>
      </w:tc>
    </w:tr>
    <w:tr w:rsidR="001D7D8D">
      <w:tc>
        <w:tcPr>
          <w:tcW w:w="1548" w:type="dxa"/>
        </w:tcPr>
        <w:p w:rsidR="001D7D8D" w:rsidRDefault="005A4E48">
          <w:pPr>
            <w:pStyle w:val="HeaderNumberLeft"/>
          </w:pPr>
          <w:r>
            <w:fldChar w:fldCharType="begin"/>
          </w:r>
          <w:r>
            <w:instrText xml:space="preserve"> styleref CharPartNo </w:instrText>
          </w:r>
          <w:r>
            <w:fldChar w:fldCharType="end"/>
          </w:r>
        </w:p>
      </w:tc>
      <w:tc>
        <w:tcPr>
          <w:tcW w:w="5715" w:type="dxa"/>
        </w:tcPr>
        <w:p w:rsidR="001D7D8D" w:rsidRDefault="005A4E48">
          <w:pPr>
            <w:pStyle w:val="HeaderTextLeft"/>
          </w:pPr>
          <w:r>
            <w:fldChar w:fldCharType="begin"/>
          </w:r>
          <w:r>
            <w:instrText xml:space="preserve"> styleref CharPartText </w:instrText>
          </w:r>
          <w:r>
            <w:fldChar w:fldCharType="end"/>
          </w:r>
        </w:p>
      </w:tc>
    </w:tr>
    <w:tr w:rsidR="001D7D8D">
      <w:tc>
        <w:tcPr>
          <w:tcW w:w="1548" w:type="dxa"/>
        </w:tcPr>
        <w:p w:rsidR="001D7D8D" w:rsidRDefault="005A4E48">
          <w:pPr>
            <w:pStyle w:val="HeaderNumberLeft"/>
          </w:pPr>
          <w:r>
            <w:fldChar w:fldCharType="begin"/>
          </w:r>
          <w:r>
            <w:instrText xml:space="preserve"> styleref CharDivNo </w:instrText>
          </w:r>
          <w:r>
            <w:fldChar w:fldCharType="end"/>
          </w:r>
        </w:p>
      </w:tc>
      <w:tc>
        <w:tcPr>
          <w:tcW w:w="5715" w:type="dxa"/>
        </w:tcPr>
        <w:p w:rsidR="001D7D8D" w:rsidRDefault="005A4E48">
          <w:pPr>
            <w:pStyle w:val="HeaderTextLeft"/>
          </w:pPr>
          <w:r>
            <w:fldChar w:fldCharType="begin"/>
          </w:r>
          <w:r>
            <w:instrText xml:space="preserve"> styleref CharDivText </w:instrText>
          </w:r>
          <w:r>
            <w:fldChar w:fldCharType="end"/>
          </w:r>
        </w:p>
      </w:tc>
    </w:tr>
    <w:tr w:rsidR="001D7D8D">
      <w:trPr>
        <w:cantSplit/>
      </w:trPr>
      <w:tc>
        <w:tcPr>
          <w:tcW w:w="7258" w:type="dxa"/>
          <w:gridSpan w:val="2"/>
        </w:tcPr>
        <w:p w:rsidR="001D7D8D" w:rsidRDefault="005A4E48">
          <w:pPr>
            <w:pStyle w:val="HeaderSectionLeft"/>
          </w:pPr>
          <w:r>
            <w:t xml:space="preserve">r. </w:t>
          </w:r>
          <w:fldSimple w:instr=" styleref CharSectno ">
            <w:r w:rsidR="000176C8">
              <w:rPr>
                <w:noProof/>
              </w:rPr>
              <w:t>1</w:t>
            </w:r>
          </w:fldSimple>
        </w:p>
      </w:tc>
    </w:tr>
  </w:tbl>
  <w:p w:rsidR="001D7D8D" w:rsidRDefault="001D7D8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D8D">
      <w:trPr>
        <w:cantSplit/>
      </w:trPr>
      <w:tc>
        <w:tcPr>
          <w:tcW w:w="7258" w:type="dxa"/>
          <w:gridSpan w:val="2"/>
        </w:tcPr>
        <w:p w:rsidR="001D7D8D" w:rsidRDefault="005A4E48">
          <w:pPr>
            <w:pStyle w:val="HeaderActNameRight"/>
            <w:ind w:right="17"/>
          </w:pPr>
          <w:fldSimple w:instr=" Styleref &quot;Name of Act/Reg&quot; ">
            <w:r w:rsidR="000176C8">
              <w:rPr>
                <w:noProof/>
              </w:rPr>
              <w:t>Electricity Industry (Ombudsman Scheme) Regulations 2005</w:t>
            </w:r>
          </w:fldSimple>
        </w:p>
      </w:tc>
    </w:tr>
    <w:tr w:rsidR="001D7D8D">
      <w:tc>
        <w:tcPr>
          <w:tcW w:w="5715" w:type="dxa"/>
        </w:tcPr>
        <w:p w:rsidR="001D7D8D" w:rsidRDefault="005A4E48">
          <w:pPr>
            <w:pStyle w:val="HeaderTextRight"/>
          </w:pPr>
          <w:r>
            <w:fldChar w:fldCharType="begin"/>
          </w:r>
          <w:r>
            <w:instrText xml:space="preserve"> styleref CharPartText </w:instrText>
          </w:r>
          <w:r>
            <w:fldChar w:fldCharType="end"/>
          </w:r>
        </w:p>
      </w:tc>
      <w:tc>
        <w:tcPr>
          <w:tcW w:w="1548" w:type="dxa"/>
        </w:tcPr>
        <w:p w:rsidR="001D7D8D" w:rsidRDefault="005A4E48">
          <w:pPr>
            <w:pStyle w:val="HeaderNumberRight"/>
            <w:ind w:right="17"/>
          </w:pPr>
          <w:r>
            <w:fldChar w:fldCharType="begin"/>
          </w:r>
          <w:r>
            <w:instrText xml:space="preserve"> styleref CharPartNo </w:instrText>
          </w:r>
          <w:r>
            <w:fldChar w:fldCharType="end"/>
          </w:r>
        </w:p>
      </w:tc>
    </w:tr>
    <w:tr w:rsidR="001D7D8D">
      <w:tc>
        <w:tcPr>
          <w:tcW w:w="5715" w:type="dxa"/>
        </w:tcPr>
        <w:p w:rsidR="001D7D8D" w:rsidRDefault="005A4E48">
          <w:pPr>
            <w:pStyle w:val="HeaderTextRight"/>
          </w:pPr>
          <w:r>
            <w:fldChar w:fldCharType="begin"/>
          </w:r>
          <w:r>
            <w:instrText xml:space="preserve"> styleref CharDivText </w:instrText>
          </w:r>
          <w:r>
            <w:fldChar w:fldCharType="end"/>
          </w:r>
        </w:p>
      </w:tc>
      <w:tc>
        <w:tcPr>
          <w:tcW w:w="1548" w:type="dxa"/>
        </w:tcPr>
        <w:p w:rsidR="001D7D8D" w:rsidRDefault="005A4E48">
          <w:pPr>
            <w:pStyle w:val="HeaderNumberRight"/>
            <w:ind w:right="17"/>
          </w:pPr>
          <w:r>
            <w:fldChar w:fldCharType="begin"/>
          </w:r>
          <w:r>
            <w:instrText xml:space="preserve"> styleref CharDivNo </w:instrText>
          </w:r>
          <w:r>
            <w:fldChar w:fldCharType="end"/>
          </w:r>
        </w:p>
      </w:tc>
    </w:tr>
    <w:tr w:rsidR="001D7D8D">
      <w:trPr>
        <w:cantSplit/>
      </w:trPr>
      <w:tc>
        <w:tcPr>
          <w:tcW w:w="7258" w:type="dxa"/>
          <w:gridSpan w:val="2"/>
        </w:tcPr>
        <w:p w:rsidR="001D7D8D" w:rsidRDefault="005A4E48">
          <w:pPr>
            <w:pStyle w:val="HeaderSectionRight"/>
            <w:ind w:right="17"/>
          </w:pPr>
          <w:r>
            <w:t xml:space="preserve">r. </w:t>
          </w:r>
          <w:fldSimple w:instr=" styleref CharSectno ">
            <w:r w:rsidR="000176C8">
              <w:rPr>
                <w:noProof/>
              </w:rPr>
              <w:t>1</w:t>
            </w:r>
          </w:fldSimple>
        </w:p>
      </w:tc>
    </w:tr>
  </w:tbl>
  <w:p w:rsidR="001D7D8D" w:rsidRDefault="001D7D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D" w:rsidRDefault="001D7D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D8D">
      <w:trPr>
        <w:cantSplit/>
      </w:trPr>
      <w:tc>
        <w:tcPr>
          <w:tcW w:w="7258" w:type="dxa"/>
          <w:gridSpan w:val="2"/>
        </w:tcPr>
        <w:p w:rsidR="001D7D8D" w:rsidRDefault="005A4E48">
          <w:pPr>
            <w:pStyle w:val="HeaderActNameLeft"/>
          </w:pPr>
          <w:fldSimple w:instr=" Styleref &quot;Name of Act/Reg&quot; ">
            <w:r w:rsidR="000176C8">
              <w:rPr>
                <w:noProof/>
              </w:rPr>
              <w:t>Electricity Industry (Ombudsman Scheme) Regulations 2005</w:t>
            </w:r>
          </w:fldSimple>
        </w:p>
      </w:tc>
    </w:tr>
    <w:tr w:rsidR="001D7D8D">
      <w:tc>
        <w:tcPr>
          <w:tcW w:w="1548" w:type="dxa"/>
        </w:tcPr>
        <w:p w:rsidR="001D7D8D" w:rsidRDefault="001D7D8D">
          <w:pPr>
            <w:pStyle w:val="HeaderNumberLeft"/>
          </w:pPr>
        </w:p>
      </w:tc>
      <w:tc>
        <w:tcPr>
          <w:tcW w:w="5715" w:type="dxa"/>
        </w:tcPr>
        <w:p w:rsidR="001D7D8D" w:rsidRDefault="001D7D8D">
          <w:pPr>
            <w:pStyle w:val="HeaderTextLeft"/>
          </w:pPr>
        </w:p>
      </w:tc>
    </w:tr>
    <w:tr w:rsidR="001D7D8D">
      <w:tc>
        <w:tcPr>
          <w:tcW w:w="1548" w:type="dxa"/>
        </w:tcPr>
        <w:p w:rsidR="001D7D8D" w:rsidRDefault="001D7D8D">
          <w:pPr>
            <w:pStyle w:val="HeaderNumberLeft"/>
          </w:pPr>
        </w:p>
      </w:tc>
      <w:tc>
        <w:tcPr>
          <w:tcW w:w="5715" w:type="dxa"/>
        </w:tcPr>
        <w:p w:rsidR="001D7D8D" w:rsidRDefault="001D7D8D">
          <w:pPr>
            <w:pStyle w:val="HeaderTextLeft"/>
          </w:pPr>
        </w:p>
      </w:tc>
    </w:tr>
    <w:tr w:rsidR="001D7D8D">
      <w:trPr>
        <w:cantSplit/>
      </w:trPr>
      <w:tc>
        <w:tcPr>
          <w:tcW w:w="7258" w:type="dxa"/>
          <w:gridSpan w:val="2"/>
        </w:tcPr>
        <w:p w:rsidR="001D7D8D" w:rsidRDefault="001D7D8D">
          <w:pPr>
            <w:pStyle w:val="HeaderSectionRight"/>
            <w:ind w:right="17"/>
            <w:jc w:val="left"/>
          </w:pPr>
        </w:p>
      </w:tc>
    </w:tr>
  </w:tbl>
  <w:p w:rsidR="001D7D8D" w:rsidRDefault="001D7D8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402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1E7E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E01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A623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96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B07F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60F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DAB6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C032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1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72A059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2FCE1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48"/>
    <w:rsid w:val="000176C8"/>
    <w:rsid w:val="001D7D8D"/>
    <w:rsid w:val="00417270"/>
    <w:rsid w:val="005A4E48"/>
    <w:rsid w:val="006D4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8920</Characters>
  <Application>Microsoft Office Word</Application>
  <DocSecurity>0</DocSecurity>
  <Lines>270</Lines>
  <Paragraphs>167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(Ombudsman Scheme) Regulations 2005 - 00-b0-05</dc:title>
  <dc:subject>Subsidiary Legislation</dc:subject>
  <dc:creator>Matthew Pether</dc:creator>
  <cp:keywords>Brought into Production 7 June 2002</cp:keywords>
  <dc:description/>
  <cp:lastModifiedBy>svcMRProcess</cp:lastModifiedBy>
  <cp:revision>4</cp:revision>
  <cp:lastPrinted>2005-06-01T05:04:00Z</cp:lastPrinted>
  <dcterms:created xsi:type="dcterms:W3CDTF">2013-02-14T05:05:00Z</dcterms:created>
  <dcterms:modified xsi:type="dcterms:W3CDTF">2013-02-14T05:05:00Z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2805-12</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37610</vt:i4>
  </property>
  <property fmtid="{D5CDD505-2E9C-101B-9397-08002B2CF9AE}" pid="6" name="AsAtDate">
    <vt:lpwstr>01 Jan 2006</vt:lpwstr>
  </property>
  <property fmtid="{D5CDD505-2E9C-101B-9397-08002B2CF9AE}" pid="7" name="Suffix">
    <vt:lpwstr>00-b0-05</vt:lpwstr>
  </property>
</Properties>
</file>