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_Toc478986475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_Toc478986476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_Toc478986477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_Toc478986478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_Toc478986480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_Toc478986482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_Toc478986483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_Toc478986484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_Toc478986485 \h </w:instrText>
      </w:r>
      <w:r>
        <w:fldChar w:fldCharType="separate"/>
      </w:r>
      <w:r>
        <w:t>6</w:t>
      </w:r>
      <w:r>
        <w:fldChar w:fldCharType="end"/>
      </w:r>
    </w:p>
    <w:p>
      <w:pPr>
        <w:pStyle w:val="TOC8"/>
        <w:rPr>
          <w:rFonts w:asciiTheme="minorHAnsi" w:eastAsiaTheme="minorEastAsia" w:hAnsiTheme="minorHAnsi" w:cstheme="minorBidi"/>
          <w:szCs w:val="22"/>
        </w:rPr>
      </w:pPr>
      <w:r>
        <w:t>8A.</w:t>
      </w:r>
      <w:r>
        <w:tab/>
        <w:t>Transitional GSI rules for transfer of functions from IMO to ERA or Rule Change Panel</w:t>
      </w:r>
      <w:r>
        <w:tab/>
      </w:r>
      <w:r>
        <w:fldChar w:fldCharType="begin"/>
      </w:r>
      <w:r>
        <w:instrText xml:space="preserve"> PAGEREF _Toc478986486 \h </w:instrText>
      </w:r>
      <w:r>
        <w:fldChar w:fldCharType="separate"/>
      </w:r>
      <w:r>
        <w:t>8</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_Toc478986487 \h </w:instrText>
      </w:r>
      <w:r>
        <w:fldChar w:fldCharType="separate"/>
      </w:r>
      <w:r>
        <w:t>9</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_Toc478986488 \h </w:instrText>
      </w:r>
      <w:r>
        <w:fldChar w:fldCharType="separate"/>
      </w:r>
      <w:r>
        <w:t>10</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_Toc478986489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_Toc478986491 \h </w:instrText>
      </w:r>
      <w:r>
        <w:fldChar w:fldCharType="separate"/>
      </w:r>
      <w:r>
        <w:t>12</w:t>
      </w:r>
      <w:r>
        <w:fldChar w:fldCharType="end"/>
      </w:r>
    </w:p>
    <w:p>
      <w:pPr>
        <w:pStyle w:val="TOC8"/>
        <w:rPr>
          <w:rFonts w:asciiTheme="minorHAnsi" w:eastAsiaTheme="minorEastAsia" w:hAnsiTheme="minorHAnsi" w:cstheme="minorBidi"/>
          <w:szCs w:val="22"/>
        </w:rPr>
      </w:pPr>
      <w:r>
        <w:t>13.</w:t>
      </w:r>
      <w:r>
        <w:tab/>
        <w:t>Operator and IMO may request information</w:t>
      </w:r>
      <w:r>
        <w:tab/>
      </w:r>
      <w:r>
        <w:fldChar w:fldCharType="begin"/>
      </w:r>
      <w:r>
        <w:instrText xml:space="preserve"> PAGEREF _Toc478986492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_Toc478986495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_Toc478986497 \h </w:instrText>
      </w:r>
      <w:r>
        <w:fldChar w:fldCharType="separate"/>
      </w:r>
      <w:r>
        <w:t>14</w:t>
      </w:r>
      <w:r>
        <w:fldChar w:fldCharType="end"/>
      </w:r>
    </w:p>
    <w:p>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_Toc478986498 \h </w:instrText>
      </w:r>
      <w:r>
        <w:fldChar w:fldCharType="separate"/>
      </w:r>
      <w:r>
        <w:t>15</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_Toc478986499 \h </w:instrText>
      </w:r>
      <w:r>
        <w:fldChar w:fldCharType="separate"/>
      </w:r>
      <w:r>
        <w:t>17</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_Toc478986500 \h </w:instrText>
      </w:r>
      <w:r>
        <w:fldChar w:fldCharType="separate"/>
      </w:r>
      <w:r>
        <w:t>18</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_Toc478986501 \h </w:instrText>
      </w:r>
      <w:r>
        <w:fldChar w:fldCharType="separate"/>
      </w:r>
      <w:r>
        <w:t>19</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_Toc478986502 \h </w:instrText>
      </w:r>
      <w:r>
        <w:fldChar w:fldCharType="separate"/>
      </w:r>
      <w:r>
        <w:t>19</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_Toc478986503 \h </w:instrText>
      </w:r>
      <w:r>
        <w:fldChar w:fldCharType="separate"/>
      </w:r>
      <w:r>
        <w:t>19</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_Toc478986504 \h </w:instrText>
      </w:r>
      <w:r>
        <w:fldChar w:fldCharType="separate"/>
      </w:r>
      <w:r>
        <w:t>20</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_Toc478986505 \h </w:instrText>
      </w:r>
      <w:r>
        <w:fldChar w:fldCharType="separate"/>
      </w:r>
      <w:r>
        <w:t>20</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_Toc478986506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_Toc478986509 \h </w:instrText>
      </w:r>
      <w:r>
        <w:fldChar w:fldCharType="separate"/>
      </w:r>
      <w:r>
        <w:t>22</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_Toc478986510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_Toc478986511 \h </w:instrText>
      </w:r>
      <w:r>
        <w:fldChar w:fldCharType="separate"/>
      </w:r>
      <w:r>
        <w:t>23</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_Toc478986512 \h </w:instrText>
      </w:r>
      <w:r>
        <w:fldChar w:fldCharType="separate"/>
      </w:r>
      <w:r>
        <w:t>23</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_Toc478986513 \h </w:instrText>
      </w:r>
      <w:r>
        <w:fldChar w:fldCharType="separate"/>
      </w:r>
      <w:r>
        <w:t>24</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_Toc478986514 \h </w:instrText>
      </w:r>
      <w:r>
        <w:fldChar w:fldCharType="separate"/>
      </w:r>
      <w:r>
        <w:t>25</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_Toc478986515 \h </w:instrText>
      </w:r>
      <w:r>
        <w:fldChar w:fldCharType="separate"/>
      </w:r>
      <w:r>
        <w:t>27</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_Toc478986516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_Toc478986518 \h </w:instrText>
      </w:r>
      <w:r>
        <w:fldChar w:fldCharType="separate"/>
      </w:r>
      <w:r>
        <w:t>29</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_Toc478986519 \h </w:instrText>
      </w:r>
      <w:r>
        <w:fldChar w:fldCharType="separate"/>
      </w:r>
      <w:r>
        <w:t>29</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_Toc478986520 \h </w:instrText>
      </w:r>
      <w:r>
        <w:fldChar w:fldCharType="separate"/>
      </w:r>
      <w:r>
        <w:t>30</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_Toc478986521 \h </w:instrText>
      </w:r>
      <w:r>
        <w:fldChar w:fldCharType="separate"/>
      </w:r>
      <w:r>
        <w:t>31</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_Toc478986522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38A.</w:t>
      </w:r>
      <w:r>
        <w:tab/>
        <w:t>References to operator to include IMO</w:t>
      </w:r>
      <w:r>
        <w:tab/>
      </w:r>
      <w:r>
        <w:fldChar w:fldCharType="begin"/>
      </w:r>
      <w:r>
        <w:instrText xml:space="preserve"> PAGEREF _Toc478986524 \h </w:instrText>
      </w:r>
      <w:r>
        <w:fldChar w:fldCharType="separate"/>
      </w:r>
      <w:r>
        <w:t>32</w:t>
      </w:r>
      <w:r>
        <w:fldChar w:fldCharType="end"/>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_Toc478986525 \h </w:instrText>
      </w:r>
      <w:r>
        <w:fldChar w:fldCharType="separate"/>
      </w:r>
      <w:r>
        <w:t>32</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_Toc478986526 \h </w:instrText>
      </w:r>
      <w:r>
        <w:fldChar w:fldCharType="separate"/>
      </w:r>
      <w:r>
        <w:t>32</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_Toc478986527 \h </w:instrText>
      </w:r>
      <w:r>
        <w:fldChar w:fldCharType="separate"/>
      </w:r>
      <w:r>
        <w:t>32</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_Toc478986528 \h </w:instrText>
      </w:r>
      <w:r>
        <w:fldChar w:fldCharType="separate"/>
      </w:r>
      <w:r>
        <w:t>33</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_Toc478986529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_Toc478986531 \h </w:instrText>
      </w:r>
      <w:r>
        <w:fldChar w:fldCharType="separate"/>
      </w:r>
      <w:r>
        <w:t>34</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_Toc478986532 \h </w:instrText>
      </w:r>
      <w:r>
        <w:fldChar w:fldCharType="separate"/>
      </w:r>
      <w:r>
        <w:t>34</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_Toc478986533 \h </w:instrText>
      </w:r>
      <w:r>
        <w:fldChar w:fldCharType="separate"/>
      </w:r>
      <w:r>
        <w:t>35</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_Toc478986534 \h </w:instrText>
      </w:r>
      <w:r>
        <w:fldChar w:fldCharType="separate"/>
      </w:r>
      <w:r>
        <w:t>35</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_Toc478986535 \h </w:instrText>
      </w:r>
      <w:r>
        <w:fldChar w:fldCharType="separate"/>
      </w:r>
      <w:r>
        <w:t>36</w:t>
      </w:r>
      <w:r>
        <w:fldChar w:fldCharType="end"/>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_Toc478986536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_Toc478986537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_Toc478986539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_Toc478986540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_Toc478986541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_Toc478986544 \h </w:instrText>
      </w:r>
      <w:r>
        <w:fldChar w:fldCharType="separate"/>
      </w:r>
      <w:r>
        <w:t>45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_Toc478986545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_Toc478986547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78985878"/>
      <w:bookmarkStart w:id="4" w:name="_Toc478986474"/>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in Gazette 14 Jun 2013 p. 2228.]</w:t>
      </w:r>
    </w:p>
    <w:p>
      <w:pPr>
        <w:pStyle w:val="Heading5"/>
      </w:pPr>
      <w:bookmarkStart w:id="5" w:name="_Toc47898647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7" w:name="_Toc478986476"/>
      <w:r>
        <w:rPr>
          <w:rStyle w:val="CharSectno"/>
        </w:rPr>
        <w:t>2</w:t>
      </w:r>
      <w:r>
        <w:t>.</w:t>
      </w:r>
      <w: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8" w:name="_Toc478986477"/>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 23 Nov 2016 p. 5271</w:t>
      </w:r>
      <w:r>
        <w:t>.]</w:t>
      </w:r>
    </w:p>
    <w:p>
      <w:pPr>
        <w:pStyle w:val="Heading5"/>
      </w:pPr>
      <w:bookmarkStart w:id="9" w:name="_Toc478986478"/>
      <w:r>
        <w:rPr>
          <w:rStyle w:val="CharSectno"/>
        </w:rPr>
        <w:t>4A</w:t>
      </w:r>
      <w:r>
        <w:t>.</w:t>
      </w:r>
      <w:r>
        <w:tab/>
        <w:t>Gas market participants</w:t>
      </w:r>
      <w:bookmarkEnd w:id="9"/>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0" w:name="_Toc478985883"/>
      <w:bookmarkStart w:id="11" w:name="_Toc478986479"/>
      <w:r>
        <w:rPr>
          <w:rStyle w:val="CharPartNo"/>
        </w:rPr>
        <w:t>Part 2</w:t>
      </w:r>
      <w:r>
        <w:rPr>
          <w:rStyle w:val="CharDivNo"/>
        </w:rPr>
        <w:t> </w:t>
      </w:r>
      <w:r>
        <w:t>—</w:t>
      </w:r>
      <w:r>
        <w:rPr>
          <w:rStyle w:val="CharDivText"/>
        </w:rPr>
        <w:t> </w:t>
      </w:r>
      <w:r>
        <w:rPr>
          <w:rStyle w:val="CharPartText"/>
        </w:rPr>
        <w:t>Functions of the operator</w:t>
      </w:r>
      <w:bookmarkEnd w:id="10"/>
      <w:bookmarkEnd w:id="11"/>
    </w:p>
    <w:p>
      <w:pPr>
        <w:pStyle w:val="Footnoteheading"/>
      </w:pPr>
      <w:r>
        <w:tab/>
        <w:t>[Heading inserted in Gazette 14 Jun 2013 p. 2229.]</w:t>
      </w:r>
    </w:p>
    <w:p>
      <w:pPr>
        <w:pStyle w:val="Heading5"/>
      </w:pPr>
      <w:bookmarkStart w:id="12" w:name="_Toc478986480"/>
      <w:r>
        <w:rPr>
          <w:rStyle w:val="CharSectno"/>
        </w:rPr>
        <w:t>4</w:t>
      </w:r>
      <w:r>
        <w:t>.</w:t>
      </w:r>
      <w:r>
        <w:tab/>
        <w:t>Functions of operator — AEMO</w:t>
      </w:r>
      <w:bookmarkEnd w:id="12"/>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13" w:name="_Toc478985885"/>
      <w:bookmarkStart w:id="14" w:name="_Toc478986481"/>
      <w:r>
        <w:rPr>
          <w:rStyle w:val="CharPartNo"/>
        </w:rPr>
        <w:t>Part 3</w:t>
      </w:r>
      <w:r>
        <w:rPr>
          <w:rStyle w:val="CharSDivNo"/>
        </w:rPr>
        <w:t> </w:t>
      </w:r>
      <w:r>
        <w:t>—</w:t>
      </w:r>
      <w:r>
        <w:rPr>
          <w:rStyle w:val="CharSDivText"/>
        </w:rPr>
        <w:t> </w:t>
      </w:r>
      <w:r>
        <w:rPr>
          <w:rStyle w:val="CharPartText"/>
        </w:rPr>
        <w:t>GSI rules</w:t>
      </w:r>
      <w:bookmarkEnd w:id="13"/>
      <w:bookmarkEnd w:id="14"/>
    </w:p>
    <w:p>
      <w:pPr>
        <w:pStyle w:val="Footnoteheading"/>
        <w:spacing w:before="100"/>
      </w:pPr>
      <w:r>
        <w:tab/>
        <w:t>[Heading inserted in Gazette 14 Jun 2013 p. 2230.]</w:t>
      </w:r>
    </w:p>
    <w:p>
      <w:pPr>
        <w:pStyle w:val="Heading5"/>
      </w:pPr>
      <w:bookmarkStart w:id="15" w:name="_Toc478986482"/>
      <w:r>
        <w:rPr>
          <w:rStyle w:val="CharSectno"/>
        </w:rPr>
        <w:t>5</w:t>
      </w:r>
      <w:r>
        <w:t>.</w:t>
      </w:r>
      <w:r>
        <w:tab/>
        <w:t>GSI rules</w:t>
      </w:r>
      <w:bookmarkEnd w:id="15"/>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16" w:name="_Toc478986483"/>
      <w:r>
        <w:rPr>
          <w:rStyle w:val="CharSectno"/>
        </w:rPr>
        <w:t>6</w:t>
      </w:r>
      <w:r>
        <w:t>.</w:t>
      </w:r>
      <w:r>
        <w:tab/>
        <w:t>Making GSI rules</w:t>
      </w:r>
      <w:bookmarkEnd w:id="16"/>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17" w:name="_Toc478986484"/>
      <w:r>
        <w:rPr>
          <w:rStyle w:val="CharSectno"/>
        </w:rPr>
        <w:t>7</w:t>
      </w:r>
      <w:r>
        <w:t>.</w:t>
      </w:r>
      <w:r>
        <w:tab/>
        <w:t>Amending GSI rules</w:t>
      </w:r>
      <w:bookmarkEnd w:id="17"/>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2017.</w:t>
      </w:r>
    </w:p>
    <w:p>
      <w:pPr>
        <w:pStyle w:val="Footnotesection"/>
      </w:pPr>
      <w:r>
        <w:tab/>
        <w:t>[Regulation 7 inserted in Gazette 14 Jun 2013 p. 2230-1; amended in Gazette 13 Nov 2015 p. 4639; 23 Nov 2016 p. 5272.]</w:t>
      </w:r>
    </w:p>
    <w:p>
      <w:pPr>
        <w:pStyle w:val="Heading5"/>
      </w:pPr>
      <w:bookmarkStart w:id="18" w:name="_Toc478986485"/>
      <w:r>
        <w:rPr>
          <w:rStyle w:val="CharSectno"/>
        </w:rPr>
        <w:t>8</w:t>
      </w:r>
      <w:r>
        <w:t>.</w:t>
      </w:r>
      <w:r>
        <w:tab/>
        <w:t>GSI rules generally</w:t>
      </w:r>
      <w:bookmarkEnd w:id="18"/>
    </w:p>
    <w:p>
      <w:pPr>
        <w:pStyle w:val="Subsection"/>
      </w:pPr>
      <w:r>
        <w:tab/>
        <w:t>(1)</w:t>
      </w:r>
      <w:r>
        <w:tab/>
        <w:t>The GSI rules may confer functions, relating to the functions referred to in section 7(2)(a) of the Act, on the operator, the Rule Change Panel (to the extent to which those functions relate to the matters referred to in regulation 7(2)),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the Rule Change Panel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 23 Nov 2016 p. 5272</w:t>
      </w:r>
      <w:r>
        <w:noBreakHyphen/>
        <w:t>3.]</w:t>
      </w:r>
    </w:p>
    <w:p>
      <w:pPr>
        <w:pStyle w:val="Heading5"/>
      </w:pPr>
      <w:bookmarkStart w:id="19" w:name="_Toc478986486"/>
      <w:r>
        <w:rPr>
          <w:rStyle w:val="CharSectno"/>
        </w:rPr>
        <w:t>8A</w:t>
      </w:r>
      <w:r>
        <w:t>.</w:t>
      </w:r>
      <w:r>
        <w:tab/>
        <w:t>Transitional GSI rules for transfer of functions from IMO to ERA or Rule Change Panel</w:t>
      </w:r>
      <w:bookmarkEnd w:id="19"/>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 amended in Gazette 23 Nov 2016 p. 5273</w:t>
      </w:r>
      <w:r>
        <w:noBreakHyphen/>
        <w:t>4.]</w:t>
      </w:r>
    </w:p>
    <w:p>
      <w:pPr>
        <w:pStyle w:val="Heading5"/>
      </w:pPr>
      <w:bookmarkStart w:id="20" w:name="_Toc478986487"/>
      <w:r>
        <w:rPr>
          <w:rStyle w:val="CharSectno"/>
        </w:rPr>
        <w:t>9</w:t>
      </w:r>
      <w:r>
        <w:t>.</w:t>
      </w:r>
      <w:r>
        <w:tab/>
        <w:t>Availability of copies of GSI rules</w:t>
      </w:r>
      <w:bookmarkEnd w:id="20"/>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 in Gazette 14 Jun 2013 p. 2232; amended in Gazette 13 Nov 2015 p. 4641</w:t>
      </w:r>
      <w:r>
        <w:noBreakHyphen/>
        <w:t>2; 23 Nov 2016 p. 5274.]</w:t>
      </w:r>
    </w:p>
    <w:p>
      <w:pPr>
        <w:pStyle w:val="Heading5"/>
      </w:pPr>
      <w:bookmarkStart w:id="21" w:name="_Toc478986488"/>
      <w:r>
        <w:rPr>
          <w:rStyle w:val="CharSectno"/>
        </w:rPr>
        <w:t>10</w:t>
      </w:r>
      <w:r>
        <w:t>.</w:t>
      </w:r>
      <w:r>
        <w:tab/>
        <w:t>GSI procedures</w:t>
      </w:r>
      <w:bookmarkEnd w:id="21"/>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22" w:name="_Toc478986489"/>
      <w:r>
        <w:rPr>
          <w:rStyle w:val="CharSectno"/>
        </w:rPr>
        <w:t>11</w:t>
      </w:r>
      <w:r>
        <w:t>.</w:t>
      </w:r>
      <w:r>
        <w:tab/>
        <w:t>Administration of GSI rules and GSI procedures</w:t>
      </w:r>
      <w:bookmarkEnd w:id="22"/>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pPr>
      <w:r>
        <w:tab/>
        <w:t>(5)</w:t>
      </w:r>
      <w:r>
        <w:tab/>
        <w:t>The Rule Change Panel is responsible for the development, in accordance with the GSI rules, of amendments of and replacements for the GSI rules.</w:t>
      </w:r>
    </w:p>
    <w:p>
      <w:pPr>
        <w:pStyle w:val="Footnotesection"/>
      </w:pPr>
      <w:r>
        <w:tab/>
        <w:t>[Regulation 11 inserted in Gazette 14 Jun 2013 p. 2233; amended in Gazette 13 Nov 2015 p. 4639; 24 Jun 2016 p. 2305; 23 Nov 2016 p. 5275.]</w:t>
      </w:r>
    </w:p>
    <w:p>
      <w:pPr>
        <w:pStyle w:val="Heading2"/>
      </w:pPr>
      <w:bookmarkStart w:id="23" w:name="_Toc478985894"/>
      <w:bookmarkStart w:id="24" w:name="_Toc478986490"/>
      <w:r>
        <w:rPr>
          <w:rStyle w:val="CharPartNo"/>
        </w:rPr>
        <w:t>Part 4</w:t>
      </w:r>
      <w:r>
        <w:rPr>
          <w:rStyle w:val="CharDivNo"/>
          <w:snapToGrid/>
          <w:sz w:val="26"/>
        </w:rPr>
        <w:t> </w:t>
      </w:r>
      <w:r>
        <w:t>—</w:t>
      </w:r>
      <w:r>
        <w:rPr>
          <w:rStyle w:val="CharDivText"/>
        </w:rPr>
        <w:t> </w:t>
      </w:r>
      <w:r>
        <w:rPr>
          <w:rStyle w:val="CharPartText"/>
        </w:rPr>
        <w:t>Obligations to provide information</w:t>
      </w:r>
      <w:bookmarkEnd w:id="23"/>
      <w:bookmarkEnd w:id="24"/>
    </w:p>
    <w:p>
      <w:pPr>
        <w:pStyle w:val="Footnoteheading"/>
      </w:pPr>
      <w:r>
        <w:tab/>
        <w:t>[Heading inserted in Gazette 28 Jun 2013 p. 2934.]</w:t>
      </w:r>
    </w:p>
    <w:p>
      <w:pPr>
        <w:pStyle w:val="Heading5"/>
      </w:pPr>
      <w:bookmarkStart w:id="25" w:name="_Toc478986491"/>
      <w:r>
        <w:rPr>
          <w:rStyle w:val="CharSectno"/>
        </w:rPr>
        <w:t>12</w:t>
      </w:r>
      <w:r>
        <w:t>.</w:t>
      </w:r>
      <w:r>
        <w:tab/>
        <w:t>Ongoing requirement to provide information</w:t>
      </w:r>
      <w:bookmarkEnd w:id="25"/>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26" w:name="_Toc478986492"/>
      <w:r>
        <w:rPr>
          <w:rStyle w:val="CharSectno"/>
        </w:rPr>
        <w:t>13</w:t>
      </w:r>
      <w:r>
        <w:t>.</w:t>
      </w:r>
      <w:r>
        <w:tab/>
        <w:t>Operator and IMO may request information</w:t>
      </w:r>
      <w:bookmarkEnd w:id="26"/>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27" w:name="_Toc478985897"/>
      <w:bookmarkStart w:id="28" w:name="_Toc478986493"/>
      <w:r>
        <w:rPr>
          <w:rStyle w:val="CharPartNo"/>
        </w:rPr>
        <w:t>Part 5</w:t>
      </w:r>
      <w:r>
        <w:rPr>
          <w:b w:val="0"/>
        </w:rPr>
        <w:t> </w:t>
      </w:r>
      <w:r>
        <w:t>—</w:t>
      </w:r>
      <w:r>
        <w:rPr>
          <w:b w:val="0"/>
        </w:rPr>
        <w:t> </w:t>
      </w:r>
      <w:r>
        <w:rPr>
          <w:rStyle w:val="CharPartText"/>
        </w:rPr>
        <w:t>Enforcement of GSI rules</w:t>
      </w:r>
      <w:bookmarkEnd w:id="27"/>
      <w:bookmarkEnd w:id="28"/>
    </w:p>
    <w:p>
      <w:pPr>
        <w:pStyle w:val="Footnoteheading"/>
      </w:pPr>
      <w:r>
        <w:tab/>
        <w:t>[Heading inserted in Gazette 28 Jun 2013 p. 2935.]</w:t>
      </w:r>
    </w:p>
    <w:p>
      <w:pPr>
        <w:pStyle w:val="Heading3"/>
        <w:spacing w:before="280"/>
      </w:pPr>
      <w:bookmarkStart w:id="29" w:name="_Toc478985898"/>
      <w:bookmarkStart w:id="30" w:name="_Toc478986494"/>
      <w:r>
        <w:rPr>
          <w:rStyle w:val="CharDivNo"/>
        </w:rPr>
        <w:t>Division 1</w:t>
      </w:r>
      <w:r>
        <w:t> — </w:t>
      </w:r>
      <w:r>
        <w:rPr>
          <w:rStyle w:val="CharDivText"/>
        </w:rPr>
        <w:t>Preliminary</w:t>
      </w:r>
      <w:bookmarkEnd w:id="29"/>
      <w:bookmarkEnd w:id="30"/>
    </w:p>
    <w:p>
      <w:pPr>
        <w:pStyle w:val="Footnoteheading"/>
      </w:pPr>
      <w:r>
        <w:tab/>
        <w:t>[Heading inserted in Gazette 28 Jun 2013 p. 2935.]</w:t>
      </w:r>
    </w:p>
    <w:p>
      <w:pPr>
        <w:pStyle w:val="Heading5"/>
        <w:spacing w:before="240"/>
      </w:pPr>
      <w:bookmarkStart w:id="31" w:name="_Toc478986495"/>
      <w:r>
        <w:rPr>
          <w:rStyle w:val="CharSectno"/>
        </w:rPr>
        <w:t>14</w:t>
      </w:r>
      <w:r>
        <w:t>.</w:t>
      </w:r>
      <w:r>
        <w:tab/>
        <w:t>Terms used</w:t>
      </w:r>
      <w:bookmarkEnd w:id="31"/>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32" w:name="_Toc478985900"/>
      <w:bookmarkStart w:id="33" w:name="_Toc478986496"/>
      <w:r>
        <w:rPr>
          <w:rStyle w:val="CharDivNo"/>
        </w:rPr>
        <w:t>Division 2</w:t>
      </w:r>
      <w:r>
        <w:t> — </w:t>
      </w:r>
      <w:r>
        <w:rPr>
          <w:rStyle w:val="CharDivText"/>
        </w:rPr>
        <w:t>Orders and penalties</w:t>
      </w:r>
      <w:bookmarkEnd w:id="32"/>
      <w:bookmarkEnd w:id="33"/>
    </w:p>
    <w:p>
      <w:pPr>
        <w:pStyle w:val="Footnoteheading"/>
      </w:pPr>
      <w:r>
        <w:tab/>
        <w:t>[Heading inserted in Gazette 28 Jun 2013 p. 2935.]</w:t>
      </w:r>
    </w:p>
    <w:p>
      <w:pPr>
        <w:pStyle w:val="Heading5"/>
        <w:spacing w:before="240"/>
      </w:pPr>
      <w:bookmarkStart w:id="34" w:name="_Toc478986497"/>
      <w:r>
        <w:rPr>
          <w:rStyle w:val="CharSectno"/>
        </w:rPr>
        <w:t>15</w:t>
      </w:r>
      <w:r>
        <w:t>.</w:t>
      </w:r>
      <w:r>
        <w:tab/>
        <w:t>Civil penalty provisions and civil penalties</w:t>
      </w:r>
      <w:bookmarkEnd w:id="34"/>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35" w:name="_Toc478986498"/>
      <w:r>
        <w:rPr>
          <w:rStyle w:val="CharSectno"/>
        </w:rPr>
        <w:t>16</w:t>
      </w:r>
      <w:r>
        <w:t>.</w:t>
      </w:r>
      <w:r>
        <w:tab/>
        <w:t>Contravention of category A civil penalty provision: ERA may demand civil penalty</w:t>
      </w:r>
      <w:bookmarkEnd w:id="35"/>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36" w:name="_Toc478986499"/>
      <w:r>
        <w:rPr>
          <w:rStyle w:val="CharSectno"/>
        </w:rPr>
        <w:t>17</w:t>
      </w:r>
      <w:r>
        <w:t>.</w:t>
      </w:r>
      <w:r>
        <w:tab/>
        <w:t>Contraventions of provisions of GSI rules: applications for orders from Board</w:t>
      </w:r>
      <w:bookmarkEnd w:id="36"/>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37" w:name="_Toc478986500"/>
      <w:r>
        <w:rPr>
          <w:rStyle w:val="CharSectno"/>
        </w:rPr>
        <w:t>18</w:t>
      </w:r>
      <w:r>
        <w:t>.</w:t>
      </w:r>
      <w:r>
        <w:tab/>
        <w:t>Contraventions of provisions of GSI rules: orders Board may make</w:t>
      </w:r>
      <w:bookmarkEnd w:id="37"/>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38" w:name="_Toc478986501"/>
      <w:r>
        <w:rPr>
          <w:rStyle w:val="CharSectno"/>
        </w:rPr>
        <w:t>19</w:t>
      </w:r>
      <w:r>
        <w:t>.</w:t>
      </w:r>
      <w:r>
        <w:tab/>
        <w:t>Enforcement of orders of Board</w:t>
      </w:r>
      <w:bookmarkEnd w:id="38"/>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39" w:name="_Toc478986502"/>
      <w:r>
        <w:rPr>
          <w:rStyle w:val="CharSectno"/>
        </w:rPr>
        <w:t>20</w:t>
      </w:r>
      <w:r>
        <w:t>.</w:t>
      </w:r>
      <w:r>
        <w:tab/>
        <w:t>Contravention of provision of GSI rules not an offence</w:t>
      </w:r>
      <w:bookmarkEnd w:id="39"/>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40" w:name="_Toc478986503"/>
      <w:r>
        <w:rPr>
          <w:rStyle w:val="CharSectno"/>
        </w:rPr>
        <w:t>21</w:t>
      </w:r>
      <w:r>
        <w:t>.</w:t>
      </w:r>
      <w:r>
        <w:tab/>
        <w:t>Conduct contravening more than one civil penalty provision</w:t>
      </w:r>
      <w:bookmarkEnd w:id="40"/>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41" w:name="_Toc478986504"/>
      <w:r>
        <w:rPr>
          <w:rStyle w:val="CharSectno"/>
        </w:rPr>
        <w:t>22</w:t>
      </w:r>
      <w:r>
        <w:t>.</w:t>
      </w:r>
      <w:r>
        <w:tab/>
        <w:t>Application of civil penalties received by operator</w:t>
      </w:r>
      <w:bookmarkEnd w:id="41"/>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42" w:name="_Toc478986505"/>
      <w:r>
        <w:rPr>
          <w:rStyle w:val="CharSectno"/>
        </w:rPr>
        <w:t>23</w:t>
      </w:r>
      <w:r>
        <w:t>.</w:t>
      </w:r>
      <w:r>
        <w:tab/>
        <w:t>ERA to notify certain persons of decision not to take action</w:t>
      </w:r>
      <w:bookmarkEnd w:id="42"/>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43" w:name="_Toc478986506"/>
      <w:r>
        <w:rPr>
          <w:rStyle w:val="CharSectno"/>
        </w:rPr>
        <w:t>24</w:t>
      </w:r>
      <w:r>
        <w:t>.</w:t>
      </w:r>
      <w:r>
        <w:tab/>
        <w:t>Applications for orders from Board: procedure</w:t>
      </w:r>
      <w:bookmarkEnd w:id="43"/>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44" w:name="_Toc478985911"/>
      <w:bookmarkStart w:id="45" w:name="_Toc478986507"/>
      <w:r>
        <w:rPr>
          <w:rStyle w:val="CharPartNo"/>
        </w:rPr>
        <w:t>Part 6</w:t>
      </w:r>
      <w:r>
        <w:rPr>
          <w:b w:val="0"/>
        </w:rPr>
        <w:t> </w:t>
      </w:r>
      <w:r>
        <w:t>—</w:t>
      </w:r>
      <w:r>
        <w:rPr>
          <w:b w:val="0"/>
        </w:rPr>
        <w:t> </w:t>
      </w:r>
      <w:r>
        <w:rPr>
          <w:rStyle w:val="CharPartText"/>
        </w:rPr>
        <w:t>Review by the Board</w:t>
      </w:r>
      <w:bookmarkEnd w:id="44"/>
      <w:bookmarkEnd w:id="45"/>
    </w:p>
    <w:p>
      <w:pPr>
        <w:pStyle w:val="Footnoteheading"/>
      </w:pPr>
      <w:r>
        <w:tab/>
        <w:t>[Heading inserted in Gazette 28 Jun 2013 p. 2942.]</w:t>
      </w:r>
    </w:p>
    <w:p>
      <w:pPr>
        <w:pStyle w:val="Heading3"/>
      </w:pPr>
      <w:bookmarkStart w:id="46" w:name="_Toc478985912"/>
      <w:bookmarkStart w:id="47" w:name="_Toc478986508"/>
      <w:r>
        <w:rPr>
          <w:rStyle w:val="CharDivNo"/>
        </w:rPr>
        <w:t>Division 1</w:t>
      </w:r>
      <w:r>
        <w:t> — </w:t>
      </w:r>
      <w:r>
        <w:rPr>
          <w:rStyle w:val="CharDivText"/>
        </w:rPr>
        <w:t>Review by the Board</w:t>
      </w:r>
      <w:bookmarkEnd w:id="46"/>
      <w:bookmarkEnd w:id="47"/>
    </w:p>
    <w:p>
      <w:pPr>
        <w:pStyle w:val="Footnoteheading"/>
      </w:pPr>
      <w:r>
        <w:tab/>
        <w:t>[Heading inserted in Gazette 28 Jun 2013 p. 2942.]</w:t>
      </w:r>
    </w:p>
    <w:p>
      <w:pPr>
        <w:pStyle w:val="Heading5"/>
      </w:pPr>
      <w:bookmarkStart w:id="48" w:name="_Toc478986509"/>
      <w:r>
        <w:rPr>
          <w:rStyle w:val="CharSectno"/>
        </w:rPr>
        <w:t>25</w:t>
      </w:r>
      <w:r>
        <w:t>.</w:t>
      </w:r>
      <w:r>
        <w:tab/>
        <w:t>Reviewable decisions and procedural decisions</w:t>
      </w:r>
      <w:bookmarkEnd w:id="48"/>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49" w:name="_Toc478986510"/>
      <w:r>
        <w:rPr>
          <w:rStyle w:val="CharSectno"/>
        </w:rPr>
        <w:t>26</w:t>
      </w:r>
      <w:r>
        <w:t>.</w:t>
      </w:r>
      <w:r>
        <w:tab/>
        <w:t>Review by Board: all reviewable decisions</w:t>
      </w:r>
      <w:bookmarkEnd w:id="49"/>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50" w:name="_Toc478986511"/>
      <w:r>
        <w:rPr>
          <w:rStyle w:val="CharSectno"/>
        </w:rPr>
        <w:t>27</w:t>
      </w:r>
      <w:r>
        <w:t>.</w:t>
      </w:r>
      <w:r>
        <w:tab/>
        <w:t>Review by Board: procedural decisions</w:t>
      </w:r>
      <w:bookmarkEnd w:id="50"/>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51" w:name="_Toc478986512"/>
      <w:r>
        <w:rPr>
          <w:rStyle w:val="CharSectno"/>
        </w:rPr>
        <w:t>28</w:t>
      </w:r>
      <w:r>
        <w:t>.</w:t>
      </w:r>
      <w:r>
        <w:tab/>
        <w:t>Application for review</w:t>
      </w:r>
      <w:bookmarkEnd w:id="51"/>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52" w:name="_Toc478986513"/>
      <w:r>
        <w:rPr>
          <w:rStyle w:val="CharSectno"/>
        </w:rPr>
        <w:t>29</w:t>
      </w:r>
      <w:r>
        <w:t>.</w:t>
      </w:r>
      <w:r>
        <w:tab/>
        <w:t>Effect of application for review</w:t>
      </w:r>
      <w:bookmarkEnd w:id="5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53" w:name="_Toc478986514"/>
      <w:r>
        <w:rPr>
          <w:rStyle w:val="CharSectno"/>
        </w:rPr>
        <w:t>30</w:t>
      </w:r>
      <w:r>
        <w:t>.</w:t>
      </w:r>
      <w:r>
        <w:tab/>
        <w:t>Procedure generally</w:t>
      </w:r>
      <w:bookmarkEnd w:id="5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54" w:name="_Toc478986515"/>
      <w:r>
        <w:rPr>
          <w:rStyle w:val="CharSectno"/>
        </w:rPr>
        <w:t>31</w:t>
      </w:r>
      <w:r>
        <w:t>.</w:t>
      </w:r>
      <w:r>
        <w:tab/>
        <w:t>Procedure: conferences</w:t>
      </w:r>
      <w:bookmarkEnd w:id="54"/>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55" w:name="_Toc478986516"/>
      <w:r>
        <w:rPr>
          <w:rStyle w:val="CharSectno"/>
        </w:rPr>
        <w:t>32</w:t>
      </w:r>
      <w:r>
        <w:t>.</w:t>
      </w:r>
      <w:r>
        <w:tab/>
        <w:t>Parties to proceedings</w:t>
      </w:r>
      <w:bookmarkEnd w:id="55"/>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56" w:name="_Toc478985921"/>
      <w:bookmarkStart w:id="57" w:name="_Toc478986517"/>
      <w:r>
        <w:rPr>
          <w:rStyle w:val="CharDivNo"/>
        </w:rPr>
        <w:t>Division 2</w:t>
      </w:r>
      <w:r>
        <w:t> — </w:t>
      </w:r>
      <w:r>
        <w:rPr>
          <w:rStyle w:val="CharDivText"/>
        </w:rPr>
        <w:t>Arbitrator and Board funding</w:t>
      </w:r>
      <w:bookmarkEnd w:id="56"/>
      <w:bookmarkEnd w:id="57"/>
    </w:p>
    <w:p>
      <w:pPr>
        <w:pStyle w:val="Footnoteheading"/>
      </w:pPr>
      <w:r>
        <w:tab/>
        <w:t>[Heading inserted in Gazette 28 Jun 2013 p. 2949.]</w:t>
      </w:r>
    </w:p>
    <w:p>
      <w:pPr>
        <w:pStyle w:val="Heading5"/>
      </w:pPr>
      <w:bookmarkStart w:id="58" w:name="_Toc478986518"/>
      <w:r>
        <w:rPr>
          <w:rStyle w:val="CharSectno"/>
        </w:rPr>
        <w:t>33</w:t>
      </w:r>
      <w:r>
        <w:t>.</w:t>
      </w:r>
      <w:r>
        <w:tab/>
        <w:t>Terms used</w:t>
      </w:r>
      <w:bookmarkEnd w:id="58"/>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59" w:name="_Toc478986519"/>
      <w:r>
        <w:rPr>
          <w:rStyle w:val="CharSectno"/>
        </w:rPr>
        <w:t>34</w:t>
      </w:r>
      <w:r>
        <w:t>.</w:t>
      </w:r>
      <w:r>
        <w:tab/>
        <w:t>Arbitrator funding: standing charges</w:t>
      </w:r>
      <w:bookmarkEnd w:id="5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60" w:name="_Toc478986520"/>
      <w:r>
        <w:rPr>
          <w:rStyle w:val="CharSectno"/>
        </w:rPr>
        <w:t>35</w:t>
      </w:r>
      <w:r>
        <w:t>.</w:t>
      </w:r>
      <w:r>
        <w:tab/>
        <w:t>Costs and expenses of proceedings before Board</w:t>
      </w:r>
      <w:bookmarkEnd w:id="60"/>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61" w:name="_Toc478986521"/>
      <w:r>
        <w:rPr>
          <w:rStyle w:val="CharSectno"/>
        </w:rPr>
        <w:t>36</w:t>
      </w:r>
      <w:r>
        <w:t>.</w:t>
      </w:r>
      <w:r>
        <w:tab/>
        <w:t>Recovery of unpaid amounts</w:t>
      </w:r>
      <w:bookmarkEnd w:id="61"/>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62" w:name="_Toc478986522"/>
      <w:r>
        <w:rPr>
          <w:rStyle w:val="CharSectno"/>
        </w:rPr>
        <w:t>37</w:t>
      </w:r>
      <w:r>
        <w:t>.</w:t>
      </w:r>
      <w:r>
        <w:tab/>
        <w:t>Matters to be included in Arbitrator’s annual report</w:t>
      </w:r>
      <w:bookmarkEnd w:id="62"/>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63" w:name="_Toc478985927"/>
      <w:bookmarkStart w:id="64" w:name="_Toc478986523"/>
      <w:r>
        <w:rPr>
          <w:rStyle w:val="CharPartNo"/>
        </w:rPr>
        <w:t>Part 7</w:t>
      </w:r>
      <w:r>
        <w:rPr>
          <w:rStyle w:val="CharDivNo"/>
        </w:rPr>
        <w:t> </w:t>
      </w:r>
      <w:r>
        <w:t>—</w:t>
      </w:r>
      <w:r>
        <w:rPr>
          <w:rStyle w:val="CharDivText"/>
          <w:snapToGrid/>
          <w:sz w:val="26"/>
        </w:rPr>
        <w:t> </w:t>
      </w:r>
      <w:r>
        <w:rPr>
          <w:rStyle w:val="CharPartText"/>
        </w:rPr>
        <w:t>Protection of information</w:t>
      </w:r>
      <w:bookmarkEnd w:id="63"/>
      <w:bookmarkEnd w:id="64"/>
    </w:p>
    <w:p>
      <w:pPr>
        <w:pStyle w:val="Footnoteheading"/>
      </w:pPr>
      <w:r>
        <w:tab/>
        <w:t>[Heading inserted in Gazette 28 Jun 2013 p. 2952.]</w:t>
      </w:r>
    </w:p>
    <w:p>
      <w:pPr>
        <w:pStyle w:val="Heading5"/>
      </w:pPr>
      <w:bookmarkStart w:id="65" w:name="_Toc478986524"/>
      <w:r>
        <w:rPr>
          <w:rStyle w:val="CharSectno"/>
        </w:rPr>
        <w:t>38A</w:t>
      </w:r>
      <w:r>
        <w:t>.</w:t>
      </w:r>
      <w:r>
        <w:tab/>
        <w:t>References to operator to include IMO</w:t>
      </w:r>
      <w:bookmarkEnd w:id="65"/>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66" w:name="_Toc478986525"/>
      <w:r>
        <w:rPr>
          <w:rStyle w:val="CharSectno"/>
        </w:rPr>
        <w:t>38</w:t>
      </w:r>
      <w:r>
        <w:t>.</w:t>
      </w:r>
      <w:r>
        <w:tab/>
        <w:t>Protection of protected information</w:t>
      </w:r>
      <w:bookmarkEnd w:id="66"/>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67" w:name="_Toc478986526"/>
      <w:r>
        <w:rPr>
          <w:rStyle w:val="CharSectno"/>
        </w:rPr>
        <w:t>39</w:t>
      </w:r>
      <w:r>
        <w:t>.</w:t>
      </w:r>
      <w:r>
        <w:tab/>
        <w:t>Disclosure with prior written consent</w:t>
      </w:r>
      <w:bookmarkEnd w:id="67"/>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68" w:name="_Toc478986527"/>
      <w:r>
        <w:rPr>
          <w:rStyle w:val="CharSectno"/>
        </w:rPr>
        <w:t>40</w:t>
      </w:r>
      <w:r>
        <w:t>.</w:t>
      </w:r>
      <w:r>
        <w:tab/>
        <w:t>Disclosure authorised or required by law</w:t>
      </w:r>
      <w:bookmarkEnd w:id="68"/>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69" w:name="_Toc478986528"/>
      <w:r>
        <w:rPr>
          <w:rStyle w:val="CharSectno"/>
        </w:rPr>
        <w:t>41</w:t>
      </w:r>
      <w:r>
        <w:t>.</w:t>
      </w:r>
      <w:r>
        <w:tab/>
        <w:t>Disclosure for purposes of proceedings before court or tribunal</w:t>
      </w:r>
      <w:bookmarkEnd w:id="69"/>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70" w:name="_Toc478986529"/>
      <w:r>
        <w:rPr>
          <w:rStyle w:val="CharSectno"/>
        </w:rPr>
        <w:t>42</w:t>
      </w:r>
      <w:r>
        <w:t>.</w:t>
      </w:r>
      <w:r>
        <w:tab/>
        <w:t>Other grounds for disclosure</w:t>
      </w:r>
      <w:bookmarkEnd w:id="70"/>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71" w:name="_Toc478985934"/>
      <w:bookmarkStart w:id="72" w:name="_Toc478986530"/>
      <w:r>
        <w:rPr>
          <w:rStyle w:val="CharPartNo"/>
        </w:rPr>
        <w:t>Part 8</w:t>
      </w:r>
      <w:r>
        <w:rPr>
          <w:rStyle w:val="CharDivNo"/>
        </w:rPr>
        <w:t> </w:t>
      </w:r>
      <w:r>
        <w:t>—</w:t>
      </w:r>
      <w:r>
        <w:rPr>
          <w:rStyle w:val="CharDivText"/>
          <w:snapToGrid/>
          <w:sz w:val="26"/>
        </w:rPr>
        <w:t> </w:t>
      </w:r>
      <w:r>
        <w:rPr>
          <w:rStyle w:val="CharPartText"/>
        </w:rPr>
        <w:t>Accountability and review of operations</w:t>
      </w:r>
      <w:bookmarkEnd w:id="71"/>
      <w:bookmarkEnd w:id="72"/>
    </w:p>
    <w:p>
      <w:pPr>
        <w:pStyle w:val="Footnoteheading"/>
        <w:spacing w:before="100"/>
      </w:pPr>
      <w:r>
        <w:tab/>
        <w:t>[Heading inserted in Gazette 28 Jun 2013 p. 2954.]</w:t>
      </w:r>
    </w:p>
    <w:p>
      <w:pPr>
        <w:pStyle w:val="Heading5"/>
      </w:pPr>
      <w:bookmarkStart w:id="73" w:name="_Toc478986531"/>
      <w:r>
        <w:rPr>
          <w:rStyle w:val="CharSectno"/>
        </w:rPr>
        <w:t>43</w:t>
      </w:r>
      <w:r>
        <w:t>.</w:t>
      </w:r>
      <w:r>
        <w:tab/>
        <w:t>Minister may give directions</w:t>
      </w:r>
      <w:bookmarkEnd w:id="73"/>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74" w:name="_Toc478986532"/>
      <w:r>
        <w:rPr>
          <w:rStyle w:val="CharSectno"/>
        </w:rPr>
        <w:t>44</w:t>
      </w:r>
      <w:r>
        <w:t>.</w:t>
      </w:r>
      <w:r>
        <w:tab/>
        <w:t>When directions take effect</w:t>
      </w:r>
      <w:bookmarkEnd w:id="74"/>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75" w:name="_Toc478986533"/>
      <w:r>
        <w:rPr>
          <w:rStyle w:val="CharSectno"/>
        </w:rPr>
        <w:t>45</w:t>
      </w:r>
      <w:r>
        <w:t>.</w:t>
      </w:r>
      <w:r>
        <w:tab/>
        <w:t>Consultation</w:t>
      </w:r>
      <w:bookmarkEnd w:id="75"/>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76" w:name="_Toc478986534"/>
      <w:r>
        <w:rPr>
          <w:rStyle w:val="CharSectno"/>
        </w:rPr>
        <w:t>46</w:t>
      </w:r>
      <w:r>
        <w:t>.</w:t>
      </w:r>
      <w:r>
        <w:tab/>
        <w:t>Minister to have access to information</w:t>
      </w:r>
      <w:bookmarkEnd w:id="7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77" w:name="_Toc478986535"/>
      <w:r>
        <w:rPr>
          <w:rStyle w:val="CharSectno"/>
        </w:rPr>
        <w:t>47</w:t>
      </w:r>
      <w:r>
        <w:t>.</w:t>
      </w:r>
      <w:r>
        <w:tab/>
        <w:t>Provision of information in compiled form</w:t>
      </w:r>
      <w:bookmarkEnd w:id="77"/>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78" w:name="_Toc478986536"/>
      <w:r>
        <w:rPr>
          <w:rStyle w:val="CharSectno"/>
        </w:rPr>
        <w:t>48A</w:t>
      </w:r>
      <w:r>
        <w:t>.</w:t>
      </w:r>
      <w:r>
        <w:tab/>
        <w:t>Provision of information and advice to Minister: operator’s functions</w:t>
      </w:r>
      <w:bookmarkEnd w:id="78"/>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79" w:name="_Toc478986537"/>
      <w:r>
        <w:rPr>
          <w:rStyle w:val="CharSectno"/>
        </w:rPr>
        <w:t>48</w:t>
      </w:r>
      <w:r>
        <w:t>.</w:t>
      </w:r>
      <w:r>
        <w:tab/>
        <w:t>Review of GBB and GSOO</w:t>
      </w:r>
      <w:bookmarkEnd w:id="79"/>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80" w:name="_Toc478985942"/>
      <w:bookmarkStart w:id="81" w:name="_Toc478986538"/>
      <w:r>
        <w:rPr>
          <w:rStyle w:val="CharPartNo"/>
        </w:rPr>
        <w:t>Part 9</w:t>
      </w:r>
      <w:r>
        <w:rPr>
          <w:rStyle w:val="CharDivNo"/>
        </w:rPr>
        <w:t> </w:t>
      </w:r>
      <w:r>
        <w:t>—</w:t>
      </w:r>
      <w:r>
        <w:rPr>
          <w:rStyle w:val="CharDivText"/>
          <w:snapToGrid/>
          <w:sz w:val="26"/>
        </w:rPr>
        <w:t> </w:t>
      </w:r>
      <w:r>
        <w:rPr>
          <w:rStyle w:val="CharPartText"/>
        </w:rPr>
        <w:t>Miscellaneous</w:t>
      </w:r>
      <w:bookmarkEnd w:id="80"/>
      <w:bookmarkEnd w:id="81"/>
    </w:p>
    <w:p>
      <w:pPr>
        <w:pStyle w:val="Footnoteheading"/>
      </w:pPr>
      <w:r>
        <w:tab/>
        <w:t>[Heading inserted in Gazette 28 Jun 2013 p. 2959.]</w:t>
      </w:r>
    </w:p>
    <w:p>
      <w:pPr>
        <w:pStyle w:val="Heading5"/>
      </w:pPr>
      <w:bookmarkStart w:id="82" w:name="_Toc478986539"/>
      <w:r>
        <w:rPr>
          <w:rStyle w:val="CharSectno"/>
        </w:rPr>
        <w:t>49</w:t>
      </w:r>
      <w:r>
        <w:t>.</w:t>
      </w:r>
      <w:r>
        <w:tab/>
        <w:t>Maximum civil monetary liabilities</w:t>
      </w:r>
      <w:bookmarkEnd w:id="82"/>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83" w:name="_Toc478986540"/>
      <w:r>
        <w:rPr>
          <w:rStyle w:val="CharSectno"/>
        </w:rPr>
        <w:t>50</w:t>
      </w:r>
      <w:r>
        <w:t>.</w:t>
      </w:r>
      <w:r>
        <w:tab/>
        <w:t>Continuing offences: daily penalties</w:t>
      </w:r>
      <w:bookmarkEnd w:id="83"/>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84" w:name="_Toc478986541"/>
      <w:r>
        <w:rPr>
          <w:rStyle w:val="CharSectno"/>
        </w:rPr>
        <w:t>51</w:t>
      </w:r>
      <w:r>
        <w:t>.</w:t>
      </w:r>
      <w:r>
        <w:tab/>
        <w:t>Supplementary provision for laying documents before Parliament</w:t>
      </w:r>
      <w:bookmarkEnd w:id="84"/>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5" w:name="_Toc478985946"/>
      <w:bookmarkStart w:id="86" w:name="_Toc478986542"/>
      <w:r>
        <w:rPr>
          <w:rStyle w:val="CharSchNo"/>
        </w:rPr>
        <w:t>Schedule 1</w:t>
      </w:r>
      <w:r>
        <w:rPr>
          <w:rStyle w:val="CharSDivNo"/>
        </w:rPr>
        <w:t> </w:t>
      </w:r>
      <w:r>
        <w:t>—</w:t>
      </w:r>
      <w:r>
        <w:rPr>
          <w:rStyle w:val="CharSDivText"/>
        </w:rPr>
        <w:t> </w:t>
      </w:r>
      <w:r>
        <w:rPr>
          <w:rStyle w:val="CharSchText"/>
        </w:rPr>
        <w:t>Civil penalty provisions and amounts</w:t>
      </w:r>
      <w:bookmarkEnd w:id="85"/>
      <w:bookmarkEnd w:id="86"/>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8" w:name="_Toc478985947"/>
      <w:bookmarkStart w:id="89" w:name="_Toc478986543"/>
      <w:r>
        <w:rPr>
          <w:rStyle w:val="CharSchNo"/>
        </w:rPr>
        <w:t>Schedule 2</w:t>
      </w:r>
      <w:r>
        <w:t> — </w:t>
      </w:r>
      <w:r>
        <w:rPr>
          <w:rStyle w:val="CharSchText"/>
        </w:rPr>
        <w:t>Reviewable decisions and procedural decisions</w:t>
      </w:r>
      <w:bookmarkEnd w:id="88"/>
      <w:bookmarkEnd w:id="89"/>
    </w:p>
    <w:p>
      <w:pPr>
        <w:pStyle w:val="yShoulderClause"/>
      </w:pPr>
      <w:r>
        <w:t>[r. 25]</w:t>
      </w:r>
    </w:p>
    <w:p>
      <w:pPr>
        <w:pStyle w:val="yFootnoteheading"/>
        <w:spacing w:before="80" w:after="120"/>
      </w:pPr>
      <w:r>
        <w:tab/>
        <w:t>[Heading inserted in Gazette 28 Jun 2013 p. 2966.]</w:t>
      </w:r>
    </w:p>
    <w:p>
      <w:pPr>
        <w:pStyle w:val="yHeading5"/>
      </w:pPr>
      <w:bookmarkStart w:id="90" w:name="_Toc478986544"/>
      <w:r>
        <w:rPr>
          <w:rStyle w:val="CharSClsNo"/>
        </w:rPr>
        <w:t>1</w:t>
      </w:r>
      <w:r>
        <w:t>.</w:t>
      </w:r>
      <w:r>
        <w:tab/>
        <w:t>Reviewable decisions</w:t>
      </w:r>
      <w:bookmarkEnd w:id="90"/>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91" w:name="_Toc478986545"/>
      <w:r>
        <w:rPr>
          <w:rStyle w:val="CharSClsNo"/>
        </w:rPr>
        <w:t>2</w:t>
      </w:r>
      <w:r>
        <w:t>.</w:t>
      </w:r>
      <w:r>
        <w:tab/>
        <w:t>Procedural decisions</w:t>
      </w:r>
      <w:bookmarkEnd w:id="91"/>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478985950"/>
      <w:bookmarkStart w:id="93" w:name="_Toc478986546"/>
      <w:r>
        <w:t>Notes</w:t>
      </w:r>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94" w:name="_Toc478986547"/>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single" w:sz="8" w:space="0" w:color="auto"/>
            </w:tcBorders>
            <w:shd w:val="clear" w:color="auto" w:fill="auto"/>
          </w:tcPr>
          <w:p>
            <w:pPr>
              <w:pStyle w:val="nTable"/>
              <w:spacing w:after="40"/>
            </w:pPr>
            <w:r>
              <w:rPr>
                <w:i/>
              </w:rPr>
              <w:t>Gas Services Information Amendment Regulations (No. 2) 2016</w:t>
            </w:r>
          </w:p>
        </w:tc>
        <w:tc>
          <w:tcPr>
            <w:tcW w:w="1276" w:type="dxa"/>
            <w:gridSpan w:val="2"/>
            <w:tcBorders>
              <w:top w:val="nil"/>
              <w:bottom w:val="single" w:sz="8" w:space="0" w:color="auto"/>
            </w:tcBorders>
            <w:shd w:val="clear" w:color="auto" w:fill="auto"/>
          </w:tcPr>
          <w:p>
            <w:pPr>
              <w:pStyle w:val="nTable"/>
              <w:spacing w:after="40"/>
            </w:pPr>
            <w:r>
              <w:t>23 Nov 2016 p. 5271</w:t>
            </w:r>
            <w:r>
              <w:noBreakHyphen/>
              <w:t>5</w:t>
            </w:r>
          </w:p>
        </w:tc>
        <w:tc>
          <w:tcPr>
            <w:tcW w:w="2664" w:type="dxa"/>
            <w:tcBorders>
              <w:top w:val="nil"/>
              <w:bottom w:val="single" w:sz="8" w:space="0" w:color="auto"/>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96" w:name="_Toc478985952"/>
      <w:bookmarkStart w:id="97" w:name="_Toc478986548"/>
      <w:r>
        <w:rPr>
          <w:sz w:val="28"/>
        </w:rPr>
        <w:t>Defined terms</w:t>
      </w:r>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0312251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0A28-42B0-443A-809C-1FD288E4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12029</Words>
  <Characters>55939</Characters>
  <Application>Microsoft Office Word</Application>
  <DocSecurity>0</DocSecurity>
  <Lines>1748</Lines>
  <Paragraphs>1235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2012 - 01-h0-01</dc:title>
  <dc:subject/>
  <dc:creator/>
  <cp:keywords/>
  <dc:description/>
  <cp:lastModifiedBy>svcMRProcess</cp:lastModifiedBy>
  <cp:revision>4</cp:revision>
  <cp:lastPrinted>2015-11-30T02:49:00Z</cp:lastPrinted>
  <dcterms:created xsi:type="dcterms:W3CDTF">2018-09-18T23:49:00Z</dcterms:created>
  <dcterms:modified xsi:type="dcterms:W3CDTF">2018-09-18T23:49:00Z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03 Apr 2017</vt:lpwstr>
  </property>
  <property fmtid="{D5CDD505-2E9C-101B-9397-08002B2CF9AE}" pid="7" name="Suffix">
    <vt:lpwstr>01-h0-01</vt:lpwstr>
  </property>
  <property fmtid="{D5CDD505-2E9C-101B-9397-08002B2CF9AE}" pid="8" name="CommencementDate">
    <vt:lpwstr>20170403</vt:lpwstr>
  </property>
</Properties>
</file>