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Tax Assessment Act 2002</w:t>
      </w:r>
      <w:r>
        <w:rPr>
          <w:noProof/>
        </w:rPr>
        <w:b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Tax Assessment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April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Land Tax Assessment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_Toc469994924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r>
      <w:r>
        <w:t>Commencement</w:t>
      </w:r>
      <w:r>
        <w:rPr>
          <w:spacing w:val="-2"/>
        </w:rPr>
        <w:t xml:space="preserve"> and application</w:t>
      </w:r>
      <w:r>
        <w:tab/>
      </w:r>
      <w:r>
        <w:fldChar w:fldCharType="begin"/>
      </w:r>
      <w:r>
        <w:instrText xml:space="preserve"> PAGEREF _Toc469994925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and abbreviations used</w:t>
      </w:r>
      <w:r>
        <w:tab/>
      </w:r>
      <w:r>
        <w:fldChar w:fldCharType="begin"/>
      </w:r>
      <w:r>
        <w:instrText xml:space="preserve"> PAGEREF _Toc469994926 \h </w:instrText>
      </w:r>
      <w:r>
        <w:fldChar w:fldCharType="separate"/>
      </w:r>
      <w:r>
        <w:t>2</w:t>
      </w:r>
      <w:r>
        <w:fldChar w:fldCharType="end"/>
      </w:r>
    </w:p>
    <w:p>
      <w:pPr>
        <w:pStyle w:val="TOC8"/>
        <w:rPr>
          <w:rFonts w:asciiTheme="minorHAnsi" w:eastAsiaTheme="minorEastAsia" w:hAnsiTheme="minorHAnsi" w:cstheme="minorBidi"/>
          <w:szCs w:val="22"/>
        </w:rPr>
      </w:pPr>
      <w:r>
        <w:t>4.</w:t>
      </w:r>
      <w:r>
        <w:tab/>
        <w:t>Tax payment arrangements not affected</w:t>
      </w:r>
      <w:r>
        <w:tab/>
      </w:r>
      <w:r>
        <w:fldChar w:fldCharType="begin"/>
      </w:r>
      <w:r>
        <w:instrText xml:space="preserve"> PAGEREF _Toc469994927 \h </w:instrText>
      </w:r>
      <w:r>
        <w:fldChar w:fldCharType="separate"/>
      </w:r>
      <w:r>
        <w:t>3</w:t>
      </w:r>
      <w:r>
        <w:fldChar w:fldCharType="end"/>
      </w:r>
    </w:p>
    <w:p>
      <w:pPr>
        <w:pStyle w:val="TOC8"/>
        <w:rPr>
          <w:rFonts w:asciiTheme="minorHAnsi" w:eastAsiaTheme="minorEastAsia" w:hAnsiTheme="minorHAnsi" w:cstheme="minorBidi"/>
          <w:szCs w:val="22"/>
        </w:rPr>
      </w:pPr>
      <w:r>
        <w:t>5.</w:t>
      </w:r>
      <w:r>
        <w:tab/>
        <w:t>Taxpayer’s options in discharging liability to pay assessed amount</w:t>
      </w:r>
      <w:r>
        <w:tab/>
      </w:r>
      <w:r>
        <w:fldChar w:fldCharType="begin"/>
      </w:r>
      <w:r>
        <w:instrText xml:space="preserve"> PAGEREF _Toc469994928 \h </w:instrText>
      </w:r>
      <w:r>
        <w:fldChar w:fldCharType="separate"/>
      </w:r>
      <w:r>
        <w:t>3</w:t>
      </w:r>
      <w:r>
        <w:fldChar w:fldCharType="end"/>
      </w:r>
    </w:p>
    <w:p>
      <w:pPr>
        <w:pStyle w:val="TOC8"/>
        <w:rPr>
          <w:rFonts w:asciiTheme="minorHAnsi" w:eastAsiaTheme="minorEastAsia" w:hAnsiTheme="minorHAnsi" w:cstheme="minorBidi"/>
          <w:szCs w:val="22"/>
        </w:rPr>
      </w:pPr>
      <w:r>
        <w:t>6.</w:t>
      </w:r>
      <w:r>
        <w:tab/>
        <w:t>Paying assessed amount in one discounted payment (option 1)</w:t>
      </w:r>
      <w:r>
        <w:tab/>
      </w:r>
      <w:r>
        <w:fldChar w:fldCharType="begin"/>
      </w:r>
      <w:r>
        <w:instrText xml:space="preserve"> PAGEREF _Toc469994929 \h </w:instrText>
      </w:r>
      <w:r>
        <w:fldChar w:fldCharType="separate"/>
      </w:r>
      <w:r>
        <w:t>3</w:t>
      </w:r>
      <w:r>
        <w:fldChar w:fldCharType="end"/>
      </w:r>
    </w:p>
    <w:p>
      <w:pPr>
        <w:pStyle w:val="TOC8"/>
        <w:rPr>
          <w:rFonts w:asciiTheme="minorHAnsi" w:eastAsiaTheme="minorEastAsia" w:hAnsiTheme="minorHAnsi" w:cstheme="minorBidi"/>
          <w:szCs w:val="22"/>
        </w:rPr>
      </w:pPr>
      <w:r>
        <w:t>7.</w:t>
      </w:r>
      <w:r>
        <w:tab/>
        <w:t>Paying assessed amount in 2 instalments (option 2)</w:t>
      </w:r>
      <w:r>
        <w:tab/>
      </w:r>
      <w:r>
        <w:fldChar w:fldCharType="begin"/>
      </w:r>
      <w:r>
        <w:instrText xml:space="preserve"> PAGEREF _Toc469994930 \h </w:instrText>
      </w:r>
      <w:r>
        <w:fldChar w:fldCharType="separate"/>
      </w:r>
      <w:r>
        <w:t>3</w:t>
      </w:r>
      <w:r>
        <w:fldChar w:fldCharType="end"/>
      </w:r>
    </w:p>
    <w:p>
      <w:pPr>
        <w:pStyle w:val="TOC8"/>
        <w:rPr>
          <w:rFonts w:asciiTheme="minorHAnsi" w:eastAsiaTheme="minorEastAsia" w:hAnsiTheme="minorHAnsi" w:cstheme="minorBidi"/>
          <w:szCs w:val="22"/>
        </w:rPr>
      </w:pPr>
      <w:r>
        <w:t>8.</w:t>
      </w:r>
      <w:r>
        <w:tab/>
        <w:t>Paying assessed amount in 3 instalments (option 3)</w:t>
      </w:r>
      <w:r>
        <w:tab/>
      </w:r>
      <w:r>
        <w:fldChar w:fldCharType="begin"/>
      </w:r>
      <w:r>
        <w:instrText xml:space="preserve"> PAGEREF _Toc469994931 \h </w:instrText>
      </w:r>
      <w:r>
        <w:fldChar w:fldCharType="separate"/>
      </w:r>
      <w:r>
        <w:t>4</w:t>
      </w:r>
      <w:r>
        <w:fldChar w:fldCharType="end"/>
      </w:r>
    </w:p>
    <w:p>
      <w:pPr>
        <w:pStyle w:val="TOC8"/>
        <w:rPr>
          <w:rFonts w:asciiTheme="minorHAnsi" w:eastAsiaTheme="minorEastAsia" w:hAnsiTheme="minorHAnsi" w:cstheme="minorBidi"/>
          <w:szCs w:val="22"/>
        </w:rPr>
      </w:pPr>
      <w:r>
        <w:t>9.</w:t>
      </w:r>
      <w:r>
        <w:tab/>
        <w:t>Other arrangements for paying assessed amount</w:t>
      </w:r>
      <w:r>
        <w:tab/>
      </w:r>
      <w:r>
        <w:fldChar w:fldCharType="begin"/>
      </w:r>
      <w:r>
        <w:instrText xml:space="preserve"> PAGEREF _Toc469994932 \h </w:instrText>
      </w:r>
      <w:r>
        <w:fldChar w:fldCharType="separate"/>
      </w:r>
      <w:r>
        <w:t>5</w:t>
      </w:r>
      <w:r>
        <w:fldChar w:fldCharType="end"/>
      </w:r>
    </w:p>
    <w:p>
      <w:pPr>
        <w:pStyle w:val="TOC8"/>
        <w:rPr>
          <w:rFonts w:asciiTheme="minorHAnsi" w:eastAsiaTheme="minorEastAsia" w:hAnsiTheme="minorHAnsi" w:cstheme="minorBidi"/>
          <w:szCs w:val="22"/>
        </w:rPr>
      </w:pPr>
      <w:r>
        <w:t>10A.</w:t>
      </w:r>
      <w:r>
        <w:tab/>
        <w:t>Incorrect payment of assessed amount</w:t>
      </w:r>
      <w:r>
        <w:tab/>
      </w:r>
      <w:r>
        <w:fldChar w:fldCharType="begin"/>
      </w:r>
      <w:r>
        <w:instrText xml:space="preserve"> PAGEREF _Toc469994933 \h </w:instrText>
      </w:r>
      <w:r>
        <w:fldChar w:fldCharType="separate"/>
      </w:r>
      <w:r>
        <w:t>6</w:t>
      </w:r>
      <w:r>
        <w:fldChar w:fldCharType="end"/>
      </w:r>
    </w:p>
    <w:p>
      <w:pPr>
        <w:pStyle w:val="TOC8"/>
        <w:rPr>
          <w:rFonts w:asciiTheme="minorHAnsi" w:eastAsiaTheme="minorEastAsia" w:hAnsiTheme="minorHAnsi" w:cstheme="minorBidi"/>
          <w:szCs w:val="22"/>
        </w:rPr>
      </w:pPr>
      <w:r>
        <w:t>10.</w:t>
      </w:r>
      <w:r>
        <w:tab/>
        <w:t>Instalments to be multiples of 5 cents</w:t>
      </w:r>
      <w:r>
        <w:tab/>
      </w:r>
      <w:r>
        <w:fldChar w:fldCharType="begin"/>
      </w:r>
      <w:r>
        <w:instrText xml:space="preserve"> PAGEREF _Toc469994934 \h </w:instrText>
      </w:r>
      <w:r>
        <w:fldChar w:fldCharType="separate"/>
      </w:r>
      <w:r>
        <w:t>7</w:t>
      </w:r>
      <w:r>
        <w:fldChar w:fldCharType="end"/>
      </w:r>
    </w:p>
    <w:p>
      <w:pPr>
        <w:pStyle w:val="TOC8"/>
        <w:rPr>
          <w:rFonts w:asciiTheme="minorHAnsi" w:eastAsiaTheme="minorEastAsia" w:hAnsiTheme="minorHAnsi" w:cstheme="minorBidi"/>
          <w:szCs w:val="22"/>
        </w:rPr>
      </w:pPr>
      <w:r>
        <w:t>11.</w:t>
      </w:r>
      <w:r>
        <w:tab/>
        <w:t>When full amount of land tax becomes due and payable</w:t>
      </w:r>
      <w:r>
        <w:tab/>
      </w:r>
      <w:r>
        <w:fldChar w:fldCharType="begin"/>
      </w:r>
      <w:r>
        <w:instrText xml:space="preserve"> PAGEREF _Toc469994935 \h </w:instrText>
      </w:r>
      <w:r>
        <w:fldChar w:fldCharType="separate"/>
      </w:r>
      <w:r>
        <w:t>7</w:t>
      </w:r>
      <w:r>
        <w:fldChar w:fldCharType="end"/>
      </w:r>
    </w:p>
    <w:p>
      <w:pPr>
        <w:pStyle w:val="TOC8"/>
        <w:rPr>
          <w:rFonts w:asciiTheme="minorHAnsi" w:eastAsiaTheme="minorEastAsia" w:hAnsiTheme="minorHAnsi" w:cstheme="minorBidi"/>
          <w:szCs w:val="22"/>
        </w:rPr>
      </w:pPr>
      <w:r>
        <w:t>12.</w:t>
      </w:r>
      <w:r>
        <w:tab/>
        <w:t>Taxable authorities</w:t>
      </w:r>
      <w:r>
        <w:tab/>
      </w:r>
      <w:r>
        <w:fldChar w:fldCharType="begin"/>
      </w:r>
      <w:r>
        <w:instrText xml:space="preserve"> PAGEREF _Toc469994936 \h </w:instrText>
      </w:r>
      <w:r>
        <w:fldChar w:fldCharType="separate"/>
      </w:r>
      <w:r>
        <w:t>7</w:t>
      </w:r>
      <w:r>
        <w:fldChar w:fldCharType="end"/>
      </w:r>
    </w:p>
    <w:p>
      <w:pPr>
        <w:pStyle w:val="TOC8"/>
        <w:rPr>
          <w:rFonts w:asciiTheme="minorHAnsi" w:eastAsiaTheme="minorEastAsia" w:hAnsiTheme="minorHAnsi" w:cstheme="minorBidi"/>
          <w:szCs w:val="22"/>
        </w:rPr>
      </w:pPr>
      <w:r>
        <w:t>13A.</w:t>
      </w:r>
      <w:r>
        <w:tab/>
        <w:t>Taxable value: prescribed percentage</w:t>
      </w:r>
      <w:r>
        <w:tab/>
      </w:r>
      <w:r>
        <w:fldChar w:fldCharType="begin"/>
      </w:r>
      <w:r>
        <w:instrText xml:space="preserve"> PAGEREF _Toc469994937 \h </w:instrText>
      </w:r>
      <w:r>
        <w:fldChar w:fldCharType="separate"/>
      </w:r>
      <w:r>
        <w:t>9</w:t>
      </w:r>
      <w:r>
        <w:fldChar w:fldCharType="end"/>
      </w:r>
    </w:p>
    <w:p>
      <w:pPr>
        <w:pStyle w:val="TOC8"/>
        <w:rPr>
          <w:rFonts w:asciiTheme="minorHAnsi" w:eastAsiaTheme="minorEastAsia" w:hAnsiTheme="minorHAnsi" w:cstheme="minorBidi"/>
          <w:szCs w:val="22"/>
        </w:rPr>
      </w:pPr>
      <w:r>
        <w:t>13.</w:t>
      </w:r>
      <w:r>
        <w:tab/>
        <w:t>Inner city area</w:t>
      </w:r>
      <w:r>
        <w:tab/>
      </w:r>
      <w:r>
        <w:fldChar w:fldCharType="begin"/>
      </w:r>
      <w:r>
        <w:instrText xml:space="preserve"> PAGEREF _Toc469994938 \h </w:instrText>
      </w:r>
      <w:r>
        <w:fldChar w:fldCharType="separate"/>
      </w:r>
      <w:r>
        <w:t>9</w:t>
      </w:r>
      <w:r>
        <w:fldChar w:fldCharType="end"/>
      </w:r>
    </w:p>
    <w:p>
      <w:pPr>
        <w:pStyle w:val="TOC8"/>
        <w:rPr>
          <w:rFonts w:asciiTheme="minorHAnsi" w:eastAsiaTheme="minorEastAsia" w:hAnsiTheme="minorHAnsi" w:cstheme="minorBidi"/>
          <w:szCs w:val="22"/>
        </w:rPr>
      </w:pPr>
      <w:r>
        <w:t>14.</w:t>
      </w:r>
      <w:r>
        <w:tab/>
        <w:t>Repeal and savings</w:t>
      </w:r>
      <w:r>
        <w:tab/>
      </w:r>
      <w:r>
        <w:fldChar w:fldCharType="begin"/>
      </w:r>
      <w:r>
        <w:instrText xml:space="preserve"> PAGEREF _Toc469994939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Inner city area</w:t>
      </w:r>
    </w:p>
    <w:p>
      <w:pPr>
        <w:pStyle w:val="TOC2"/>
        <w:tabs>
          <w:tab w:val="right" w:leader="dot" w:pos="7077"/>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_Toc469994942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April 2017</w:t>
            </w:r>
          </w:p>
        </w:tc>
      </w:tr>
    </w:tbl>
    <w:p>
      <w:pPr>
        <w:pStyle w:val="WA"/>
        <w:spacing w:before="12"/>
      </w:pPr>
      <w:r>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3" w:name="_Toc469994924"/>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rPr>
          <w:vertAlign w:val="superscript"/>
        </w:rPr>
        <w:t> 1</w:t>
      </w:r>
      <w:r>
        <w:t>.</w:t>
      </w:r>
    </w:p>
    <w:p>
      <w:pPr>
        <w:pStyle w:val="Heading5"/>
        <w:rPr>
          <w:spacing w:val="-2"/>
        </w:rPr>
      </w:pPr>
      <w:bookmarkStart w:id="4" w:name="_Toc469994925"/>
      <w:r>
        <w:rPr>
          <w:rStyle w:val="CharSectno"/>
        </w:rPr>
        <w:t>2</w:t>
      </w:r>
      <w:r>
        <w:rPr>
          <w:spacing w:val="-2"/>
        </w:rPr>
        <w:t>.</w:t>
      </w:r>
      <w:r>
        <w:rPr>
          <w:spacing w:val="-2"/>
        </w:rPr>
        <w:tab/>
      </w:r>
      <w:r>
        <w:t>Commencement</w:t>
      </w:r>
      <w:r>
        <w:rPr>
          <w:spacing w:val="-2"/>
        </w:rPr>
        <w:t xml:space="preserve"> and application</w:t>
      </w:r>
      <w:bookmarkEnd w:id="4"/>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rPr>
          <w:vertAlign w:val="superscript"/>
        </w:rPr>
        <w:t> 1</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2</w:t>
      </w:r>
      <w:r>
        <w:t xml:space="preserve"> section 5(1), that is payable in respect of an assessment year that ends before that day.</w:t>
      </w:r>
    </w:p>
    <w:p>
      <w:pPr>
        <w:pStyle w:val="Heading5"/>
      </w:pPr>
      <w:bookmarkStart w:id="5" w:name="_Toc469994926"/>
      <w:r>
        <w:rPr>
          <w:rStyle w:val="CharSectno"/>
        </w:rPr>
        <w:t>3</w:t>
      </w:r>
      <w:r>
        <w:t>.</w:t>
      </w:r>
      <w:r>
        <w:tab/>
        <w:t>Terms and abbreviations used</w:t>
      </w:r>
      <w:bookmarkEnd w:id="5"/>
      <w:r>
        <w:t xml:space="preserve"> </w:t>
      </w:r>
    </w:p>
    <w:p>
      <w:pPr>
        <w:pStyle w:val="Subsection"/>
        <w:keepNext/>
        <w:keepLines/>
      </w:pPr>
      <w:r>
        <w:tab/>
        <w:t>(1)</w:t>
      </w:r>
      <w:r>
        <w:tab/>
        <w:t xml:space="preserve">In these regulations — </w:t>
      </w:r>
    </w:p>
    <w:p>
      <w:pPr>
        <w:pStyle w:val="Defstart"/>
        <w:keepNex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 and</w:t>
      </w:r>
    </w:p>
    <w:p>
      <w:pPr>
        <w:pStyle w:val="Defpara"/>
      </w:pPr>
      <w:r>
        <w:tab/>
        <w:t>(b)</w:t>
      </w:r>
      <w:r>
        <w:tab/>
        <w:t xml:space="preserve">any penalty tax under the </w:t>
      </w:r>
      <w:r>
        <w:rPr>
          <w:i/>
        </w:rPr>
        <w:t>Taxation Administration Act 2003</w:t>
      </w:r>
      <w:r>
        <w:t xml:space="preserve"> section 26 or 27 that is due and payable in relation to land tax; and</w:t>
      </w:r>
    </w:p>
    <w:p>
      <w:pPr>
        <w:pStyle w:val="Defpara"/>
      </w:pPr>
      <w:r>
        <w:tab/>
        <w:t>(c)</w:t>
      </w:r>
      <w:r>
        <w:tab/>
        <w:t xml:space="preserve">any interest under the </w:t>
      </w:r>
      <w:r>
        <w:rPr>
          <w:i/>
        </w:rPr>
        <w:t>Taxation Administration Act 2003</w:t>
      </w:r>
      <w:r>
        <w:t xml:space="preserve"> section 47 that is due and payable in relation to land tax; and</w:t>
      </w:r>
    </w:p>
    <w:p>
      <w:pPr>
        <w:pStyle w:val="Defpara"/>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pPr>
      <w:r>
        <w:tab/>
        <w:t>(e)</w:t>
      </w:r>
      <w:r>
        <w:tab/>
        <w:t>any charge due and payable under regulation 8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Heading5"/>
        <w:spacing w:before="240"/>
      </w:pPr>
      <w:bookmarkStart w:id="6" w:name="_Toc469994927"/>
      <w:r>
        <w:rPr>
          <w:rStyle w:val="CharSectno"/>
        </w:rPr>
        <w:t>4</w:t>
      </w:r>
      <w:r>
        <w:t>.</w:t>
      </w:r>
      <w:r>
        <w:tab/>
        <w:t>Tax payment arrangements not affected</w:t>
      </w:r>
      <w:bookmarkEnd w:id="6"/>
    </w:p>
    <w:p>
      <w:pPr>
        <w:pStyle w:val="Subsection"/>
        <w:spacing w:before="180"/>
      </w:pPr>
      <w:r>
        <w:tab/>
      </w:r>
      <w:r>
        <w:tab/>
        <w:t>Nothing in these regulations affects the payment of land tax under a tax payment arrangement.</w:t>
      </w:r>
    </w:p>
    <w:p>
      <w:pPr>
        <w:pStyle w:val="Heading5"/>
        <w:spacing w:before="240"/>
      </w:pPr>
      <w:bookmarkStart w:id="7" w:name="_Toc469994928"/>
      <w:r>
        <w:rPr>
          <w:rStyle w:val="CharSectno"/>
        </w:rPr>
        <w:t>5</w:t>
      </w:r>
      <w:r>
        <w:t>.</w:t>
      </w:r>
      <w:r>
        <w:tab/>
        <w:t>Taxpayer’s options in discharging liability to pay assessed amount</w:t>
      </w:r>
      <w:bookmarkEnd w:id="7"/>
    </w:p>
    <w:p>
      <w:pPr>
        <w:pStyle w:val="Subsection"/>
        <w:spacing w:before="180"/>
      </w:pPr>
      <w:r>
        <w:tab/>
      </w:r>
      <w:r>
        <w:tab/>
        <w:t>A taxpayer may discharge a liability to pay an assessed amount by paying in accordance with regulation 6, 7, 8 or 9.</w:t>
      </w:r>
    </w:p>
    <w:p>
      <w:pPr>
        <w:pStyle w:val="Heading5"/>
        <w:spacing w:before="240"/>
      </w:pPr>
      <w:bookmarkStart w:id="8" w:name="_Toc469994929"/>
      <w:r>
        <w:rPr>
          <w:rStyle w:val="CharSectno"/>
        </w:rPr>
        <w:t>6</w:t>
      </w:r>
      <w:r>
        <w:t>.</w:t>
      </w:r>
      <w:r>
        <w:tab/>
        <w:t>Paying assessed amount in one discounted payment (option 1)</w:t>
      </w:r>
      <w:bookmarkEnd w:id="8"/>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object w:dxaOrig="3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6.5pt" o:ole="">
            <v:imagedata r:id="rId23" o:title=""/>
          </v:shape>
          <o:OLEObject Type="Embed" ProgID="Equation.3" ShapeID="_x0000_i1025" DrawAspect="Content" ObjectID="_1644212864" r:id="rId24"/>
        </w:object>
      </w:r>
    </w:p>
    <w:p>
      <w:pPr>
        <w:pStyle w:val="Heading5"/>
        <w:spacing w:before="240"/>
      </w:pPr>
      <w:bookmarkStart w:id="9" w:name="_Toc469994930"/>
      <w:r>
        <w:rPr>
          <w:rStyle w:val="CharSectno"/>
        </w:rPr>
        <w:t>7</w:t>
      </w:r>
      <w:r>
        <w:t>.</w:t>
      </w:r>
      <w:r>
        <w:tab/>
        <w:t>Paying assessed amount in 2 instalments (option 2)</w:t>
      </w:r>
      <w:bookmarkEnd w:id="9"/>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200" w:dyaOrig="620">
          <v:shape id="_x0000_i1026" type="#_x0000_t75" style="width:160.5pt;height:30.75pt" o:ole="">
            <v:imagedata r:id="rId25" o:title=""/>
          </v:shape>
          <o:OLEObject Type="Embed" ProgID="Equation.3" ShapeID="_x0000_i1026" DrawAspect="Content" ObjectID="_1644212865" r:id="rId26"/>
        </w:obje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object w:dxaOrig="3060" w:dyaOrig="620">
          <v:shape id="_x0000_i1027" type="#_x0000_t75" style="width:153pt;height:30.75pt" o:ole="">
            <v:imagedata r:id="rId27" o:title=""/>
          </v:shape>
          <o:OLEObject Type="Embed" ProgID="Equation.3" ShapeID="_x0000_i1027" DrawAspect="Content" ObjectID="_1644212866" r:id="rId28"/>
        </w:object>
      </w:r>
    </w:p>
    <w:p>
      <w:pPr>
        <w:pStyle w:val="Footnotesection"/>
      </w:pPr>
      <w:r>
        <w:tab/>
        <w:t>[Regulation 7 amended in Gazette 17 Nov 2009 p. 4633.]</w:t>
      </w:r>
    </w:p>
    <w:p>
      <w:pPr>
        <w:pStyle w:val="Heading5"/>
      </w:pPr>
      <w:bookmarkStart w:id="10" w:name="_Toc469994931"/>
      <w:r>
        <w:rPr>
          <w:rStyle w:val="CharSectno"/>
        </w:rPr>
        <w:t>8</w:t>
      </w:r>
      <w:r>
        <w:t>.</w:t>
      </w:r>
      <w:r>
        <w:tab/>
        <w:t>Paying assessed amount in 3 instalments (option 3)</w:t>
      </w:r>
      <w:bookmarkEnd w:id="10"/>
    </w:p>
    <w:p>
      <w:pPr>
        <w:pStyle w:val="Subsection"/>
      </w:pPr>
      <w:r>
        <w:tab/>
        <w:t>(1)</w:t>
      </w:r>
      <w:r>
        <w:tab/>
        <w:t>A taxpayer may discharge a liability to pay an assessed amount by paying in 3 instalments that, in accordance with the formulas set out in subregulations (2), (3) and (4), include a charge of 2%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760" w:dyaOrig="620">
          <v:shape id="_x0000_i1028" type="#_x0000_t75" style="width:187.5pt;height:30.75pt" o:ole="">
            <v:imagedata r:id="rId29" o:title=""/>
          </v:shape>
          <o:OLEObject Type="Embed" ProgID="Equation.3" ShapeID="_x0000_i1028" DrawAspect="Content" ObjectID="_1644212867" r:id="rId30"/>
        </w:obje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object w:dxaOrig="3640" w:dyaOrig="620">
          <v:shape id="_x0000_i1029" type="#_x0000_t75" style="width:182.25pt;height:30.75pt" o:ole="">
            <v:imagedata r:id="rId31" o:title=""/>
          </v:shape>
          <o:OLEObject Type="Embed" ProgID="Equation.3" ShapeID="_x0000_i1029" DrawAspect="Content" ObjectID="_1644212868" r:id="rId32"/>
        </w:object>
      </w:r>
    </w:p>
    <w:p>
      <w:pPr>
        <w:pStyle w:val="Subsection"/>
        <w:keepNext/>
        <w:spacing w:after="120"/>
      </w:pPr>
      <w:r>
        <w:tab/>
        <w:t>(4)</w:t>
      </w:r>
      <w:r>
        <w:tab/>
        <w:t xml:space="preserve">The third instalment is due and payable within 240 days after the date of the assessment notice and is the amount calculated using the formula — </w:t>
      </w:r>
    </w:p>
    <w:p>
      <w:pPr>
        <w:pStyle w:val="Equation"/>
        <w:jc w:val="center"/>
      </w:pPr>
      <w:r>
        <w:rPr>
          <w:position w:val="-24"/>
        </w:rPr>
        <w:object w:dxaOrig="3440" w:dyaOrig="620">
          <v:shape id="_x0000_i1030" type="#_x0000_t75" style="width:172.5pt;height:30.75pt" o:ole="">
            <v:imagedata r:id="rId33" o:title=""/>
          </v:shape>
          <o:OLEObject Type="Embed" ProgID="Equation.3" ShapeID="_x0000_i1030" DrawAspect="Content" ObjectID="_1644212869" r:id="rId34"/>
        </w:object>
      </w:r>
    </w:p>
    <w:p>
      <w:pPr>
        <w:pStyle w:val="Footnotesection"/>
      </w:pPr>
      <w:r>
        <w:tab/>
        <w:t>[Regulation 8 amended in Gazette 17 Nov 2009 p. 4633.]</w:t>
      </w:r>
    </w:p>
    <w:p>
      <w:pPr>
        <w:pStyle w:val="Heading5"/>
      </w:pPr>
      <w:bookmarkStart w:id="11" w:name="_Toc469994932"/>
      <w:r>
        <w:rPr>
          <w:rStyle w:val="CharSectno"/>
        </w:rPr>
        <w:t>9</w:t>
      </w:r>
      <w:r>
        <w:t>.</w:t>
      </w:r>
      <w:r>
        <w:tab/>
        <w:t>Other arrangements for paying assessed amount</w:t>
      </w:r>
      <w:bookmarkEnd w:id="11"/>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2% of (RA + DA), is to be divided into 2 equal instalments.</w:t>
      </w:r>
    </w:p>
    <w:p>
      <w:pPr>
        <w:pStyle w:val="Subsection"/>
      </w:pPr>
      <w:r>
        <w:tab/>
        <w:t>(3)</w:t>
      </w:r>
      <w:r>
        <w:tab/>
        <w:t>The first of those instalments is due and payable by the taxpayer within 175 days after the date of the assessment notice.</w:t>
      </w:r>
    </w:p>
    <w:p>
      <w:pPr>
        <w:pStyle w:val="Subsection"/>
      </w:pPr>
      <w:r>
        <w:tab/>
        <w:t>(4)</w:t>
      </w:r>
      <w:r>
        <w:tab/>
        <w:t>The second of those instalments is due and payable by the taxpayer within 240 days after the date of the assessment notice.</w:t>
      </w:r>
    </w:p>
    <w:p>
      <w:pPr>
        <w:pStyle w:val="Footnotesection"/>
      </w:pPr>
      <w:r>
        <w:tab/>
        <w:t>[Regulation 9 amended in Gazette 17 Nov 2009 p. 4633-4.]</w:t>
      </w:r>
    </w:p>
    <w:p>
      <w:pPr>
        <w:pStyle w:val="Heading5"/>
      </w:pPr>
      <w:bookmarkStart w:id="12" w:name="_Toc469994933"/>
      <w:r>
        <w:rPr>
          <w:rStyle w:val="CharSectno"/>
        </w:rPr>
        <w:t>10A</w:t>
      </w:r>
      <w:r>
        <w:t>.</w:t>
      </w:r>
      <w:r>
        <w:tab/>
        <w:t>Incorrect payment of assessed amount</w:t>
      </w:r>
      <w:bookmarkEnd w:id="12"/>
    </w:p>
    <w:p>
      <w:pPr>
        <w:pStyle w:val="Subsection"/>
        <w:keepNext/>
      </w:pPr>
      <w:r>
        <w:tab/>
        <w:t>(1)</w:t>
      </w:r>
      <w:r>
        <w:tab/>
        <w:t xml:space="preserve">In this regulation — </w:t>
      </w:r>
    </w:p>
    <w:p>
      <w:pPr>
        <w:pStyle w:val="Defstart"/>
      </w:pPr>
      <w:r>
        <w:tab/>
      </w:r>
      <w:r>
        <w:rPr>
          <w:rStyle w:val="CharDefText"/>
        </w:rPr>
        <w:t>incorrect payment</w:t>
      </w:r>
      <w:r>
        <w:t xml:space="preserve"> means a payment to discharge a liability to pay an assessed amount that is not in accordance with regulation 6, 7, 8 or 9 where — </w:t>
      </w:r>
    </w:p>
    <w:p>
      <w:pPr>
        <w:pStyle w:val="Defpara"/>
      </w:pPr>
      <w:r>
        <w:tab/>
        <w:t>(a)</w:t>
      </w:r>
      <w:r>
        <w:tab/>
        <w:t xml:space="preserve">the Commissioner is satisfied that it is clear from the circumstances in which the payment is made that the payment was intended to be an amount or instalment due and payable under regulation 6, 7(2), 8(2) or (3) or 9(3) (the </w:t>
      </w:r>
      <w:r>
        <w:rPr>
          <w:rStyle w:val="CharDefText"/>
        </w:rPr>
        <w:t>relevant provision</w:t>
      </w:r>
      <w:r>
        <w:t>); and</w:t>
      </w:r>
    </w:p>
    <w:p>
      <w:pPr>
        <w:pStyle w:val="Defpara"/>
      </w:pPr>
      <w:r>
        <w:tab/>
        <w:t>(b)</w:t>
      </w:r>
      <w:r>
        <w:tab/>
        <w:t>the payment was received by the Commissioner within 7 days after the amount or instalment was due and payable under the relevant provision.</w:t>
      </w:r>
    </w:p>
    <w:p>
      <w:pPr>
        <w:pStyle w:val="Subsection"/>
        <w:keepNext/>
      </w:pPr>
      <w:r>
        <w:tab/>
        <w:t>(2)</w:t>
      </w:r>
      <w:r>
        <w:tab/>
        <w:t xml:space="preserve">If this subregulation applies in respect of an incorrect payment — </w:t>
      </w:r>
    </w:p>
    <w:p>
      <w:pPr>
        <w:pStyle w:val="Indenta"/>
        <w:keepNext/>
      </w:pPr>
      <w:r>
        <w:tab/>
        <w:t>(a)</w:t>
      </w:r>
      <w:r>
        <w:tab/>
        <w:t xml:space="preserve">the payment — </w:t>
      </w:r>
    </w:p>
    <w:p>
      <w:pPr>
        <w:pStyle w:val="Indenti"/>
      </w:pPr>
      <w:r>
        <w:tab/>
        <w:t>(i)</w:t>
      </w:r>
      <w:r>
        <w:tab/>
        <w:t>is to be taken to have been made under the relevant provision; and</w:t>
      </w:r>
    </w:p>
    <w:p>
      <w:pPr>
        <w:pStyle w:val="Indenti"/>
      </w:pPr>
      <w:r>
        <w:tab/>
        <w:t>(ii)</w:t>
      </w:r>
      <w:r>
        <w:tab/>
        <w:t>so far as is practicable, the relevant provision applies in respect of the payment;</w:t>
      </w:r>
    </w:p>
    <w:p>
      <w:pPr>
        <w:pStyle w:val="Indenta"/>
      </w:pPr>
      <w:r>
        <w:tab/>
      </w:r>
      <w:r>
        <w:tab/>
        <w:t>and</w:t>
      </w:r>
    </w:p>
    <w:p>
      <w:pPr>
        <w:pStyle w:val="Indenta"/>
      </w:pPr>
      <w:r>
        <w:tab/>
        <w:t>(b)</w:t>
      </w:r>
      <w:r>
        <w:tab/>
        <w:t>regulations 9(1) and (2) and 11 do not apply in respect of the payment.</w:t>
      </w:r>
    </w:p>
    <w:p>
      <w:pPr>
        <w:pStyle w:val="Subsection"/>
      </w:pPr>
      <w:r>
        <w:tab/>
        <w:t>(3)</w:t>
      </w:r>
      <w:r>
        <w:tab/>
        <w:t xml:space="preserve">Subregulation (2) applies in respect of an incorrect payment — </w:t>
      </w:r>
    </w:p>
    <w:p>
      <w:pPr>
        <w:pStyle w:val="Indenta"/>
      </w:pPr>
      <w:r>
        <w:tab/>
        <w:t>(a)</w:t>
      </w:r>
      <w:r>
        <w:tab/>
        <w:t>if the payment is equal to or more than the amount or instalment due under the relevant provision; or</w:t>
      </w:r>
    </w:p>
    <w:p>
      <w:pPr>
        <w:pStyle w:val="Indenta"/>
      </w:pPr>
      <w:r>
        <w:tab/>
        <w:t>(b)</w:t>
      </w:r>
      <w:r>
        <w:tab/>
        <w:t xml:space="preserve">if — </w:t>
      </w:r>
    </w:p>
    <w:p>
      <w:pPr>
        <w:pStyle w:val="Indenti"/>
      </w:pPr>
      <w:r>
        <w:tab/>
        <w:t>(i)</w:t>
      </w:r>
      <w:r>
        <w:tab/>
        <w:t xml:space="preserve">the payment is less than the amount or instalment due under the relevant provision; and </w:t>
      </w:r>
    </w:p>
    <w:p>
      <w:pPr>
        <w:pStyle w:val="Indenti"/>
      </w:pPr>
      <w:r>
        <w:tab/>
        <w:t>(ii)</w:t>
      </w:r>
      <w:r>
        <w:tab/>
        <w:t>the amount of the shortfall has been paid by the taxpayer immediately in accordance with subregulation (4).</w:t>
      </w:r>
    </w:p>
    <w:p>
      <w:pPr>
        <w:pStyle w:val="Subsection"/>
      </w:pPr>
      <w:r>
        <w:tab/>
        <w:t>(4)</w:t>
      </w:r>
      <w:r>
        <w:tab/>
        <w:t>If an incorrect payment is less than the amount or instalment due under the relevant provision the Commissioner is to deduct the amount of the payment from that amount or instalment and the amount of the shortfall is immediately due and payable by the taxpayer.</w:t>
      </w:r>
    </w:p>
    <w:p>
      <w:pPr>
        <w:pStyle w:val="Footnotesection"/>
      </w:pPr>
      <w:r>
        <w:tab/>
        <w:t>[Regulation 10A inserted in Gazette 18 Sep 2015 p. 3814</w:t>
      </w:r>
      <w:r>
        <w:noBreakHyphen/>
        <w:t xml:space="preserve">15.] </w:t>
      </w:r>
    </w:p>
    <w:p>
      <w:pPr>
        <w:pStyle w:val="Heading5"/>
      </w:pPr>
      <w:bookmarkStart w:id="13" w:name="_Toc469994934"/>
      <w:r>
        <w:rPr>
          <w:rStyle w:val="CharSectno"/>
        </w:rPr>
        <w:t>10</w:t>
      </w:r>
      <w:r>
        <w:t>.</w:t>
      </w:r>
      <w:r>
        <w:tab/>
        <w:t>Instalments to be multiples of 5 cents</w:t>
      </w:r>
      <w:bookmarkEnd w:id="13"/>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14" w:name="_Toc469994935"/>
      <w:r>
        <w:rPr>
          <w:rStyle w:val="CharSectno"/>
        </w:rPr>
        <w:t>11</w:t>
      </w:r>
      <w:r>
        <w:t>.</w:t>
      </w:r>
      <w:r>
        <w:tab/>
        <w:t>When full amount of land tax becomes due and payable</w:t>
      </w:r>
      <w:bookmarkEnd w:id="14"/>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15" w:name="_Toc469994936"/>
      <w:r>
        <w:rPr>
          <w:rStyle w:val="CharSectno"/>
        </w:rPr>
        <w:t>12</w:t>
      </w:r>
      <w:r>
        <w:t>.</w:t>
      </w:r>
      <w:r>
        <w:tab/>
        <w:t>Taxable authorities</w:t>
      </w:r>
      <w:bookmarkEnd w:id="15"/>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keepNext/>
      </w:pPr>
      <w:r>
        <w:tab/>
        <w:t>(2)</w:t>
      </w:r>
      <w:r>
        <w:tab/>
        <w:t xml:space="preserve">Subregulation (1) applies to the following bodies — </w:t>
      </w:r>
    </w:p>
    <w:p>
      <w:pPr>
        <w:pStyle w:val="Indenta"/>
      </w:pPr>
      <w:r>
        <w:tab/>
        <w:t>(a)</w:t>
      </w:r>
      <w:r>
        <w:tab/>
        <w:t xml:space="preserve">the Electricity Generation and Retail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Ednotepara"/>
      </w:pPr>
      <w:r>
        <w:tab/>
        <w:t>[(ab)</w:t>
      </w:r>
      <w:r>
        <w:tab/>
        <w:t>deleted]</w:t>
      </w:r>
    </w:p>
    <w:p>
      <w:pPr>
        <w:pStyle w:val="Indenta"/>
      </w:pPr>
      <w:r>
        <w:tab/>
        <w:t>(ac)</w:t>
      </w:r>
      <w:r>
        <w:tab/>
        <w:t xml:space="preserve">the Regional Power Corporation established by the </w:t>
      </w:r>
      <w:r>
        <w:rPr>
          <w:i/>
          <w:iCs/>
        </w:rPr>
        <w:t>Electricity Corporations Act 2005</w:t>
      </w:r>
      <w:r>
        <w:t xml:space="preserve"> section 4(1)(d);</w:t>
      </w:r>
    </w:p>
    <w:p>
      <w:pPr>
        <w:pStyle w:val="Indenta"/>
      </w:pPr>
      <w:r>
        <w:tab/>
        <w:t>(b)</w:t>
      </w:r>
      <w:r>
        <w:tab/>
        <w:t xml:space="preserve">the Water Corporation established by the </w:t>
      </w:r>
      <w:r>
        <w:rPr>
          <w:i/>
        </w:rPr>
        <w:t>Water Corporations Act 1995</w:t>
      </w:r>
      <w:r>
        <w:t xml:space="preserve"> section 4(1);</w:t>
      </w:r>
    </w:p>
    <w:p>
      <w:pPr>
        <w:pStyle w:val="Indenta"/>
      </w:pPr>
      <w:r>
        <w:tab/>
        <w:t>(ca)</w:t>
      </w:r>
      <w:r>
        <w:tab/>
        <w:t xml:space="preserve">the Bunbury Water Corporation established by the </w:t>
      </w:r>
      <w:r>
        <w:rPr>
          <w:i/>
        </w:rPr>
        <w:t>Water Corporations Act 1995</w:t>
      </w:r>
      <w:r>
        <w:t xml:space="preserve"> section 4(2);</w:t>
      </w:r>
    </w:p>
    <w:p>
      <w:pPr>
        <w:pStyle w:val="Indenta"/>
      </w:pPr>
      <w:r>
        <w:tab/>
        <w:t>(cb)</w:t>
      </w:r>
      <w:r>
        <w:tab/>
        <w:t xml:space="preserve">the Busselton Water Corporation established by the </w:t>
      </w:r>
      <w:r>
        <w:rPr>
          <w:i/>
        </w:rPr>
        <w:t>Water Corporations Act 1995</w:t>
      </w:r>
      <w:r>
        <w:t xml:space="preserve"> section 4(3);</w:t>
      </w:r>
    </w:p>
    <w:p>
      <w:pPr>
        <w:pStyle w:val="Indenta"/>
      </w:pPr>
      <w:r>
        <w:tab/>
        <w:t>(c)</w:t>
      </w:r>
      <w:r>
        <w:tab/>
        <w:t xml:space="preserve">the Western Australian Land Authority established by the </w:t>
      </w:r>
      <w:r>
        <w:rPr>
          <w:i/>
        </w:rPr>
        <w:t>Western Australian Land Authority Act 1992</w:t>
      </w:r>
      <w:r>
        <w:t xml:space="preserve"> section 5;</w:t>
      </w:r>
    </w:p>
    <w:p>
      <w:pPr>
        <w:pStyle w:val="Ednotepara"/>
      </w:pPr>
      <w:r>
        <w:tab/>
        <w:t>[(d)</w:t>
      </w:r>
      <w:r>
        <w:noBreakHyphen/>
        <w:t>(f)</w:t>
      </w:r>
      <w:r>
        <w:tab/>
        <w:t>deleted]</w:t>
      </w:r>
    </w:p>
    <w:p>
      <w:pPr>
        <w:pStyle w:val="Indenta"/>
        <w:rPr>
          <w:snapToGrid w:val="0"/>
        </w:rPr>
      </w:pPr>
      <w:r>
        <w:rPr>
          <w:snapToGrid w:val="0"/>
        </w:rPr>
        <w:tab/>
        <w:t>(g)</w:t>
      </w:r>
      <w:r>
        <w:rPr>
          <w:snapToGrid w:val="0"/>
        </w:rPr>
        <w:tab/>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(h)</w:t>
      </w:r>
      <w:r>
        <w:tab/>
        <w:t>t</w:t>
      </w:r>
      <w:r>
        <w:rPr>
          <w:snapToGrid w:val="0"/>
        </w:rPr>
        <w:t xml:space="preserve">he Kimberley Ports Authority established by the </w:t>
      </w:r>
      <w:r>
        <w:rPr>
          <w:i/>
          <w:snapToGrid w:val="0"/>
        </w:rPr>
        <w:t>Port Authorities Act 1999</w:t>
      </w:r>
      <w:r>
        <w:rPr>
          <w:snapToGrid w:val="0"/>
        </w:rPr>
        <w:t xml:space="preserve"> section 4;</w:t>
      </w:r>
    </w:p>
    <w:p>
      <w:pPr>
        <w:pStyle w:val="Indenta"/>
        <w:rPr>
          <w:snapToGrid w:val="0"/>
        </w:rPr>
      </w:pPr>
      <w:r>
        <w:tab/>
        <w:t>(i)</w:t>
      </w:r>
      <w:r>
        <w:tab/>
        <w:t>t</w:t>
      </w:r>
      <w:r>
        <w:rPr>
          <w:snapToGrid w:val="0"/>
        </w:rPr>
        <w:t xml:space="preserve">he Mid West Ports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Pilbara Ports Authority established by the </w:t>
      </w:r>
      <w:r>
        <w:rPr>
          <w:i/>
          <w:snapToGrid w:val="0"/>
        </w:rPr>
        <w:t>Port Authorities Act 1999</w:t>
      </w:r>
      <w:r>
        <w:rPr>
          <w:snapToGrid w:val="0"/>
        </w:rPr>
        <w:t xml:space="preserve"> section 4;</w:t>
      </w:r>
    </w:p>
    <w:p>
      <w:pPr>
        <w:pStyle w:val="Indenta"/>
        <w:rPr>
          <w:snapToGrid w:val="0"/>
        </w:rPr>
      </w:pPr>
      <w:r>
        <w:tab/>
        <w:t>(k)</w:t>
      </w:r>
      <w:r>
        <w:tab/>
      </w:r>
      <w:r>
        <w:rPr>
          <w:snapToGrid w:val="0"/>
        </w:rPr>
        <w:t xml:space="preserve">the Southern Ports Authority established by the </w:t>
      </w:r>
      <w:r>
        <w:rPr>
          <w:i/>
          <w:snapToGrid w:val="0"/>
        </w:rPr>
        <w:t>Port Authorities Act 1999</w:t>
      </w:r>
      <w:r>
        <w:rPr>
          <w:snapToGrid w:val="0"/>
        </w:rPr>
        <w:t xml:space="preserve"> section 4;</w:t>
      </w:r>
    </w:p>
    <w:p>
      <w:pPr>
        <w:pStyle w:val="Ednotepara"/>
        <w:rPr>
          <w:i w:val="0"/>
        </w:rPr>
      </w:pPr>
      <w:r>
        <w:rPr>
          <w:i w:val="0"/>
        </w:rPr>
        <w:tab/>
        <w:t>(l)</w:t>
      </w:r>
      <w:r>
        <w:rPr>
          <w:i w:val="0"/>
        </w:rPr>
        <w:tab/>
        <w:t xml:space="preserve">the Western Australian Land Information Authority established by the </w:t>
      </w:r>
      <w:r>
        <w:t>Land Information Authority Act 2006</w:t>
      </w:r>
      <w:r>
        <w:rPr>
          <w:i w:val="0"/>
        </w:rP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in Gazette 31 Mar 2006 p. 1350</w:t>
      </w:r>
      <w:r>
        <w:noBreakHyphen/>
        <w:t>1; 20 Mar 2007 p. 1049; 4 Sep 2007 p. 4522; 30 May 2008 p. 2088; 27 Dec 2013 p. 6478; 30 Jun 2014 p. 2425</w:t>
      </w:r>
      <w:r>
        <w:noBreakHyphen/>
        <w:t>6; 19 Sep 2014 p. 3340; 18 Sep 2015 p. 3815.]</w:t>
      </w:r>
    </w:p>
    <w:p>
      <w:pPr>
        <w:pStyle w:val="Heading5"/>
      </w:pPr>
      <w:bookmarkStart w:id="16" w:name="_Toc469994937"/>
      <w:r>
        <w:rPr>
          <w:rStyle w:val="CharSectno"/>
        </w:rPr>
        <w:t>13A</w:t>
      </w:r>
      <w:r>
        <w:t>.</w:t>
      </w:r>
      <w:r>
        <w:tab/>
        <w:t>Taxable value: prescribed percentage</w:t>
      </w:r>
      <w:bookmarkEnd w:id="16"/>
    </w:p>
    <w:p>
      <w:pPr>
        <w:pStyle w:val="Subsection"/>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pPr>
      <w:r>
        <w:tab/>
        <w:t>(b)</w:t>
      </w:r>
      <w:r>
        <w:tab/>
        <w:t xml:space="preserve">under paragraph (b) — </w:t>
      </w:r>
    </w:p>
    <w:p>
      <w:pPr>
        <w:pStyle w:val="Indenti"/>
      </w:pPr>
      <w:r>
        <w:tab/>
        <w:t>(i)</w:t>
      </w:r>
      <w:r>
        <w:tab/>
        <w:t>150% for the financial year 2009/10;</w:t>
      </w:r>
    </w:p>
    <w:p>
      <w:pPr>
        <w:pStyle w:val="Indenti"/>
      </w:pPr>
      <w:r>
        <w:tab/>
        <w:t>(ii)</w:t>
      </w:r>
      <w:r>
        <w:tab/>
        <w:t>150% for a financial year after 2009/10.</w:t>
      </w:r>
    </w:p>
    <w:p>
      <w:pPr>
        <w:pStyle w:val="Footnotesection"/>
      </w:pPr>
      <w:r>
        <w:tab/>
        <w:t>[Regulation 13A inserted in Gazette 17 Nov 2009 p. 4634.]</w:t>
      </w:r>
    </w:p>
    <w:p>
      <w:pPr>
        <w:pStyle w:val="Heading5"/>
      </w:pPr>
      <w:bookmarkStart w:id="17" w:name="_Toc469994938"/>
      <w:r>
        <w:rPr>
          <w:rStyle w:val="CharSectno"/>
        </w:rPr>
        <w:t>13</w:t>
      </w:r>
      <w:r>
        <w:t>.</w:t>
      </w:r>
      <w:r>
        <w:tab/>
        <w:t>Inner city area</w:t>
      </w:r>
      <w:bookmarkEnd w:id="17"/>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18" w:name="_Toc469994939"/>
      <w:r>
        <w:rPr>
          <w:rStyle w:val="CharSectno"/>
        </w:rPr>
        <w:t>14</w:t>
      </w:r>
      <w:r>
        <w:t>.</w:t>
      </w:r>
      <w:r>
        <w:tab/>
        <w:t>Repeal and savings</w:t>
      </w:r>
      <w:bookmarkEnd w:id="18"/>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2</w:t>
      </w:r>
      <w:r>
        <w:t xml:space="preserve"> section 5(1), that is payable in respect of an assessment year that ends before the day referred to in regulation 2(1).</w:t>
      </w:r>
    </w:p>
    <w:p>
      <w:pPr>
        <w:sectPr>
          <w:headerReference w:type="even" r:id="rId35"/>
          <w:headerReference w:type="default" r:id="rId36"/>
          <w:headerReference w:type="first" r:id="rId37"/>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 w:name="_Toc469994940"/>
      <w:r>
        <w:rPr>
          <w:rStyle w:val="CharSchNo"/>
        </w:rPr>
        <w:t>Schedule 1</w:t>
      </w:r>
      <w:r>
        <w:t xml:space="preserve"> — </w:t>
      </w:r>
      <w:r>
        <w:rPr>
          <w:rStyle w:val="CharSchText"/>
        </w:rPr>
        <w:t>Inner city area</w:t>
      </w:r>
      <w:bookmarkEnd w:id="19"/>
    </w:p>
    <w:p>
      <w:pPr>
        <w:pStyle w:val="yShoulderClause"/>
        <w:spacing w:after="120"/>
      </w:pPr>
      <w:r>
        <w:t>[r. 13]</w:t>
      </w:r>
    </w:p>
    <w:p>
      <w:pPr>
        <w:jc w:val="center"/>
        <w:rPr>
          <w:sz w:val="20"/>
        </w:rPr>
      </w:pPr>
      <w:r>
        <w:rPr>
          <w:noProof/>
          <w:sz w:val="20"/>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headerReference w:type="first" r:id="rId42"/>
          <w:endnotePr>
            <w:numFmt w:val="decimal"/>
          </w:endnotePr>
          <w:pgSz w:w="11907" w:h="16840" w:code="9"/>
          <w:pgMar w:top="2376" w:right="2405" w:bottom="3542" w:left="2405" w:header="706" w:footer="3380" w:gutter="0"/>
          <w:cols w:space="720"/>
          <w:noEndnote/>
          <w:docGrid w:linePitch="326"/>
        </w:sectPr>
      </w:pPr>
    </w:p>
    <w:p>
      <w:pPr>
        <w:pStyle w:val="nHeading2"/>
      </w:pPr>
      <w:bookmarkStart w:id="21" w:name="_Toc469994941"/>
      <w:r>
        <w:t>Notes</w:t>
      </w:r>
      <w:bookmarkEnd w:id="21"/>
    </w:p>
    <w:p>
      <w:pPr>
        <w:pStyle w:val="nSubsection"/>
      </w:pPr>
      <w:r>
        <w:rPr>
          <w:vertAlign w:val="superscript"/>
        </w:rPr>
        <w:t>1</w:t>
      </w:r>
      <w:r>
        <w:tab/>
        <w:t xml:space="preserve">This reprint is a compilation as at 7 April 2017 of the </w:t>
      </w:r>
      <w:r>
        <w:rPr>
          <w:i/>
          <w:noProof/>
        </w:rPr>
        <w:t>Land Tax Assessment Regulations 2003</w:t>
      </w:r>
      <w:r>
        <w:t xml:space="preserve"> and includes the amendments made by the other written laws referred to in the following table </w:t>
      </w:r>
      <w:r>
        <w:rPr>
          <w:vertAlign w:val="superscript"/>
        </w:rPr>
        <w:t>3, 4</w:t>
      </w:r>
      <w:r>
        <w:t>.  The table also contains information about any reprint.</w:t>
      </w:r>
    </w:p>
    <w:p>
      <w:pPr>
        <w:pStyle w:val="nHeading3"/>
      </w:pPr>
      <w:bookmarkStart w:id="22" w:name="_Toc469994942"/>
      <w:r>
        <w:t>Compilation table</w:t>
      </w:r>
      <w:bookmarkEnd w:id="2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Land Tax Assessment Regulations 2003</w:t>
            </w:r>
          </w:p>
        </w:tc>
        <w:tc>
          <w:tcPr>
            <w:tcW w:w="1276" w:type="dxa"/>
            <w:tcBorders>
              <w:top w:val="single" w:sz="8" w:space="0" w:color="auto"/>
            </w:tcBorders>
          </w:tcPr>
          <w:p>
            <w:pPr>
              <w:pStyle w:val="nTable"/>
              <w:spacing w:after="40"/>
            </w:pPr>
            <w:r>
              <w:t>27 Jun 2003 p. 2409</w:t>
            </w:r>
            <w:r>
              <w:noBreakHyphen/>
              <w:t>14</w:t>
            </w:r>
          </w:p>
        </w:tc>
        <w:tc>
          <w:tcPr>
            <w:tcW w:w="2693" w:type="dxa"/>
            <w:tcBorders>
              <w:top w:val="single" w:sz="8" w:space="0" w:color="auto"/>
            </w:tcBorders>
          </w:tcPr>
          <w:p>
            <w:pPr>
              <w:pStyle w:val="nTable"/>
              <w:spacing w:after="40"/>
            </w:pPr>
            <w:r>
              <w:t xml:space="preserve">1 Jul 2003 (see r. 2(1) and </w:t>
            </w:r>
            <w:r>
              <w:rPr>
                <w:i/>
              </w:rPr>
              <w:t>Gazette</w:t>
            </w:r>
            <w:r>
              <w:t xml:space="preserve"> 27 Jun 2003 p. 2383)</w:t>
            </w:r>
          </w:p>
        </w:tc>
      </w:tr>
      <w:tr>
        <w:tc>
          <w:tcPr>
            <w:tcW w:w="3118" w:type="dxa"/>
          </w:tcPr>
          <w:p>
            <w:pPr>
              <w:pStyle w:val="nTable"/>
              <w:spacing w:after="40"/>
            </w:pPr>
            <w:r>
              <w:rPr>
                <w:i/>
              </w:rPr>
              <w:t>Electricity Corporations (Consequential Amendments) Regulations 2006</w:t>
            </w:r>
            <w:r>
              <w:rPr>
                <w:iCs/>
              </w:rPr>
              <w:t xml:space="preserve"> r. 82</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pPr>
            <w:r>
              <w:rPr>
                <w:i/>
                <w:noProof/>
                <w:snapToGrid w:val="0"/>
              </w:rPr>
              <w:t>Land Tax Assessment Amendment Regulations 2007</w:t>
            </w:r>
          </w:p>
        </w:tc>
        <w:tc>
          <w:tcPr>
            <w:tcW w:w="1276" w:type="dxa"/>
          </w:tcPr>
          <w:p>
            <w:pPr>
              <w:pStyle w:val="nTable"/>
              <w:spacing w:after="40"/>
            </w:pPr>
            <w:r>
              <w:t>20 Mar 2007 p. 1049</w:t>
            </w:r>
          </w:p>
        </w:tc>
        <w:tc>
          <w:tcPr>
            <w:tcW w:w="2693" w:type="dxa"/>
          </w:tcPr>
          <w:p>
            <w:pPr>
              <w:pStyle w:val="nTable"/>
              <w:spacing w:after="40"/>
            </w:pPr>
            <w:r>
              <w:t>20 Mar 2007</w:t>
            </w:r>
          </w:p>
        </w:tc>
      </w:tr>
      <w:tr>
        <w:tc>
          <w:tcPr>
            <w:tcW w:w="3118" w:type="dxa"/>
          </w:tcPr>
          <w:p>
            <w:pPr>
              <w:pStyle w:val="nTable"/>
              <w:spacing w:after="40"/>
              <w:rPr>
                <w:i/>
                <w:noProof/>
                <w:snapToGrid w:val="0"/>
              </w:rPr>
            </w:pPr>
            <w:r>
              <w:rPr>
                <w:i/>
                <w:noProof/>
                <w:snapToGrid w:val="0"/>
              </w:rPr>
              <w:t>Land Tax Assessment Amendment Regulations (No. 2) 2007</w:t>
            </w:r>
          </w:p>
        </w:tc>
        <w:tc>
          <w:tcPr>
            <w:tcW w:w="1276" w:type="dxa"/>
          </w:tcPr>
          <w:p>
            <w:pPr>
              <w:pStyle w:val="nTable"/>
              <w:spacing w:after="40"/>
            </w:pPr>
            <w:r>
              <w:t>4 Sep 2007 p. 4521</w:t>
            </w:r>
            <w:r>
              <w:noBreakHyphen/>
              <w:t>2</w:t>
            </w:r>
          </w:p>
        </w:tc>
        <w:tc>
          <w:tcPr>
            <w:tcW w:w="2693" w:type="dxa"/>
          </w:tcPr>
          <w:p>
            <w:pPr>
              <w:pStyle w:val="nTable"/>
              <w:spacing w:after="40"/>
            </w:pPr>
            <w:r>
              <w:rPr>
                <w:snapToGrid w:val="0"/>
              </w:rPr>
              <w:t>r. 1 and 2: 4 Sep 2007 (see r. 2(a));</w:t>
            </w:r>
            <w:r>
              <w:rPr>
                <w:snapToGrid w:val="0"/>
              </w:rPr>
              <w:br/>
              <w:t>Regulations other than r. 1 and 2: 5 Sep 2007 (see r. 2(b))</w:t>
            </w:r>
          </w:p>
        </w:tc>
      </w:tr>
      <w:tr>
        <w:tc>
          <w:tcPr>
            <w:tcW w:w="3118" w:type="dxa"/>
          </w:tcPr>
          <w:p>
            <w:pPr>
              <w:pStyle w:val="nTable"/>
              <w:spacing w:after="40"/>
              <w:rPr>
                <w:i/>
                <w:noProof/>
                <w:snapToGrid w:val="0"/>
              </w:rPr>
            </w:pPr>
            <w:r>
              <w:rPr>
                <w:i/>
                <w:noProof/>
                <w:snapToGrid w:val="0"/>
              </w:rPr>
              <w:t>Land Tax Assessment Amendment Regulations 2008</w:t>
            </w:r>
          </w:p>
        </w:tc>
        <w:tc>
          <w:tcPr>
            <w:tcW w:w="1276" w:type="dxa"/>
          </w:tcPr>
          <w:p>
            <w:pPr>
              <w:pStyle w:val="nTable"/>
              <w:spacing w:after="40"/>
            </w:pPr>
            <w:r>
              <w:t>30 May 2008 p. 2088</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noProof/>
                <w:snapToGrid w:val="0"/>
              </w:rPr>
              <w:t>Land Tax Assessment Regulations 2003</w:t>
            </w:r>
            <w:r>
              <w:rPr>
                <w:b/>
                <w:bCs/>
                <w:snapToGrid w:val="0"/>
              </w:rPr>
              <w:t xml:space="preserve"> as at 5 Sep 2008</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Land Tax Assessment Amendment Regulations 2009</w:t>
            </w:r>
          </w:p>
        </w:tc>
        <w:tc>
          <w:tcPr>
            <w:tcW w:w="1276" w:type="dxa"/>
          </w:tcPr>
          <w:p>
            <w:pPr>
              <w:pStyle w:val="nTable"/>
              <w:spacing w:after="40"/>
            </w:pPr>
            <w:r>
              <w:t>17 Nov 2009 p. 4632-4</w:t>
            </w:r>
          </w:p>
        </w:tc>
        <w:tc>
          <w:tcPr>
            <w:tcW w:w="2693" w:type="dxa"/>
          </w:tcPr>
          <w:p>
            <w:pPr>
              <w:pStyle w:val="nTable"/>
              <w:spacing w:after="40"/>
              <w:rPr>
                <w:snapToGrid w:val="0"/>
              </w:rPr>
            </w:pPr>
            <w:r>
              <w:rPr>
                <w:snapToGrid w:val="0"/>
              </w:rPr>
              <w:t>r. 7: 1 Jul 2009 (see r. 2(b));</w:t>
            </w:r>
            <w:r>
              <w:rPr>
                <w:snapToGrid w:val="0"/>
              </w:rPr>
              <w:br/>
              <w:t>r. 1 and 2: 17 Nov 2009 (see r. 2(a));</w:t>
            </w:r>
            <w:r>
              <w:rPr>
                <w:snapToGrid w:val="0"/>
              </w:rPr>
              <w:br/>
              <w:t>Regulations other than r. 1, 2 and 7: 18 Nov 2009 (see r. 2(c))</w:t>
            </w:r>
          </w:p>
        </w:tc>
      </w:tr>
      <w:tr>
        <w:tc>
          <w:tcPr>
            <w:tcW w:w="3118" w:type="dxa"/>
          </w:tcPr>
          <w:p>
            <w:pPr>
              <w:pStyle w:val="nTable"/>
              <w:spacing w:after="40"/>
              <w:rPr>
                <w:i/>
                <w:noProof/>
                <w:snapToGrid w:val="0"/>
              </w:rPr>
            </w:pPr>
            <w:r>
              <w:rPr>
                <w:i/>
              </w:rPr>
              <w:t>Electricity Corporations (Consequential Amendments) Regulations 2013</w:t>
            </w:r>
            <w:r>
              <w:t xml:space="preserve"> r. 13</w:t>
            </w:r>
          </w:p>
        </w:tc>
        <w:tc>
          <w:tcPr>
            <w:tcW w:w="1276" w:type="dxa"/>
          </w:tcPr>
          <w:p>
            <w:pPr>
              <w:pStyle w:val="nTable"/>
              <w:spacing w:after="40"/>
            </w:pPr>
            <w:r>
              <w:t>27 Dec 2013 p. 6469-79</w:t>
            </w:r>
          </w:p>
        </w:tc>
        <w:tc>
          <w:tcPr>
            <w:tcW w:w="2693" w:type="dxa"/>
          </w:tcPr>
          <w:p>
            <w:pPr>
              <w:pStyle w:val="nTable"/>
              <w:spacing w:after="40"/>
              <w:rPr>
                <w:snapToGrid w:val="0"/>
              </w:rPr>
            </w:pPr>
            <w:r>
              <w:t xml:space="preserve">1 Jan 2014 (see r. 2(c) and </w:t>
            </w:r>
            <w:r>
              <w:rPr>
                <w:i/>
              </w:rPr>
              <w:t>Gazette</w:t>
            </w:r>
            <w:r>
              <w:t xml:space="preserve"> 27 Dec 2013 p. 6465)</w:t>
            </w:r>
          </w:p>
        </w:tc>
      </w:tr>
      <w:tr>
        <w:tc>
          <w:tcPr>
            <w:tcW w:w="3118" w:type="dxa"/>
          </w:tcPr>
          <w:p>
            <w:pPr>
              <w:pStyle w:val="nTable"/>
              <w:spacing w:after="40"/>
              <w:rPr>
                <w:i/>
              </w:rPr>
            </w:pPr>
            <w:r>
              <w:rPr>
                <w:i/>
              </w:rPr>
              <w:t>Land Tax Assessment Amendment Regulations 2014</w:t>
            </w:r>
          </w:p>
        </w:tc>
        <w:tc>
          <w:tcPr>
            <w:tcW w:w="1276" w:type="dxa"/>
          </w:tcPr>
          <w:p>
            <w:pPr>
              <w:pStyle w:val="nTable"/>
              <w:spacing w:after="40"/>
            </w:pPr>
            <w:r>
              <w:t>30 Jun 2014 p. 2425-6</w:t>
            </w:r>
          </w:p>
        </w:tc>
        <w:tc>
          <w:tcPr>
            <w:tcW w:w="2693" w:type="dxa"/>
          </w:tcPr>
          <w:p>
            <w:pPr>
              <w:pStyle w:val="nTable"/>
              <w:spacing w:after="40"/>
            </w:pPr>
            <w:r>
              <w:rPr>
                <w:snapToGrid w:val="0"/>
              </w:rPr>
              <w:t>r. 1 and 2: 30 Jun 2014 (see r. 2(a));</w:t>
            </w:r>
            <w:r>
              <w:rPr>
                <w:snapToGrid w:val="0"/>
              </w:rPr>
              <w:br/>
              <w:t>Regulations other than r. 1 and 2: 1 Jul 2014 (see r. 2(b)(i))</w:t>
            </w:r>
          </w:p>
        </w:tc>
      </w:tr>
      <w:tr>
        <w:tc>
          <w:tcPr>
            <w:tcW w:w="3118" w:type="dxa"/>
            <w:shd w:val="clear" w:color="auto" w:fill="auto"/>
          </w:tcPr>
          <w:p>
            <w:pPr>
              <w:pStyle w:val="nTable"/>
              <w:spacing w:after="40"/>
              <w:rPr>
                <w:i/>
              </w:rPr>
            </w:pPr>
            <w:r>
              <w:rPr>
                <w:i/>
              </w:rPr>
              <w:t>Land Tax Assessment Amendment Regulations (No. 2) 2014</w:t>
            </w:r>
          </w:p>
        </w:tc>
        <w:tc>
          <w:tcPr>
            <w:tcW w:w="1276" w:type="dxa"/>
            <w:shd w:val="clear" w:color="auto" w:fill="auto"/>
          </w:tcPr>
          <w:p>
            <w:pPr>
              <w:pStyle w:val="nTable"/>
              <w:spacing w:after="40"/>
            </w:pPr>
            <w:r>
              <w:t>19 Sep 2014 p. 3340</w:t>
            </w:r>
          </w:p>
        </w:tc>
        <w:tc>
          <w:tcPr>
            <w:tcW w:w="2693" w:type="dxa"/>
            <w:shd w:val="clear" w:color="auto" w:fill="auto"/>
          </w:tcPr>
          <w:p>
            <w:pPr>
              <w:pStyle w:val="nTable"/>
              <w:spacing w:after="40"/>
              <w:rPr>
                <w:snapToGrid w:val="0"/>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shd w:val="clear" w:color="auto" w:fill="auto"/>
          </w:tcPr>
          <w:p>
            <w:pPr>
              <w:pStyle w:val="nTable"/>
              <w:spacing w:after="40"/>
              <w:rPr>
                <w:i/>
              </w:rPr>
            </w:pPr>
            <w:r>
              <w:rPr>
                <w:i/>
              </w:rPr>
              <w:t>Land Tax Assessment Amendment Regulations 2015</w:t>
            </w:r>
          </w:p>
        </w:tc>
        <w:tc>
          <w:tcPr>
            <w:tcW w:w="1276" w:type="dxa"/>
            <w:shd w:val="clear" w:color="auto" w:fill="auto"/>
          </w:tcPr>
          <w:p>
            <w:pPr>
              <w:pStyle w:val="nTable"/>
              <w:spacing w:after="40"/>
            </w:pPr>
            <w:r>
              <w:t>18 Sep 2015 p. 3813</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 Sep 2015 (see r. 2(a));</w:t>
            </w:r>
            <w:r>
              <w:rPr>
                <w:rFonts w:ascii="Times" w:hAnsi="Times"/>
                <w:bCs/>
                <w:snapToGrid w:val="0"/>
                <w:spacing w:val="-2"/>
              </w:rPr>
              <w:br/>
              <w:t>Regulations other than r. 1 and 2: 19 Sep 2015 (see r. 2(b))</w:t>
            </w:r>
          </w:p>
        </w:tc>
      </w:tr>
      <w:t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Land Tax Assessment Regulations 2003</w:t>
            </w:r>
            <w:r>
              <w:rPr>
                <w:rFonts w:ascii="Times" w:hAnsi="Times"/>
                <w:b/>
                <w:bCs/>
                <w:snapToGrid w:val="0"/>
                <w:spacing w:val="-2"/>
              </w:rPr>
              <w:t xml:space="preserve"> as at 7 Apr 2017</w:t>
            </w:r>
            <w:r>
              <w:rPr>
                <w:rFonts w:ascii="Times" w:hAnsi="Times"/>
                <w:bCs/>
                <w:snapToGrid w:val="0"/>
                <w:spacing w:val="-2"/>
              </w:rPr>
              <w:t xml:space="preserve"> (includes amendments listed above)</w:t>
            </w:r>
          </w:p>
        </w:tc>
      </w:tr>
    </w:tbl>
    <w:p>
      <w:pPr>
        <w:pStyle w:val="nSubsection"/>
        <w:spacing w:before="160"/>
      </w:pPr>
      <w:r>
        <w:rPr>
          <w:vertAlign w:val="superscript"/>
        </w:rPr>
        <w:t>2</w:t>
      </w:r>
      <w:r>
        <w:tab/>
        <w:t xml:space="preserve">Repealed by the </w:t>
      </w:r>
      <w:r>
        <w:rPr>
          <w:i/>
          <w:iCs/>
        </w:rPr>
        <w:t xml:space="preserve">Taxation Administration (Consequential Provisions) Act 2002 </w:t>
      </w:r>
      <w:r>
        <w:t>s. 5(d).</w:t>
      </w:r>
    </w:p>
    <w:p>
      <w:pPr>
        <w:pStyle w:val="nSubsection"/>
      </w:pPr>
      <w:r>
        <w:rPr>
          <w:vertAlign w:val="superscript"/>
        </w:rPr>
        <w:t>3</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Regulations 1</w:t>
      </w:r>
      <w:r>
        <w:noBreakHyphen/>
        <w:t>4 and Pt. 3 Div. 3 of those regulations read as follows:</w:t>
      </w:r>
    </w:p>
    <w:p>
      <w:pPr>
        <w:pStyle w:val="BlankOpen"/>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3" w:name="_Toc125188319"/>
      <w:bookmarkStart w:id="24" w:name="_Toc156617933"/>
      <w:bookmarkStart w:id="25" w:name="_Toc161118387"/>
      <w:bookmarkStart w:id="26" w:name="_Toc342570243"/>
      <w:bookmarkStart w:id="27" w:name="_Toc415493534"/>
      <w:r>
        <w:rPr>
          <w:rStyle w:val="CharSectno"/>
        </w:rPr>
        <w:t>3</w:t>
      </w:r>
      <w:r>
        <w:t>.</w:t>
      </w:r>
      <w:r>
        <w:tab/>
        <w:t>When certain modifications have effect</w:t>
      </w:r>
      <w:bookmarkEnd w:id="23"/>
      <w:bookmarkEnd w:id="24"/>
      <w:bookmarkEnd w:id="25"/>
      <w:bookmarkEnd w:id="26"/>
      <w:bookmarkEnd w:id="27"/>
    </w:p>
    <w:p>
      <w:pPr>
        <w:pStyle w:val="nzSubsection"/>
      </w:pPr>
      <w:r>
        <w:tab/>
        <w:t>(1)</w:t>
      </w:r>
      <w:r>
        <w:tab/>
        <w:t xml:space="preserve">Subject to this regulation, the modifications prescribed in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Administration) Regulations 2002</w:t>
      </w:r>
      <w:r>
        <w:t xml:space="preserve"> Part 5 to the extent of any inconsistency.</w:t>
      </w:r>
    </w:p>
    <w:p>
      <w:pPr>
        <w:pStyle w:val="nzSubsection"/>
      </w:pPr>
      <w:r>
        <w:tab/>
        <w:t>(3)</w:t>
      </w:r>
      <w:r>
        <w:tab/>
        <w:t>The modifications prescribed in Part 2 have effect on and from 1 July 2008.</w:t>
      </w:r>
    </w:p>
    <w:p>
      <w:pPr>
        <w:pStyle w:val="nzSubsection"/>
      </w:pPr>
      <w:r>
        <w:tab/>
        <w:t>(4)</w:t>
      </w:r>
      <w:r>
        <w:tab/>
        <w:t>The modification in regulation 29 has effect on and from 25 June 2010.</w:t>
      </w:r>
    </w:p>
    <w:p>
      <w:pPr>
        <w:pStyle w:val="nzSubsection"/>
      </w:pPr>
      <w:r>
        <w:tab/>
        <w:t>(5)</w:t>
      </w:r>
      <w:r>
        <w:tab/>
        <w:t>The modifications in regulation 47 have effect on and from 1 July 2008.</w:t>
      </w:r>
    </w:p>
    <w:p>
      <w:pPr>
        <w:pStyle w:val="nzPermNoteHeading"/>
      </w:pPr>
      <w:r>
        <w:tab/>
        <w:t>Note for this regulation:</w:t>
      </w:r>
    </w:p>
    <w:p>
      <w:pPr>
        <w:pStyle w:val="nzPermNoteText"/>
      </w:pPr>
      <w:r>
        <w:tab/>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28" w:name="_Toc25468872"/>
      <w:bookmarkStart w:id="29" w:name="_Toc31620063"/>
      <w:bookmarkStart w:id="30" w:name="_Toc156617934"/>
      <w:bookmarkStart w:id="31" w:name="_Toc161118388"/>
      <w:bookmarkStart w:id="32" w:name="_Toc342570244"/>
      <w:bookmarkStart w:id="33" w:name="_Toc415493535"/>
      <w:r>
        <w:rPr>
          <w:rStyle w:val="CharSectno"/>
        </w:rPr>
        <w:t>4</w:t>
      </w:r>
      <w:r>
        <w:t>.</w:t>
      </w:r>
      <w:r>
        <w:tab/>
        <w:t>Modification of State taxing laws</w:t>
      </w:r>
      <w:bookmarkEnd w:id="28"/>
      <w:bookmarkEnd w:id="29"/>
      <w:bookmarkEnd w:id="30"/>
      <w:bookmarkEnd w:id="31"/>
      <w:bookmarkEnd w:id="32"/>
      <w:bookmarkEnd w:id="33"/>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PermNoteHeading"/>
      </w:pPr>
      <w:r>
        <w:tab/>
        <w:t>Note for this regulation:</w:t>
      </w:r>
    </w:p>
    <w:p>
      <w:pPr>
        <w:pStyle w:val="nzPermNoteText"/>
      </w:pPr>
      <w:r>
        <w:tab/>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zHeading2"/>
        <w:keepNext w:val="0"/>
        <w:pageBreakBefore/>
      </w:pPr>
      <w:r>
        <w:t>Part 3 — Land tax</w:t>
      </w:r>
    </w:p>
    <w:p>
      <w:pPr>
        <w:pStyle w:val="nzHeading3"/>
        <w:keepNext w:val="0"/>
      </w:pPr>
      <w:r>
        <w:t xml:space="preserve">Division 3 — The </w:t>
      </w:r>
      <w:r>
        <w:rPr>
          <w:i/>
          <w:iCs/>
        </w:rPr>
        <w:t>Land Tax Assessment Regulations 2003</w:t>
      </w:r>
    </w:p>
    <w:p>
      <w:pPr>
        <w:pStyle w:val="nzHeading5"/>
        <w:keepNext w:val="0"/>
        <w:keepLines w:val="0"/>
      </w:pPr>
      <w:r>
        <w:t>19.</w:t>
      </w:r>
      <w:r>
        <w:tab/>
        <w:t xml:space="preserve">Modification of the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r>
        <w:t>20.</w:t>
      </w:r>
      <w:r>
        <w:tab/>
        <w:t>Regulation 3A inserted</w:t>
      </w:r>
    </w:p>
    <w:p>
      <w:pPr>
        <w:pStyle w:val="nzSubsection"/>
        <w:keepNext/>
      </w:pPr>
      <w:r>
        <w:tab/>
      </w:r>
      <w:r>
        <w:tab/>
        <w:t xml:space="preserve">After regulation 3 the following regulation is inserted — </w:t>
      </w:r>
    </w:p>
    <w:p>
      <w:pPr>
        <w:pStyle w:val="BlankOpen"/>
      </w:pPr>
    </w:p>
    <w:p>
      <w:pPr>
        <w:pStyle w:val="nzHeading5"/>
      </w:pPr>
      <w:bookmarkStart w:id="34" w:name="_Toc156617964"/>
      <w:bookmarkStart w:id="35" w:name="_Toc342570273"/>
      <w:bookmarkStart w:id="36" w:name="_Toc415493564"/>
      <w:r>
        <w:t>3A.</w:t>
      </w:r>
      <w:r>
        <w:tab/>
        <w:t>Application of regulations in non</w:t>
      </w:r>
      <w:r>
        <w:noBreakHyphen/>
        <w:t>Commonwealth places</w:t>
      </w:r>
      <w:bookmarkEnd w:id="34"/>
      <w:bookmarkEnd w:id="35"/>
      <w:bookmarkEnd w:id="36"/>
    </w:p>
    <w:p>
      <w:pPr>
        <w:pStyle w:val="nzSubsection"/>
      </w:pPr>
      <w:r>
        <w:tab/>
        <w:t>(1)</w:t>
      </w:r>
      <w:r>
        <w:tab/>
      </w:r>
      <w:r>
        <w:rPr>
          <w:spacing w:val="-4"/>
        </w:rPr>
        <w:t xml:space="preserve">In this regulation — </w:t>
      </w:r>
    </w:p>
    <w:p>
      <w:pPr>
        <w:pStyle w:val="nzDefstart"/>
      </w:pPr>
      <w:r>
        <w:rPr>
          <w:spacing w:val="-4"/>
        </w:rPr>
        <w:tab/>
      </w:r>
      <w:r>
        <w:rPr>
          <w:rStyle w:val="CharDefText"/>
        </w:rPr>
        <w:t>applied Land Tax Assessment Regulations</w:t>
      </w:r>
      <w:r>
        <w:t xml:space="preserve"> means the </w:t>
      </w:r>
      <w:r>
        <w:rPr>
          <w:i/>
        </w:rPr>
        <w:t>Land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pPr>
        <w:pStyle w:val="nzSubsection"/>
      </w:pPr>
      <w:r>
        <w:tab/>
        <w:t>(2)</w:t>
      </w:r>
      <w:r>
        <w:tab/>
        <w:t xml:space="preserve">In these regulations, unless the contrary intention appears — </w:t>
      </w:r>
    </w:p>
    <w:p>
      <w:pPr>
        <w:pStyle w:val="nzIndenta"/>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Indenta"/>
      </w:pPr>
      <w:r>
        <w:tab/>
        <w:t>(d)</w:t>
      </w:r>
      <w:r>
        <w:tab/>
        <w:t xml:space="preserve">a reference to the </w:t>
      </w:r>
      <w:r>
        <w:rPr>
          <w:i/>
        </w:rPr>
        <w:t>Land Tax Assessment Act 1976</w:t>
      </w:r>
      <w:r>
        <w:t xml:space="preserve"> is to be read as a reference to that Act in its application, before 1 July 2003, as a law of Western Australia; and</w:t>
      </w:r>
    </w:p>
    <w:p>
      <w:pPr>
        <w:pStyle w:val="nzIndenta"/>
      </w:pPr>
      <w:r>
        <w:tab/>
        <w:t>(e)</w:t>
      </w:r>
      <w:r>
        <w:tab/>
        <w:t xml:space="preserve">a reference to the </w:t>
      </w:r>
      <w:r>
        <w:rPr>
          <w:i/>
        </w:rPr>
        <w:t>Land Tax Assessment Regulations 1976</w:t>
      </w:r>
      <w:r>
        <w:t xml:space="preserve"> is to be read as a reference to those regulations in their application, before 1 July 2003, as a law of </w:t>
      </w:r>
      <w:smartTag w:uri="urn:schemas-microsoft-com:office:smarttags" w:element="place">
        <w:smartTag w:uri="urn:schemas-microsoft-com:office:smarttags" w:element="State">
          <w:r>
            <w:t>Western Australia</w:t>
          </w:r>
        </w:smartTag>
      </w:smartTag>
      <w:r>
        <w:t>.</w:t>
      </w:r>
    </w:p>
    <w:p>
      <w:pPr>
        <w:pStyle w:val="nzSubsection"/>
      </w:pPr>
      <w:r>
        <w:tab/>
        <w:t>(3)</w:t>
      </w:r>
      <w:r>
        <w:tab/>
        <w:t>These regulations are to be read with the applied Land Tax Assessment Regulations as a single body of law.</w:t>
      </w:r>
    </w:p>
    <w:p>
      <w:pPr>
        <w:pStyle w:val="BlankClose"/>
      </w:pPr>
    </w:p>
    <w:p>
      <w:pPr>
        <w:pStyle w:val="nSubsection"/>
      </w:pPr>
      <w:r>
        <w:rPr>
          <w:vertAlign w:val="superscript"/>
        </w:rPr>
        <w:t>4</w:t>
      </w:r>
      <w:r>
        <w:tab/>
        <w:t xml:space="preserve">Under the </w:t>
      </w:r>
      <w:r>
        <w:rPr>
          <w:i/>
        </w:rPr>
        <w:t>Commonwealth Places (Mirror Taxes) Act 1998</w:t>
      </w:r>
      <w:r>
        <w:t xml:space="preserve"> (Commonwealth) s. 8(2)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Clauses 1</w:t>
      </w:r>
      <w:r>
        <w:noBreakHyphen/>
        <w:t>5 and Pt. 3 Div. 3 of that notice read as follows:</w:t>
      </w:r>
    </w:p>
    <w:p>
      <w:pPr>
        <w:pStyle w:val="BlankOpen"/>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Subject to this regulation, the modifications prescribed in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Subsection"/>
      </w:pPr>
      <w:r>
        <w:tab/>
        <w:t>(3)</w:t>
      </w:r>
      <w:r>
        <w:tab/>
        <w:t>The modifications prescribed in Part 2 have effect on and from 1 July 2008.</w:t>
      </w:r>
    </w:p>
    <w:p>
      <w:pPr>
        <w:pStyle w:val="nzSubsection"/>
      </w:pPr>
      <w:r>
        <w:tab/>
        <w:t>(4)</w:t>
      </w:r>
      <w:r>
        <w:tab/>
        <w:t>The modification prescribed in clause 30 has effect on and from 25 June 2010.</w:t>
      </w:r>
    </w:p>
    <w:p>
      <w:pPr>
        <w:pStyle w:val="nzSubsection"/>
      </w:pPr>
      <w:r>
        <w:tab/>
        <w:t>(5)</w:t>
      </w:r>
      <w:r>
        <w:tab/>
        <w:t>The modifications prescribed in clause 51 have effect on and from 1 July 2008.</w:t>
      </w:r>
    </w:p>
    <w:p>
      <w:pPr>
        <w:pStyle w:val="nzMiscellaneousBody"/>
        <w:tabs>
          <w:tab w:val="left" w:pos="1484"/>
        </w:tabs>
        <w:ind w:left="1498" w:hanging="588"/>
        <w:rPr>
          <w:rFonts w:ascii="Arial" w:hAnsi="Arial" w:cs="Arial"/>
          <w:sz w:val="14"/>
          <w:szCs w:val="14"/>
        </w:rPr>
      </w:pPr>
      <w:r>
        <w:rPr>
          <w:rFonts w:ascii="Arial" w:hAnsi="Arial" w:cs="Arial"/>
          <w:sz w:val="14"/>
          <w:szCs w:val="14"/>
        </w:rPr>
        <w:t xml:space="preserve">Note: </w:t>
      </w:r>
      <w:r>
        <w:rPr>
          <w:rFonts w:ascii="Arial" w:hAnsi="Arial" w:cs="Arial"/>
          <w:sz w:val="14"/>
          <w:szCs w:val="14"/>
        </w:rPr>
        <w:tab/>
        <w:t xml:space="preserve">Modifications prescribed in a notice under section 8 of the Act may be expressed to take effect from a date that is earlier than the date on which the modifications are published in the </w:t>
      </w:r>
      <w:r>
        <w:rPr>
          <w:rFonts w:ascii="Arial" w:hAnsi="Arial" w:cs="Arial"/>
          <w:i/>
          <w:sz w:val="14"/>
          <w:szCs w:val="14"/>
        </w:rPr>
        <w:t>Commonwealth of Australia Gazette</w:t>
      </w:r>
      <w:r>
        <w:rPr>
          <w:rFonts w:ascii="Arial" w:hAnsi="Arial" w:cs="Arial"/>
          <w:sz w:val="14"/>
          <w:szCs w:val="14"/>
        </w:rPr>
        <w:t>, see section 8(5) of the Act.</w:t>
      </w:r>
    </w:p>
    <w:p>
      <w:pPr>
        <w:pStyle w:val="nzHeading5"/>
      </w:pPr>
      <w:r>
        <w:rPr>
          <w:rStyle w:val="CharSectno"/>
        </w:rPr>
        <w:t>4</w:t>
      </w:r>
      <w:r>
        <w:t>.</w:t>
      </w:r>
      <w:r>
        <w:tab/>
        <w:t>Definitions</w:t>
      </w:r>
    </w:p>
    <w:p>
      <w:pPr>
        <w:pStyle w:val="nzSubsection"/>
        <w:keepNext/>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keepLines/>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MiscellaneousBody"/>
        <w:tabs>
          <w:tab w:val="left" w:pos="1484"/>
        </w:tabs>
        <w:ind w:left="1498" w:hanging="588"/>
        <w:rPr>
          <w:rFonts w:ascii="Arial" w:hAnsi="Arial" w:cs="Arial"/>
          <w:sz w:val="14"/>
          <w:szCs w:val="14"/>
        </w:rPr>
      </w:pPr>
      <w:r>
        <w:rPr>
          <w:rFonts w:ascii="Arial" w:hAnsi="Arial" w:cs="Arial"/>
          <w:sz w:val="14"/>
          <w:szCs w:val="14"/>
        </w:rPr>
        <w:t>Note:</w:t>
      </w:r>
      <w:r>
        <w:rPr>
          <w:rFonts w:ascii="Arial" w:hAnsi="Arial" w:cs="Arial"/>
          <w:sz w:val="14"/>
          <w:szCs w:val="14"/>
        </w:rPr>
        <w:tab/>
        <w:t>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item.</w:t>
      </w:r>
    </w:p>
    <w:p>
      <w:pPr>
        <w:pStyle w:val="nzHeading2"/>
      </w:pPr>
      <w:r>
        <w:rPr>
          <w:rStyle w:val="CharPartNo"/>
        </w:rPr>
        <w:t>Part 3</w:t>
      </w:r>
      <w:r>
        <w:t> — </w:t>
      </w:r>
      <w:r>
        <w:rPr>
          <w:rStyle w:val="CharPartText"/>
        </w:rPr>
        <w:t>Land tax</w:t>
      </w:r>
    </w:p>
    <w:p>
      <w:pPr>
        <w:pStyle w:val="nzHeading3"/>
      </w:pPr>
      <w:r>
        <w:rPr>
          <w:rStyle w:val="CharDivNo"/>
        </w:rPr>
        <w:t>Division 3</w:t>
      </w:r>
      <w:r>
        <w:t> — </w:t>
      </w:r>
      <w:r>
        <w:rPr>
          <w:rStyle w:val="CharDivText"/>
        </w:rPr>
        <w:t xml:space="preserve">The applied </w:t>
      </w:r>
      <w:r>
        <w:rPr>
          <w:rStyle w:val="CharDivText"/>
          <w:i/>
          <w:iCs/>
        </w:rPr>
        <w:t>Land Tax Assessment Regulations 2003</w:t>
      </w:r>
    </w:p>
    <w:p>
      <w:pPr>
        <w:pStyle w:val="nzHeading5"/>
      </w:pPr>
      <w:r>
        <w:rPr>
          <w:rStyle w:val="CharSectno"/>
        </w:rPr>
        <w:t>20</w:t>
      </w:r>
      <w:r>
        <w:t>.</w:t>
      </w:r>
      <w:r>
        <w:tab/>
        <w:t xml:space="preserve">Modification of the applied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r>
        <w:rPr>
          <w:rStyle w:val="CharSectno"/>
        </w:rPr>
        <w:t>21</w:t>
      </w:r>
      <w:r>
        <w:t>.</w:t>
      </w:r>
      <w:r>
        <w:tab/>
        <w:t>Regulation 3A inserted</w:t>
      </w:r>
    </w:p>
    <w:p>
      <w:pPr>
        <w:pStyle w:val="nzSubsection"/>
        <w:keepNext/>
        <w:spacing w:before="60"/>
      </w:pPr>
      <w:r>
        <w:tab/>
      </w:r>
      <w:r>
        <w:tab/>
        <w:t xml:space="preserve">After regulation 3 the following regulation is inserted — </w:t>
      </w:r>
    </w:p>
    <w:p>
      <w:pPr>
        <w:pStyle w:val="BlankOpen"/>
      </w:pPr>
    </w:p>
    <w:p>
      <w:pPr>
        <w:pStyle w:val="nzHeading5"/>
        <w:spacing w:before="40"/>
      </w:pPr>
      <w:r>
        <w:t>3A.</w:t>
      </w:r>
      <w:r>
        <w:tab/>
        <w:t>Application of regulations in Commonwealth places</w:t>
      </w:r>
    </w:p>
    <w:p>
      <w:pPr>
        <w:pStyle w:val="nzSubsection"/>
        <w:keepNext/>
        <w:spacing w:before="60"/>
      </w:pPr>
      <w:r>
        <w:tab/>
        <w:t>(1)</w:t>
      </w:r>
      <w:r>
        <w:tab/>
        <w:t xml:space="preserve">In this regulation — </w:t>
      </w:r>
    </w:p>
    <w:p>
      <w:pPr>
        <w:pStyle w:val="nzDefstart"/>
      </w:pPr>
      <w:r>
        <w:rPr>
          <w:b/>
        </w:rPr>
        <w:tab/>
      </w:r>
      <w:r>
        <w:rPr>
          <w:b/>
          <w:bCs/>
          <w:i/>
          <w:iCs/>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spacing w:before="60"/>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spacing w:before="60"/>
      </w:pPr>
      <w:r>
        <w:tab/>
        <w:t>(3)</w:t>
      </w:r>
      <w:r>
        <w:tab/>
        <w:t>These regulations are to be read with the corresponding Land Tax Assessment Regulations as a single body of law.</w:t>
      </w:r>
    </w:p>
    <w:p>
      <w:pPr>
        <w:pStyle w:val="nzSubsection"/>
        <w:keepNext/>
        <w:spacing w:before="60"/>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BlankClose"/>
      </w:pPr>
    </w:p>
    <w:p/>
    <w:p>
      <w:pPr>
        <w:sectPr>
          <w:headerReference w:type="even" r:id="rId43"/>
          <w:headerReference w:type="default" r:id="rId44"/>
          <w:headerReference w:type="first" r:id="rId45"/>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8" w:name="_Toc469994943"/>
      <w:r>
        <w:rPr>
          <w:sz w:val="28"/>
        </w:rPr>
        <w:t>Defined terms</w:t>
      </w:r>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3(2)</w:t>
      </w:r>
    </w:p>
    <w:p>
      <w:pPr>
        <w:pStyle w:val="DefinedTerms"/>
      </w:pPr>
      <w:r>
        <w:t>amount paid</w:t>
      </w:r>
      <w:r>
        <w:tab/>
        <w:t>9(1) and (2)</w:t>
      </w:r>
    </w:p>
    <w:p>
      <w:pPr>
        <w:pStyle w:val="DefinedTerms"/>
      </w:pPr>
      <w:r>
        <w:t>arrears</w:t>
      </w:r>
      <w:r>
        <w:tab/>
        <w:t>3(1)</w:t>
      </w:r>
    </w:p>
    <w:p>
      <w:pPr>
        <w:pStyle w:val="DefinedTerms"/>
      </w:pPr>
      <w:r>
        <w:t>assessed amount</w:t>
      </w:r>
      <w:r>
        <w:tab/>
        <w:t>3(1)</w:t>
      </w:r>
    </w:p>
    <w:p>
      <w:pPr>
        <w:pStyle w:val="DefinedTerms"/>
      </w:pPr>
      <w:r>
        <w:t>DA</w:t>
      </w:r>
      <w:r>
        <w:tab/>
        <w:t>3(2)</w:t>
      </w:r>
    </w:p>
    <w:p>
      <w:pPr>
        <w:pStyle w:val="DefinedTerms"/>
      </w:pPr>
      <w:r>
        <w:t>discountable amount</w:t>
      </w:r>
      <w:r>
        <w:tab/>
        <w:t>3(1)</w:t>
      </w:r>
    </w:p>
    <w:p>
      <w:pPr>
        <w:pStyle w:val="DefinedTerms"/>
      </w:pPr>
      <w:r>
        <w:t>incorrect payment</w:t>
      </w:r>
      <w:r>
        <w:tab/>
        <w:t>10A(1)</w:t>
      </w:r>
    </w:p>
    <w:p>
      <w:pPr>
        <w:pStyle w:val="DefinedTerms"/>
      </w:pPr>
      <w:r>
        <w:t>option 1</w:t>
      </w:r>
      <w:r>
        <w:tab/>
        <w:t>3(1)</w:t>
      </w:r>
    </w:p>
    <w:p>
      <w:pPr>
        <w:pStyle w:val="DefinedTerms"/>
      </w:pPr>
      <w:r>
        <w:t>option 2</w:t>
      </w:r>
      <w:r>
        <w:tab/>
        <w:t>3(1)</w:t>
      </w:r>
    </w:p>
    <w:p>
      <w:pPr>
        <w:pStyle w:val="DefinedTerms"/>
      </w:pPr>
      <w:r>
        <w:t>option 3</w:t>
      </w:r>
      <w:r>
        <w:tab/>
        <w:t>3(1)</w:t>
      </w:r>
    </w:p>
    <w:p>
      <w:pPr>
        <w:pStyle w:val="DefinedTerms"/>
      </w:pPr>
      <w:r>
        <w:t>RA</w:t>
      </w:r>
      <w:r>
        <w:tab/>
        <w:t>3(2)</w:t>
      </w:r>
    </w:p>
    <w:p>
      <w:pPr>
        <w:pStyle w:val="DefinedTerms"/>
      </w:pPr>
      <w:r>
        <w:t>relevant assessment notice</w:t>
      </w:r>
      <w:r>
        <w:tab/>
        <w:t>3(1)</w:t>
      </w:r>
    </w:p>
    <w:p>
      <w:pPr>
        <w:pStyle w:val="DefinedTerms"/>
      </w:pPr>
      <w:r>
        <w:t>relevant provision</w:t>
      </w:r>
      <w:r>
        <w:tab/>
        <w:t>10A(1)(a)</w:t>
      </w:r>
    </w:p>
    <w:p>
      <w:pPr>
        <w:pStyle w:val="DefinedTerms"/>
      </w:pPr>
      <w:r>
        <w:t>residual amount</w:t>
      </w:r>
      <w:r>
        <w:tab/>
        <w:t>3(1)</w:t>
      </w:r>
    </w:p>
    <w:p/>
    <w:p>
      <w:pPr>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FB6C26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0102723"/>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 w:name="WAFER_20140630171344" w:val="RemoveTocBookmarks,RunningHeaders"/>
    <w:docVar w:name="WAFER_20140630171344_GUID" w:val="f06a11e4-c5a8-4911-8d03-a08d3752c3f9"/>
    <w:docVar w:name="WAFER_20140918134336" w:val="RemoveTocBookmarks,RemoveUnusedBookmarks,RemoveLanguageTags,UsedStyles,ResetPageSize"/>
    <w:docVar w:name="WAFER_20140918134336_GUID" w:val="21a80fdd-65eb-4656-a402-d21b35e602f4"/>
    <w:docVar w:name="WAFER_20150519160723" w:val="ResetPageSize,UpdateArrangement,UpdateNTable"/>
    <w:docVar w:name="WAFER_20150519160723_GUID" w:val="3cad5f49-cc89-4c96-b0b4-6899fa73c785"/>
    <w:docVar w:name="WAFER_20150917130139" w:val="RemoveTocBookmarks,RemoveUnusedBookmarks,RemoveLanguageTags,UsedStyles,ResetPageSize"/>
    <w:docVar w:name="WAFER_20150917130139_GUID" w:val="fcd47015-e56b-40c4-ad74-e02b411ab635"/>
    <w:docVar w:name="WAFER_20151109155932" w:val="UpdateStyles"/>
    <w:docVar w:name="WAFER_20151109155932_GUID" w:val="3caba97a-efec-44f8-990e-f15e2ad046a8"/>
    <w:docVar w:name="WAFER_20151109160318" w:val="UsedStyles"/>
    <w:docVar w:name="WAFER_20151109160318_GUID" w:val="514e9afa-26ee-4b1c-a37f-095bf598d829"/>
    <w:docVar w:name="WAFER_20161031171618" w:val="RemoveTocBookmarks,RemoveUnusedBookmarks,RemoveLanguageTags,UsedStyles,ResetPageSize,RemoveCustomizations"/>
    <w:docVar w:name="WAFER_20161031171618_GUID" w:val="0291ff6d-c8a8-4852-807a-df6759061ec3"/>
    <w:docVar w:name="WAFER_20161220102656" w:val="RemoveTocBookmarks,RemoveUnusedBookmarks,RemoveLanguageTags,UsedStyles,RemoveTrackChanges"/>
    <w:docVar w:name="WAFER_20161220102656_GUID" w:val="a6fb6e45-2588-4b14-aaa2-b98d0e072569"/>
    <w:docVar w:name="WAFER_20161220102723" w:val="RemoveTocBookmarks,RemoveLanguageTags,RemoveTrackChanges,RunningHeaders"/>
    <w:docVar w:name="WAFER_20161220102723_GUID" w:val="d095cb0f-6d4c-47aa-843b-85088d9418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2.bin"/><Relationship Id="rId39" Type="http://schemas.openxmlformats.org/officeDocument/2006/relationships/image" Target="media/image10.png"/><Relationship Id="rId21" Type="http://schemas.openxmlformats.org/officeDocument/2006/relationships/footer" Target="footer6.xml"/><Relationship Id="rId34" Type="http://schemas.openxmlformats.org/officeDocument/2006/relationships/oleObject" Target="embeddings/oleObject6.bin"/><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image" Target="media/image9.wmf"/><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wmf"/><Relationship Id="rId41" Type="http://schemas.openxmlformats.org/officeDocument/2006/relationships/header" Target="header1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header" Target="header8.xml"/><Relationship Id="rId49"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wmf"/><Relationship Id="rId44" Type="http://schemas.openxmlformats.org/officeDocument/2006/relationships/header" Target="header14.xml"/><Relationship Id="rId52"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5.wmf"/><Relationship Id="rId30" Type="http://schemas.openxmlformats.org/officeDocument/2006/relationships/oleObject" Target="embeddings/oleObject4.bin"/><Relationship Id="rId35" Type="http://schemas.openxmlformats.org/officeDocument/2006/relationships/header" Target="header7.xml"/><Relationship Id="rId43" Type="http://schemas.openxmlformats.org/officeDocument/2006/relationships/header" Target="header13.xml"/><Relationship Id="rId48"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C9D4-4EA4-44CB-B8B0-5E53DC39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4730</Words>
  <Characters>22851</Characters>
  <Application>Microsoft Office Word</Application>
  <DocSecurity>0</DocSecurity>
  <Lines>692</Lines>
  <Paragraphs>367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27214</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2003 - 02-a0-00</dc:title>
  <dc:subject/>
  <dc:creator/>
  <cp:keywords/>
  <dc:description/>
  <cp:lastModifiedBy>svcMRProcess</cp:lastModifiedBy>
  <cp:revision>4</cp:revision>
  <cp:lastPrinted>2017-04-12T03:45:00Z</cp:lastPrinted>
  <dcterms:created xsi:type="dcterms:W3CDTF">2020-02-26T01:01:00Z</dcterms:created>
  <dcterms:modified xsi:type="dcterms:W3CDTF">2020-02-26T01:01:00Z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DocumentType">
    <vt:lpwstr>Reg</vt:lpwstr>
  </property>
  <property fmtid="{D5CDD505-2E9C-101B-9397-08002B2CF9AE}" pid="4" name="OwlsUID">
    <vt:i4>15942</vt:i4>
  </property>
  <property fmtid="{D5CDD505-2E9C-101B-9397-08002B2CF9AE}" pid="5" name="ReprintedAsAt">
    <vt:filetime>2017-04-06T16:00:00Z</vt:filetime>
  </property>
  <property fmtid="{D5CDD505-2E9C-101B-9397-08002B2CF9AE}" pid="6" name="ReprintNo">
    <vt:lpwstr>2</vt:lpwstr>
  </property>
  <property fmtid="{D5CDD505-2E9C-101B-9397-08002B2CF9AE}" pid="7" name="AsAtDate">
    <vt:lpwstr>07 Apr 2017</vt:lpwstr>
  </property>
  <property fmtid="{D5CDD505-2E9C-101B-9397-08002B2CF9AE}" pid="8" name="Suffix">
    <vt:lpwstr>02-a0-00</vt:lpwstr>
  </property>
  <property fmtid="{D5CDD505-2E9C-101B-9397-08002B2CF9AE}" pid="9" name="CommencementDate">
    <vt:lpwstr>20170407</vt:lpwstr>
  </property>
</Properties>
</file>