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_Toc131917319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_Toc131917320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_Toc131917321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_Toc131917322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Electricity transmission network</w:t>
      </w:r>
      <w:r>
        <w:tab/>
      </w:r>
      <w:r>
        <w:fldChar w:fldCharType="begin"/>
      </w:r>
      <w:r>
        <w:instrText xml:space="preserve"> PAGEREF _Toc131917323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Reports and forecasts and prescribed fees</w:t>
      </w:r>
      <w:r>
        <w:tab/>
      </w:r>
      <w:r>
        <w:fldChar w:fldCharType="begin"/>
      </w:r>
      <w:r>
        <w:instrText xml:space="preserve"> PAGEREF _Toc131917324 \h </w:instrText>
      </w:r>
      <w:r>
        <w:fldChar w:fldCharType="separate"/>
      </w:r>
      <w:r>
        <w:t>11</w:t>
      </w:r>
      <w:r>
        <w:fldChar w:fldCharType="end"/>
      </w:r>
    </w:p>
    <w:p>
      <w:pPr>
        <w:pStyle w:val="TOC2"/>
        <w:tabs>
          <w:tab w:val="right" w:leader="dot" w:pos="7078"/>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_Toc131917326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_Toc131917327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an access application</w:t>
      </w:r>
      <w:r>
        <w:tab/>
      </w:r>
      <w:r>
        <w:fldChar w:fldCharType="begin"/>
      </w:r>
      <w:r>
        <w:instrText xml:space="preserve"> PAGEREF _Toc131917328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_Toc131917329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_Toc131917330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_Toc131917331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_Toc131917332 \h </w:instrText>
      </w:r>
      <w:r>
        <w:fldChar w:fldCharType="separate"/>
      </w:r>
      <w:r>
        <w:t>23</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_Toc131917333 \h </w:instrText>
      </w:r>
      <w:r>
        <w:fldChar w:fldCharType="separate"/>
      </w:r>
      <w:r>
        <w:t>24</w:t>
      </w:r>
      <w:r>
        <w:fldChar w:fldCharType="end"/>
      </w:r>
    </w:p>
    <w:p>
      <w:pPr>
        <w:pStyle w:val="TOC8"/>
        <w:rPr>
          <w:sz w:val="24"/>
          <w:szCs w:val="24"/>
        </w:rPr>
      </w:pPr>
      <w:r>
        <w:rPr>
          <w:szCs w:val="24"/>
        </w:rPr>
        <w:t>15</w:t>
      </w:r>
      <w:r>
        <w:rPr>
          <w:snapToGrid w:val="0"/>
          <w:szCs w:val="24"/>
        </w:rPr>
        <w:t>.</w:t>
      </w:r>
      <w:r>
        <w:rPr>
          <w:snapToGrid w:val="0"/>
          <w:szCs w:val="24"/>
        </w:rPr>
        <w:tab/>
        <w:t>Access agreements</w:t>
      </w:r>
      <w:r>
        <w:tab/>
      </w:r>
      <w:r>
        <w:fldChar w:fldCharType="begin"/>
      </w:r>
      <w:r>
        <w:instrText xml:space="preserve"> PAGEREF _Toc131917334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_Toc131917335 \h </w:instrText>
      </w:r>
      <w:r>
        <w:fldChar w:fldCharType="separate"/>
      </w:r>
      <w:r>
        <w:t>27</w:t>
      </w:r>
      <w:r>
        <w:fldChar w:fldCharType="end"/>
      </w:r>
    </w:p>
    <w:p>
      <w:pPr>
        <w:pStyle w:val="TOC8"/>
        <w:rPr>
          <w:sz w:val="24"/>
          <w:szCs w:val="24"/>
        </w:rPr>
      </w:pPr>
      <w:r>
        <w:rPr>
          <w:szCs w:val="24"/>
        </w:rPr>
        <w:t>16A</w:t>
      </w:r>
      <w:r>
        <w:rPr>
          <w:snapToGrid w:val="0"/>
          <w:szCs w:val="24"/>
        </w:rPr>
        <w:t>.</w:t>
      </w:r>
      <w:r>
        <w:rPr>
          <w:snapToGrid w:val="0"/>
          <w:szCs w:val="24"/>
        </w:rPr>
        <w:tab/>
        <w:t>Suspension of time periods</w:t>
      </w:r>
      <w:r>
        <w:tab/>
      </w:r>
      <w:r>
        <w:fldChar w:fldCharType="begin"/>
      </w:r>
      <w:r>
        <w:instrText xml:space="preserve"> PAGEREF _Toc131917336 \h </w:instrText>
      </w:r>
      <w:r>
        <w:fldChar w:fldCharType="separate"/>
      </w:r>
      <w:r>
        <w:t>27</w:t>
      </w:r>
      <w:r>
        <w:fldChar w:fldCharType="end"/>
      </w:r>
    </w:p>
    <w:p>
      <w:pPr>
        <w:pStyle w:val="TOC2"/>
        <w:tabs>
          <w:tab w:val="right" w:leader="dot" w:pos="7078"/>
        </w:tabs>
        <w:rPr>
          <w:b w:val="0"/>
          <w:sz w:val="24"/>
          <w:szCs w:val="24"/>
        </w:rPr>
      </w:pPr>
      <w:r>
        <w:rPr>
          <w:szCs w:val="30"/>
        </w:rPr>
        <w:t>Part 3 — Pricing, prices and charges</w:t>
      </w:r>
    </w:p>
    <w:p>
      <w:pPr>
        <w:pStyle w:val="TOC8"/>
        <w:rPr>
          <w:sz w:val="24"/>
          <w:szCs w:val="24"/>
        </w:rPr>
      </w:pPr>
      <w:r>
        <w:rPr>
          <w:szCs w:val="24"/>
        </w:rPr>
        <w:t>17</w:t>
      </w:r>
      <w:r>
        <w:rPr>
          <w:snapToGrid w:val="0"/>
          <w:szCs w:val="24"/>
        </w:rPr>
        <w:t>.</w:t>
      </w:r>
      <w:r>
        <w:rPr>
          <w:snapToGrid w:val="0"/>
          <w:szCs w:val="24"/>
        </w:rPr>
        <w:tab/>
        <w:t>Pricing methods and prices</w:t>
      </w:r>
      <w:r>
        <w:tab/>
      </w:r>
      <w:r>
        <w:fldChar w:fldCharType="begin"/>
      </w:r>
      <w:r>
        <w:instrText xml:space="preserve"> PAGEREF _Toc131917338 \h </w:instrText>
      </w:r>
      <w:r>
        <w:fldChar w:fldCharType="separate"/>
      </w:r>
      <w:r>
        <w:t>28</w:t>
      </w:r>
      <w:r>
        <w:fldChar w:fldCharType="end"/>
      </w:r>
    </w:p>
    <w:p>
      <w:pPr>
        <w:pStyle w:val="TOC8"/>
        <w:rPr>
          <w:sz w:val="24"/>
          <w:szCs w:val="24"/>
        </w:rPr>
      </w:pPr>
      <w:r>
        <w:rPr>
          <w:szCs w:val="24"/>
        </w:rPr>
        <w:t>18</w:t>
      </w:r>
      <w:r>
        <w:rPr>
          <w:snapToGrid w:val="0"/>
          <w:szCs w:val="24"/>
        </w:rPr>
        <w:t>.</w:t>
      </w:r>
      <w:r>
        <w:rPr>
          <w:snapToGrid w:val="0"/>
          <w:szCs w:val="24"/>
        </w:rPr>
        <w:tab/>
        <w:t>Charges</w:t>
      </w:r>
      <w:r>
        <w:tab/>
      </w:r>
      <w:r>
        <w:fldChar w:fldCharType="begin"/>
      </w:r>
      <w:r>
        <w:instrText xml:space="preserve"> PAGEREF _Toc131917339 \h </w:instrText>
      </w:r>
      <w:r>
        <w:fldChar w:fldCharType="separate"/>
      </w:r>
      <w:r>
        <w:t>28</w:t>
      </w:r>
      <w:r>
        <w:fldChar w:fldCharType="end"/>
      </w:r>
    </w:p>
    <w:p>
      <w:pPr>
        <w:pStyle w:val="TOC2"/>
        <w:tabs>
          <w:tab w:val="right" w:leader="dot" w:pos="7078"/>
        </w:tabs>
        <w:rPr>
          <w:b w:val="0"/>
          <w:sz w:val="24"/>
          <w:szCs w:val="24"/>
        </w:rPr>
      </w:pPr>
      <w:r>
        <w:rPr>
          <w:szCs w:val="30"/>
        </w:rPr>
        <w:lastRenderedPageBreak/>
        <w:t>Part 4 — Balancing</w:t>
      </w:r>
    </w:p>
    <w:p>
      <w:pPr>
        <w:pStyle w:val="TOC8"/>
        <w:rPr>
          <w:sz w:val="24"/>
          <w:szCs w:val="24"/>
        </w:rPr>
      </w:pPr>
      <w:r>
        <w:rPr>
          <w:szCs w:val="24"/>
        </w:rPr>
        <w:t>19</w:t>
      </w:r>
      <w:r>
        <w:rPr>
          <w:snapToGrid w:val="0"/>
          <w:szCs w:val="24"/>
        </w:rPr>
        <w:t>.</w:t>
      </w:r>
      <w:r>
        <w:rPr>
          <w:snapToGrid w:val="0"/>
          <w:szCs w:val="24"/>
        </w:rPr>
        <w:tab/>
        <w:t>Standby arrangements</w:t>
      </w:r>
      <w:r>
        <w:tab/>
      </w:r>
      <w:r>
        <w:fldChar w:fldCharType="begin"/>
      </w:r>
      <w:r>
        <w:instrText xml:space="preserve"> PAGEREF _Toc131917341 \h </w:instrText>
      </w:r>
      <w:r>
        <w:fldChar w:fldCharType="separate"/>
      </w:r>
      <w:r>
        <w:t>29</w:t>
      </w:r>
      <w:r>
        <w:fldChar w:fldCharType="end"/>
      </w:r>
    </w:p>
    <w:p>
      <w:pPr>
        <w:pStyle w:val="TOC8"/>
        <w:rPr>
          <w:sz w:val="24"/>
          <w:szCs w:val="24"/>
        </w:rPr>
      </w:pPr>
      <w:r>
        <w:rPr>
          <w:szCs w:val="24"/>
        </w:rPr>
        <w:t>20.</w:t>
      </w:r>
      <w:r>
        <w:rPr>
          <w:szCs w:val="24"/>
        </w:rPr>
        <w:tab/>
        <w:t>Loss factors</w:t>
      </w:r>
      <w:r>
        <w:tab/>
      </w:r>
      <w:r>
        <w:fldChar w:fldCharType="begin"/>
      </w:r>
      <w:r>
        <w:instrText xml:space="preserve"> PAGEREF _Toc131917342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Interpretation of regulations 22, 23 and 25</w:t>
      </w:r>
      <w:r>
        <w:tab/>
      </w:r>
      <w:r>
        <w:fldChar w:fldCharType="begin"/>
      </w:r>
      <w:r>
        <w:instrText xml:space="preserve"> PAGEREF _Toc131917343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Balancing</w:t>
      </w:r>
      <w:r>
        <w:tab/>
      </w:r>
      <w:r>
        <w:fldChar w:fldCharType="begin"/>
      </w:r>
      <w:r>
        <w:instrText xml:space="preserve"> PAGEREF _Toc131917344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Excess standby generation charge</w:t>
      </w:r>
      <w:r>
        <w:tab/>
      </w:r>
      <w:r>
        <w:fldChar w:fldCharType="begin"/>
      </w:r>
      <w:r>
        <w:instrText xml:space="preserve"> PAGEREF _Toc131917345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Excess network usage charge</w:t>
      </w:r>
      <w:r>
        <w:tab/>
      </w:r>
      <w:r>
        <w:fldChar w:fldCharType="begin"/>
      </w:r>
      <w:r>
        <w:instrText xml:space="preserve"> PAGEREF _Toc131917346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Other consequences of being out of balance</w:t>
      </w:r>
      <w:r>
        <w:tab/>
      </w:r>
      <w:r>
        <w:fldChar w:fldCharType="begin"/>
      </w:r>
      <w:r>
        <w:instrText xml:space="preserve"> PAGEREF _Toc131917347 \h </w:instrText>
      </w:r>
      <w:r>
        <w:fldChar w:fldCharType="separate"/>
      </w:r>
      <w:r>
        <w:t>42</w:t>
      </w:r>
      <w:r>
        <w:fldChar w:fldCharType="end"/>
      </w:r>
    </w:p>
    <w:p>
      <w:pPr>
        <w:pStyle w:val="TOC2"/>
        <w:tabs>
          <w:tab w:val="right" w:leader="dot" w:pos="7078"/>
        </w:tabs>
        <w:rPr>
          <w:b w:val="0"/>
          <w:sz w:val="24"/>
          <w:szCs w:val="24"/>
        </w:rPr>
      </w:pPr>
      <w:r>
        <w:rPr>
          <w:szCs w:val="30"/>
        </w:rPr>
        <w:t>Part 5 — Technical regulation</w:t>
      </w:r>
    </w:p>
    <w:p>
      <w:pPr>
        <w:pStyle w:val="TOC8"/>
        <w:rPr>
          <w:sz w:val="24"/>
          <w:szCs w:val="24"/>
        </w:rPr>
      </w:pPr>
      <w:r>
        <w:rPr>
          <w:szCs w:val="24"/>
        </w:rPr>
        <w:t>26</w:t>
      </w:r>
      <w:r>
        <w:rPr>
          <w:snapToGrid w:val="0"/>
          <w:szCs w:val="24"/>
        </w:rPr>
        <w:t>.</w:t>
      </w:r>
      <w:r>
        <w:rPr>
          <w:snapToGrid w:val="0"/>
          <w:szCs w:val="24"/>
        </w:rPr>
        <w:tab/>
        <w:t>Technical Code</w:t>
      </w:r>
      <w:r>
        <w:tab/>
      </w:r>
      <w:r>
        <w:fldChar w:fldCharType="begin"/>
      </w:r>
      <w:r>
        <w:instrText xml:space="preserve"> PAGEREF _Toc131917349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Network planning criteria</w:t>
      </w:r>
      <w:r>
        <w:tab/>
      </w:r>
      <w:r>
        <w:fldChar w:fldCharType="begin"/>
      </w:r>
      <w:r>
        <w:instrText xml:space="preserve"> PAGEREF _Toc131917350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Good electricity industry practice</w:t>
      </w:r>
      <w:r>
        <w:tab/>
      </w:r>
      <w:r>
        <w:fldChar w:fldCharType="begin"/>
      </w:r>
      <w:r>
        <w:instrText xml:space="preserve"> PAGEREF _Toc131917351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Interruption and curtailment powers</w:t>
      </w:r>
      <w:r>
        <w:tab/>
      </w:r>
      <w:r>
        <w:fldChar w:fldCharType="begin"/>
      </w:r>
      <w:r>
        <w:instrText xml:space="preserve"> PAGEREF _Toc131917352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Safety and security of electricity transmission network</w:t>
      </w:r>
      <w:r>
        <w:tab/>
      </w:r>
      <w:r>
        <w:fldChar w:fldCharType="begin"/>
      </w:r>
      <w:r>
        <w:instrText xml:space="preserve"> PAGEREF _Toc131917353 \h </w:instrText>
      </w:r>
      <w:r>
        <w:fldChar w:fldCharType="separate"/>
      </w:r>
      <w:r>
        <w:t>50</w:t>
      </w:r>
      <w:r>
        <w:fldChar w:fldCharType="end"/>
      </w:r>
    </w:p>
    <w:p>
      <w:pPr>
        <w:pStyle w:val="TOC8"/>
        <w:rPr>
          <w:sz w:val="24"/>
          <w:szCs w:val="24"/>
        </w:rPr>
      </w:pPr>
      <w:r>
        <w:rPr>
          <w:szCs w:val="24"/>
        </w:rPr>
        <w:t>31</w:t>
      </w:r>
      <w:r>
        <w:rPr>
          <w:snapToGrid w:val="0"/>
          <w:szCs w:val="24"/>
        </w:rPr>
        <w:t>.</w:t>
      </w:r>
      <w:r>
        <w:rPr>
          <w:snapToGrid w:val="0"/>
          <w:szCs w:val="24"/>
        </w:rPr>
        <w:tab/>
        <w:t>Operation, maintenance and extension planning</w:t>
      </w:r>
      <w:r>
        <w:tab/>
      </w:r>
      <w:r>
        <w:fldChar w:fldCharType="begin"/>
      </w:r>
      <w:r>
        <w:instrText xml:space="preserve"> PAGEREF _Toc131917354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Information required to prepare annual reports</w:t>
      </w:r>
      <w:r>
        <w:tab/>
      </w:r>
      <w:r>
        <w:fldChar w:fldCharType="begin"/>
      </w:r>
      <w:r>
        <w:instrText xml:space="preserve"> PAGEREF _Toc131917355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Augmentation of the electricity transmission network</w:t>
      </w:r>
      <w:r>
        <w:tab/>
      </w:r>
      <w:r>
        <w:fldChar w:fldCharType="begin"/>
      </w:r>
      <w:r>
        <w:instrText xml:space="preserve"> PAGEREF _Toc131917356 \h </w:instrText>
      </w:r>
      <w:r>
        <w:fldChar w:fldCharType="separate"/>
      </w:r>
      <w:r>
        <w:t>53</w:t>
      </w:r>
      <w:r>
        <w:fldChar w:fldCharType="end"/>
      </w:r>
    </w:p>
    <w:p>
      <w:pPr>
        <w:pStyle w:val="TOC2"/>
        <w:tabs>
          <w:tab w:val="right" w:leader="dot" w:pos="7078"/>
        </w:tabs>
        <w:rPr>
          <w:b w:val="0"/>
          <w:sz w:val="24"/>
          <w:szCs w:val="24"/>
        </w:rPr>
      </w:pPr>
      <w:r>
        <w:rPr>
          <w:szCs w:val="30"/>
        </w:rPr>
        <w:t>Part 6 — Access terms</w:t>
      </w:r>
    </w:p>
    <w:p>
      <w:pPr>
        <w:pStyle w:val="TOC8"/>
        <w:rPr>
          <w:sz w:val="24"/>
          <w:szCs w:val="24"/>
        </w:rPr>
      </w:pPr>
      <w:r>
        <w:rPr>
          <w:szCs w:val="24"/>
        </w:rPr>
        <w:t>34</w:t>
      </w:r>
      <w:r>
        <w:rPr>
          <w:snapToGrid w:val="0"/>
          <w:szCs w:val="24"/>
        </w:rPr>
        <w:t>.</w:t>
      </w:r>
      <w:r>
        <w:rPr>
          <w:snapToGrid w:val="0"/>
          <w:szCs w:val="24"/>
        </w:rPr>
        <w:tab/>
        <w:t>Reasonable endeavours</w:t>
      </w:r>
      <w:r>
        <w:tab/>
      </w:r>
      <w:r>
        <w:fldChar w:fldCharType="begin"/>
      </w:r>
      <w:r>
        <w:instrText xml:space="preserve"> PAGEREF _Toc131917358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_Toc131917359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Effect of access to capacity</w:t>
      </w:r>
      <w:r>
        <w:tab/>
      </w:r>
      <w:r>
        <w:fldChar w:fldCharType="begin"/>
      </w:r>
      <w:r>
        <w:instrText xml:space="preserve"> PAGEREF _Toc131917360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Minimum term and renewal</w:t>
      </w:r>
      <w:r>
        <w:tab/>
      </w:r>
      <w:r>
        <w:fldChar w:fldCharType="begin"/>
      </w:r>
      <w:r>
        <w:instrText xml:space="preserve"> PAGEREF _Toc131917361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Contract maximum demand and declared sent</w:t>
      </w:r>
      <w:r>
        <w:rPr>
          <w:snapToGrid w:val="0"/>
          <w:szCs w:val="24"/>
        </w:rPr>
        <w:noBreakHyphen/>
        <w:t>out capacity</w:t>
      </w:r>
      <w:r>
        <w:tab/>
      </w:r>
      <w:r>
        <w:fldChar w:fldCharType="begin"/>
      </w:r>
      <w:r>
        <w:instrText xml:space="preserve"> PAGEREF _Toc131917362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Commencement date</w:t>
      </w:r>
      <w:r>
        <w:tab/>
      </w:r>
      <w:r>
        <w:fldChar w:fldCharType="begin"/>
      </w:r>
      <w:r>
        <w:instrText xml:space="preserve"> PAGEREF _Toc131917363 \h </w:instrText>
      </w:r>
      <w:r>
        <w:fldChar w:fldCharType="separate"/>
      </w:r>
      <w:r>
        <w:t>59</w:t>
      </w:r>
      <w:r>
        <w:fldChar w:fldCharType="end"/>
      </w:r>
    </w:p>
    <w:p>
      <w:pPr>
        <w:pStyle w:val="TOC2"/>
        <w:tabs>
          <w:tab w:val="right" w:leader="dot" w:pos="7078"/>
        </w:tabs>
        <w:rPr>
          <w:b w:val="0"/>
          <w:sz w:val="24"/>
          <w:szCs w:val="24"/>
        </w:rPr>
      </w:pPr>
      <w:r>
        <w:rPr>
          <w:szCs w:val="30"/>
        </w:rPr>
        <w:t>Part 7 — Enforcement, liability and insurance</w:t>
      </w:r>
    </w:p>
    <w:p>
      <w:pPr>
        <w:pStyle w:val="TOC8"/>
        <w:rPr>
          <w:sz w:val="24"/>
          <w:szCs w:val="24"/>
        </w:rPr>
      </w:pPr>
      <w:r>
        <w:rPr>
          <w:szCs w:val="24"/>
        </w:rPr>
        <w:t>40</w:t>
      </w:r>
      <w:r>
        <w:rPr>
          <w:snapToGrid w:val="0"/>
          <w:szCs w:val="24"/>
        </w:rPr>
        <w:t>.</w:t>
      </w:r>
      <w:r>
        <w:rPr>
          <w:snapToGrid w:val="0"/>
          <w:szCs w:val="24"/>
        </w:rPr>
        <w:tab/>
        <w:t>Enforcement</w:t>
      </w:r>
      <w:r>
        <w:tab/>
      </w:r>
      <w:r>
        <w:fldChar w:fldCharType="begin"/>
      </w:r>
      <w:r>
        <w:instrText xml:space="preserve"> PAGEREF _Toc131917365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Liability, insurance and indemnity</w:t>
      </w:r>
      <w:r>
        <w:tab/>
      </w:r>
      <w:r>
        <w:fldChar w:fldCharType="begin"/>
      </w:r>
      <w:r>
        <w:instrText xml:space="preserve"> PAGEREF _Toc131917366 \h </w:instrText>
      </w:r>
      <w:r>
        <w:fldChar w:fldCharType="separate"/>
      </w:r>
      <w:r>
        <w:t>61</w:t>
      </w:r>
      <w:r>
        <w:fldChar w:fldCharType="end"/>
      </w:r>
    </w:p>
    <w:p>
      <w:pPr>
        <w:pStyle w:val="TOC2"/>
        <w:tabs>
          <w:tab w:val="right" w:leader="dot" w:pos="7078"/>
        </w:tabs>
        <w:rPr>
          <w:b w:val="0"/>
          <w:sz w:val="24"/>
          <w:szCs w:val="24"/>
        </w:rPr>
      </w:pPr>
      <w:r>
        <w:rPr>
          <w:szCs w:val="30"/>
        </w:rPr>
        <w:t>Part 8 — Other matters</w:t>
      </w:r>
    </w:p>
    <w:p>
      <w:pPr>
        <w:pStyle w:val="TOC8"/>
        <w:rPr>
          <w:sz w:val="24"/>
          <w:szCs w:val="24"/>
        </w:rPr>
      </w:pPr>
      <w:r>
        <w:rPr>
          <w:szCs w:val="24"/>
        </w:rPr>
        <w:t>42</w:t>
      </w:r>
      <w:r>
        <w:rPr>
          <w:snapToGrid w:val="0"/>
          <w:szCs w:val="24"/>
        </w:rPr>
        <w:t>.</w:t>
      </w:r>
      <w:r>
        <w:rPr>
          <w:snapToGrid w:val="0"/>
          <w:szCs w:val="24"/>
        </w:rPr>
        <w:tab/>
        <w:t>Ancillary services</w:t>
      </w:r>
      <w:r>
        <w:tab/>
      </w:r>
      <w:r>
        <w:fldChar w:fldCharType="begin"/>
      </w:r>
      <w:r>
        <w:instrText xml:space="preserve"> PAGEREF _Toc131917368 \h </w:instrText>
      </w:r>
      <w:r>
        <w:fldChar w:fldCharType="separate"/>
      </w:r>
      <w:r>
        <w:t>64</w:t>
      </w:r>
      <w:r>
        <w:fldChar w:fldCharType="end"/>
      </w:r>
    </w:p>
    <w:p>
      <w:pPr>
        <w:pStyle w:val="TOC8"/>
        <w:rPr>
          <w:sz w:val="24"/>
          <w:szCs w:val="24"/>
        </w:rPr>
      </w:pPr>
      <w:r>
        <w:rPr>
          <w:szCs w:val="24"/>
        </w:rPr>
        <w:t>43</w:t>
      </w:r>
      <w:r>
        <w:rPr>
          <w:snapToGrid w:val="0"/>
          <w:szCs w:val="24"/>
        </w:rPr>
        <w:t>.</w:t>
      </w:r>
      <w:r>
        <w:rPr>
          <w:snapToGrid w:val="0"/>
          <w:szCs w:val="24"/>
        </w:rPr>
        <w:tab/>
        <w:t>Prudential requirements</w:t>
      </w:r>
      <w:r>
        <w:tab/>
      </w:r>
      <w:r>
        <w:fldChar w:fldCharType="begin"/>
      </w:r>
      <w:r>
        <w:instrText xml:space="preserve"> PAGEREF _Toc131917369 \h </w:instrText>
      </w:r>
      <w:r>
        <w:fldChar w:fldCharType="separate"/>
      </w:r>
      <w:r>
        <w:t>65</w:t>
      </w:r>
      <w:r>
        <w:fldChar w:fldCharType="end"/>
      </w:r>
    </w:p>
    <w:p>
      <w:pPr>
        <w:pStyle w:val="TOC8"/>
        <w:rPr>
          <w:sz w:val="24"/>
          <w:szCs w:val="24"/>
        </w:rPr>
      </w:pPr>
      <w:r>
        <w:rPr>
          <w:szCs w:val="24"/>
        </w:rPr>
        <w:t>44</w:t>
      </w:r>
      <w:r>
        <w:rPr>
          <w:snapToGrid w:val="0"/>
          <w:szCs w:val="24"/>
        </w:rPr>
        <w:t>.</w:t>
      </w:r>
      <w:r>
        <w:rPr>
          <w:snapToGrid w:val="0"/>
          <w:szCs w:val="24"/>
        </w:rPr>
        <w:tab/>
        <w:t>Title to electricity</w:t>
      </w:r>
      <w:r>
        <w:tab/>
      </w:r>
      <w:r>
        <w:fldChar w:fldCharType="begin"/>
      </w:r>
      <w:r>
        <w:instrText xml:space="preserve"> PAGEREF _Toc131917370 \h </w:instrText>
      </w:r>
      <w:r>
        <w:fldChar w:fldCharType="separate"/>
      </w:r>
      <w:r>
        <w:t>66</w:t>
      </w:r>
      <w:r>
        <w:fldChar w:fldCharType="end"/>
      </w:r>
    </w:p>
    <w:p>
      <w:pPr>
        <w:pStyle w:val="TOC8"/>
        <w:rPr>
          <w:sz w:val="24"/>
          <w:szCs w:val="24"/>
        </w:rPr>
      </w:pPr>
      <w:r>
        <w:rPr>
          <w:szCs w:val="24"/>
        </w:rPr>
        <w:t>45</w:t>
      </w:r>
      <w:r>
        <w:rPr>
          <w:snapToGrid w:val="0"/>
          <w:szCs w:val="24"/>
        </w:rPr>
        <w:t>.</w:t>
      </w:r>
      <w:r>
        <w:rPr>
          <w:snapToGrid w:val="0"/>
          <w:szCs w:val="24"/>
        </w:rPr>
        <w:tab/>
        <w:t>Assignment of access agreements</w:t>
      </w:r>
      <w:r>
        <w:tab/>
      </w:r>
      <w:r>
        <w:fldChar w:fldCharType="begin"/>
      </w:r>
      <w:r>
        <w:instrText xml:space="preserve"> PAGEREF _Toc131917371 \h </w:instrText>
      </w:r>
      <w:r>
        <w:fldChar w:fldCharType="separate"/>
      </w:r>
      <w:r>
        <w:t>66</w:t>
      </w:r>
      <w:r>
        <w:fldChar w:fldCharType="end"/>
      </w:r>
    </w:p>
    <w:p>
      <w:pPr>
        <w:pStyle w:val="TOC8"/>
        <w:rPr>
          <w:sz w:val="24"/>
          <w:szCs w:val="24"/>
        </w:rPr>
      </w:pPr>
      <w:r>
        <w:rPr>
          <w:szCs w:val="24"/>
        </w:rPr>
        <w:t>46</w:t>
      </w:r>
      <w:r>
        <w:rPr>
          <w:snapToGrid w:val="0"/>
          <w:szCs w:val="24"/>
        </w:rPr>
        <w:t>.</w:t>
      </w:r>
      <w:r>
        <w:rPr>
          <w:snapToGrid w:val="0"/>
          <w:szCs w:val="24"/>
        </w:rPr>
        <w:tab/>
        <w:t>Essential terms</w:t>
      </w:r>
      <w:r>
        <w:tab/>
      </w:r>
      <w:r>
        <w:fldChar w:fldCharType="begin"/>
      </w:r>
      <w:r>
        <w:instrText xml:space="preserve"> PAGEREF _Toc131917372 \h </w:instrText>
      </w:r>
      <w:r>
        <w:fldChar w:fldCharType="separate"/>
      </w:r>
      <w:r>
        <w:t>67</w:t>
      </w:r>
      <w:r>
        <w:fldChar w:fldCharType="end"/>
      </w:r>
    </w:p>
    <w:p>
      <w:pPr>
        <w:pStyle w:val="TOC8"/>
        <w:rPr>
          <w:sz w:val="24"/>
          <w:szCs w:val="24"/>
        </w:rPr>
      </w:pPr>
      <w:r>
        <w:rPr>
          <w:szCs w:val="24"/>
        </w:rPr>
        <w:t>47</w:t>
      </w:r>
      <w:r>
        <w:rPr>
          <w:snapToGrid w:val="0"/>
          <w:szCs w:val="24"/>
        </w:rPr>
        <w:t>.</w:t>
      </w:r>
      <w:r>
        <w:rPr>
          <w:snapToGrid w:val="0"/>
          <w:szCs w:val="24"/>
        </w:rPr>
        <w:tab/>
        <w:t>Representations and warranties</w:t>
      </w:r>
      <w:r>
        <w:tab/>
      </w:r>
      <w:r>
        <w:fldChar w:fldCharType="begin"/>
      </w:r>
      <w:r>
        <w:instrText xml:space="preserve"> PAGEREF _Toc131917373 \h </w:instrText>
      </w:r>
      <w:r>
        <w:fldChar w:fldCharType="separate"/>
      </w:r>
      <w:r>
        <w:t>67</w:t>
      </w:r>
      <w:r>
        <w:fldChar w:fldCharType="end"/>
      </w:r>
    </w:p>
    <w:p>
      <w:pPr>
        <w:pStyle w:val="TOC8"/>
        <w:rPr>
          <w:sz w:val="24"/>
          <w:szCs w:val="24"/>
        </w:rPr>
      </w:pPr>
      <w:r>
        <w:rPr>
          <w:szCs w:val="24"/>
        </w:rPr>
        <w:t>48</w:t>
      </w:r>
      <w:r>
        <w:rPr>
          <w:snapToGrid w:val="0"/>
          <w:szCs w:val="24"/>
        </w:rPr>
        <w:t>.</w:t>
      </w:r>
      <w:r>
        <w:rPr>
          <w:snapToGrid w:val="0"/>
          <w:szCs w:val="24"/>
        </w:rPr>
        <w:tab/>
        <w:t>Payment arrangements</w:t>
      </w:r>
      <w:r>
        <w:tab/>
      </w:r>
      <w:r>
        <w:fldChar w:fldCharType="begin"/>
      </w:r>
      <w:r>
        <w:instrText xml:space="preserve"> PAGEREF _Toc131917374 \h </w:instrText>
      </w:r>
      <w:r>
        <w:fldChar w:fldCharType="separate"/>
      </w:r>
      <w:r>
        <w:t>69</w:t>
      </w:r>
      <w:r>
        <w:fldChar w:fldCharType="end"/>
      </w:r>
    </w:p>
    <w:p>
      <w:pPr>
        <w:pStyle w:val="TOC2"/>
        <w:tabs>
          <w:tab w:val="right" w:leader="dot" w:pos="7078"/>
        </w:tabs>
        <w:rPr>
          <w:b w:val="0"/>
          <w:sz w:val="24"/>
          <w:szCs w:val="24"/>
        </w:rPr>
      </w:pPr>
      <w:r>
        <w:rPr>
          <w:szCs w:val="30"/>
        </w:rPr>
        <w:t>Part 9 — Committed capacity and transitional provisions</w:t>
      </w:r>
    </w:p>
    <w:p>
      <w:pPr>
        <w:pStyle w:val="TOC8"/>
        <w:rPr>
          <w:sz w:val="24"/>
          <w:szCs w:val="24"/>
        </w:rPr>
      </w:pPr>
      <w:r>
        <w:rPr>
          <w:szCs w:val="24"/>
        </w:rPr>
        <w:t>49.</w:t>
      </w:r>
      <w:r>
        <w:rPr>
          <w:szCs w:val="24"/>
        </w:rPr>
        <w:tab/>
        <w:t>Regional Power Corporation’s existing capacity</w:t>
      </w:r>
      <w:r>
        <w:tab/>
      </w:r>
      <w:r>
        <w:fldChar w:fldCharType="begin"/>
      </w:r>
      <w:r>
        <w:instrText xml:space="preserve"> PAGEREF _Toc131917376 \h </w:instrText>
      </w:r>
      <w:r>
        <w:fldChar w:fldCharType="separate"/>
      </w:r>
      <w:r>
        <w:t>70</w:t>
      </w:r>
      <w:r>
        <w:fldChar w:fldCharType="end"/>
      </w:r>
    </w:p>
    <w:p>
      <w:pPr>
        <w:pStyle w:val="TOC8"/>
        <w:rPr>
          <w:sz w:val="24"/>
          <w:szCs w:val="24"/>
        </w:rPr>
      </w:pPr>
      <w:r>
        <w:rPr>
          <w:szCs w:val="24"/>
        </w:rPr>
        <w:t>49A.</w:t>
      </w:r>
      <w:r>
        <w:rPr>
          <w:szCs w:val="24"/>
        </w:rPr>
        <w:tab/>
        <w:t>Contract maximum demand for existing connections</w:t>
      </w:r>
      <w:r>
        <w:tab/>
      </w:r>
      <w:r>
        <w:fldChar w:fldCharType="begin"/>
      </w:r>
      <w:r>
        <w:instrText xml:space="preserve"> PAGEREF _Toc131917377 \h </w:instrText>
      </w:r>
      <w:r>
        <w:fldChar w:fldCharType="separate"/>
      </w:r>
      <w:r>
        <w:t>70</w:t>
      </w:r>
      <w:r>
        <w:fldChar w:fldCharType="end"/>
      </w:r>
    </w:p>
    <w:p>
      <w:pPr>
        <w:pStyle w:val="TOC8"/>
        <w:rPr>
          <w:sz w:val="24"/>
          <w:szCs w:val="24"/>
        </w:rPr>
      </w:pPr>
      <w:r>
        <w:rPr>
          <w:szCs w:val="24"/>
        </w:rPr>
        <w:t>50</w:t>
      </w:r>
      <w:r>
        <w:rPr>
          <w:snapToGrid w:val="0"/>
          <w:szCs w:val="24"/>
        </w:rPr>
        <w:t>.</w:t>
      </w:r>
      <w:r>
        <w:rPr>
          <w:snapToGrid w:val="0"/>
          <w:szCs w:val="24"/>
        </w:rPr>
        <w:tab/>
        <w:t>Existing agreements</w:t>
      </w:r>
      <w:r>
        <w:tab/>
      </w:r>
      <w:r>
        <w:fldChar w:fldCharType="begin"/>
      </w:r>
      <w:r>
        <w:instrText xml:space="preserve"> PAGEREF _Toc131917378 \h </w:instrText>
      </w:r>
      <w:r>
        <w:fldChar w:fldCharType="separate"/>
      </w:r>
      <w:r>
        <w:t>70</w:t>
      </w:r>
      <w:r>
        <w:fldChar w:fldCharType="end"/>
      </w:r>
    </w:p>
    <w:p>
      <w:pPr>
        <w:pStyle w:val="TOC2"/>
        <w:tabs>
          <w:tab w:val="right" w:leader="dot" w:pos="7078"/>
        </w:tabs>
        <w:rPr>
          <w:b w:val="0"/>
          <w:sz w:val="24"/>
          <w:szCs w:val="24"/>
        </w:rPr>
      </w:pPr>
      <w:r>
        <w:rPr>
          <w:szCs w:val="28"/>
        </w:rPr>
        <w:t>Schedule 1 — Access application flow chart</w:t>
      </w:r>
    </w:p>
    <w:p>
      <w:pPr>
        <w:pStyle w:val="TOC2"/>
        <w:tabs>
          <w:tab w:val="right" w:leader="dot" w:pos="7078"/>
        </w:tabs>
        <w:rPr>
          <w:b w:val="0"/>
          <w:sz w:val="24"/>
          <w:szCs w:val="24"/>
        </w:rPr>
      </w:pPr>
      <w:r>
        <w:rPr>
          <w:szCs w:val="28"/>
        </w:rPr>
        <w:t>Schedule 2 — Access information</w:t>
      </w:r>
    </w:p>
    <w:p>
      <w:pPr>
        <w:pStyle w:val="TOC2"/>
        <w:tabs>
          <w:tab w:val="right" w:leader="dot" w:pos="7078"/>
        </w:tabs>
        <w:rPr>
          <w:b w:val="0"/>
          <w:sz w:val="24"/>
          <w:szCs w:val="24"/>
        </w:rPr>
      </w:pPr>
      <w:r>
        <w:rPr>
          <w:szCs w:val="28"/>
        </w:rPr>
        <w:t>Schedule 3 — Terms of an access offer</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_Toc131917383 \h </w:instrText>
      </w:r>
      <w:r>
        <w:fldChar w:fldCharType="separate"/>
      </w:r>
      <w:r>
        <w:t>77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Transmission Regulations 1996</w:t>
      </w:r>
    </w:p>
    <w:p>
      <w:pPr>
        <w:pStyle w:val="Heading2"/>
        <w:pageBreakBefore w:val="0"/>
      </w:pPr>
      <w:bookmarkStart w:id="1" w:name="_Toc92191378"/>
      <w:bookmarkStart w:id="2" w:name="_Toc92191443"/>
      <w:bookmarkStart w:id="3" w:name="_Toc92254560"/>
      <w:bookmarkStart w:id="4" w:name="_Toc107388397"/>
      <w:bookmarkStart w:id="5" w:name="_Toc125447383"/>
      <w:bookmarkStart w:id="6" w:name="_Toc125452796"/>
      <w:bookmarkStart w:id="7" w:name="_Toc131823621"/>
      <w:bookmarkStart w:id="8" w:name="_Toc131823746"/>
      <w:bookmarkStart w:id="9" w:name="_Toc131917318"/>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34108042"/>
      <w:bookmarkStart w:id="11" w:name="_Toc4983138"/>
      <w:bookmarkStart w:id="12" w:name="_Toc131823622"/>
      <w:bookmarkStart w:id="13" w:name="_Toc131917319"/>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4" w:name="_Toc534108043"/>
      <w:bookmarkStart w:id="15" w:name="_Toc4983139"/>
      <w:bookmarkStart w:id="16" w:name="_Toc131823623"/>
      <w:bookmarkStart w:id="17" w:name="_Toc131917320"/>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8" w:name="_Toc534108044"/>
      <w:bookmarkStart w:id="19" w:name="_Toc4983140"/>
      <w:bookmarkStart w:id="20" w:name="_Toc131823624"/>
      <w:bookmarkStart w:id="21" w:name="_Toc131917321"/>
      <w:r>
        <w:rPr>
          <w:rStyle w:val="CharSectno"/>
        </w:rPr>
        <w:t>3</w:t>
      </w:r>
      <w:r>
        <w:rPr>
          <w:snapToGrid w:val="0"/>
        </w:rPr>
        <w:t>.</w:t>
      </w:r>
      <w:r>
        <w:rPr>
          <w:snapToGrid w:val="0"/>
        </w:rPr>
        <w:tab/>
        <w:t>Definitions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access agreement</w:t>
      </w:r>
      <w:r>
        <w:rPr>
          <w:b/>
        </w:rPr>
        <w: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iCs/>
        </w:rPr>
        <w:t>Electricity Corporations Act 2005</w:t>
      </w:r>
      <w:r>
        <w:t>;</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w:t>
      </w:r>
      <w:r>
        <w:rPr>
          <w:vertAlign w:val="superscript"/>
        </w:rPr>
        <w:t>2</w:t>
      </w:r>
      <w:r>
        <w:t xml:space="preserve">, the </w:t>
      </w:r>
      <w:r>
        <w:rPr>
          <w:i/>
        </w:rPr>
        <w:t>Electricity Act 1945</w:t>
      </w:r>
      <w:r>
        <w:t xml:space="preserve"> ,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corporation</w:t>
      </w:r>
      <w:r>
        <w:rPr>
          <w:b/>
        </w:rPr>
        <w:t>”</w:t>
      </w:r>
      <w:r>
        <w:t xml:space="preserve"> has the meaning given to that term in section 2 of the Act;</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Generation Corporation</w:t>
      </w:r>
      <w:r>
        <w:rPr>
          <w:b/>
        </w:rPr>
        <w:t>”</w:t>
      </w:r>
      <w:r>
        <w:t xml:space="preserve"> means the body established by section 4(1)(a) of the </w:t>
      </w:r>
      <w:r>
        <w:rPr>
          <w:i/>
          <w:iCs/>
        </w:rPr>
        <w:t>Electricity Corporations Act 2005</w:t>
      </w:r>
      <w:r>
        <w:t>;</w:t>
      </w:r>
    </w:p>
    <w:p>
      <w:pPr>
        <w:pStyle w:val="Defstart"/>
      </w:pPr>
      <w:r>
        <w:rPr>
          <w:b/>
        </w:rPr>
        <w:tab/>
        <w:t>“</w:t>
      </w:r>
      <w:r>
        <w:rPr>
          <w:rStyle w:val="CharDefText"/>
        </w:rPr>
        <w:t>Electricity Networks Corporation</w:t>
      </w:r>
      <w:r>
        <w:rPr>
          <w:b/>
        </w:rPr>
        <w:t>”</w:t>
      </w:r>
      <w:r>
        <w:t xml:space="preserve"> means the body established by section 4(1)(b) of the </w:t>
      </w:r>
      <w:r>
        <w:rPr>
          <w:i/>
          <w:iCs/>
        </w:rPr>
        <w:t>Electricity Corporations Act 2005</w:t>
      </w:r>
      <w:r>
        <w:t>;</w:t>
      </w:r>
    </w:p>
    <w:p>
      <w:pPr>
        <w:pStyle w:val="Defstart"/>
      </w:pPr>
      <w:r>
        <w:rPr>
          <w:b/>
        </w:rPr>
        <w:tab/>
        <w:t>“</w:t>
      </w:r>
      <w:r>
        <w:rPr>
          <w:rStyle w:val="CharDefText"/>
        </w:rPr>
        <w:t>Electricity Retail Corporation</w:t>
      </w:r>
      <w:r>
        <w:rPr>
          <w:b/>
        </w:rPr>
        <w:t>”</w:t>
      </w:r>
      <w:r>
        <w:t xml:space="preserve"> means the body established by section 4(1)(c) of the </w:t>
      </w:r>
      <w:r>
        <w:rPr>
          <w:i/>
          <w:iCs/>
        </w:rPr>
        <w:t>Electricity Corporations Act 2005</w:t>
      </w:r>
      <w:r>
        <w:t>;</w:t>
      </w:r>
    </w:p>
    <w:p>
      <w:pPr>
        <w:pStyle w:val="Defstart"/>
      </w:pPr>
      <w:r>
        <w:rPr>
          <w:b/>
        </w:rPr>
        <w:tab/>
        <w:t>“</w:t>
      </w:r>
      <w:r>
        <w:rPr>
          <w:rStyle w:val="CharDefText"/>
        </w:rPr>
        <w:t>electricity transmission network</w:t>
      </w:r>
      <w:r>
        <w:rPr>
          <w:b/>
        </w:rPr>
        <w:t>”</w:t>
      </w:r>
      <w:r>
        <w:t>, in respect of a corporation, means the parts of the corporation’s system prescribed in regulation 5(1);</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a corporation;</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w:t>
      </w:r>
      <w:r>
        <w:rPr>
          <w:rStyle w:val="CharDefText"/>
        </w:rPr>
        <w:t>network planning criteria</w:t>
      </w:r>
      <w:r>
        <w:rPr>
          <w:b/>
        </w:rPr>
        <w:t>”</w:t>
      </w:r>
      <w:r>
        <w:t xml:space="preserve"> means the criteria prepared by a corporation under regulation 27;</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t>“</w:t>
      </w:r>
      <w:r>
        <w:rPr>
          <w:rStyle w:val="CharDefText"/>
        </w:rPr>
        <w:t>Regional Power Corporation</w:t>
      </w:r>
      <w:r>
        <w:rPr>
          <w:b/>
        </w:rPr>
        <w:t>”</w:t>
      </w:r>
      <w:r>
        <w:t xml:space="preserve"> means the body established by section 4(1)(d) of the </w:t>
      </w:r>
      <w:r>
        <w:rPr>
          <w:i/>
          <w:iCs/>
        </w:rPr>
        <w:t>Electricity Corporations Act 2005</w:t>
      </w:r>
      <w:r>
        <w:t>;</w:t>
      </w:r>
    </w:p>
    <w:p>
      <w:pPr>
        <w:pStyle w:val="Defstart"/>
        <w:keepNext/>
        <w:keepLines/>
      </w:pPr>
      <w:r>
        <w:rPr>
          <w:b/>
        </w:rPr>
        <w:tab/>
        <w:t>“</w:t>
      </w:r>
      <w:r>
        <w:rPr>
          <w:rStyle w:val="CharDefText"/>
        </w:rPr>
        <w:t>related body corporate</w:t>
      </w:r>
      <w:r>
        <w:rPr>
          <w:b/>
        </w:rPr>
        <w:t>”</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t>“</w:t>
      </w:r>
      <w:r>
        <w:rPr>
          <w:rStyle w:val="CharDefText"/>
        </w:rPr>
        <w:t>Technical Code</w:t>
      </w:r>
      <w:r>
        <w:rPr>
          <w:b/>
        </w:rPr>
        <w:t>”</w:t>
      </w:r>
      <w:r>
        <w:t>, in relation to a corporation, means the Technical Code prepared by the corporation under regulation 26;</w:t>
      </w:r>
    </w:p>
    <w:p>
      <w:pPr>
        <w:pStyle w:val="Defstart"/>
      </w:pPr>
      <w:r>
        <w:rPr>
          <w:b/>
        </w:rPr>
        <w:tab/>
        <w:t>“</w:t>
      </w:r>
      <w:r>
        <w:rPr>
          <w:rStyle w:val="CharDefText"/>
        </w:rPr>
        <w:t>transmission employee</w:t>
      </w:r>
      <w:r>
        <w:rPr>
          <w:b/>
        </w:rPr>
        <w:t>”</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Subsection"/>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w:t>
      </w:r>
    </w:p>
    <w:p>
      <w:pPr>
        <w:pStyle w:val="Heading5"/>
        <w:rPr>
          <w:snapToGrid w:val="0"/>
        </w:rPr>
      </w:pPr>
      <w:bookmarkStart w:id="22" w:name="_Toc534108045"/>
      <w:bookmarkStart w:id="23" w:name="_Toc4983141"/>
      <w:bookmarkStart w:id="24" w:name="_Toc131823625"/>
      <w:bookmarkStart w:id="25" w:name="_Toc131917322"/>
      <w:r>
        <w:rPr>
          <w:rStyle w:val="CharSectno"/>
        </w:rPr>
        <w:t>4</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
          <w:snapToGrid w:val="0"/>
        </w:rPr>
        <w:t>“</w:t>
      </w:r>
      <w:r>
        <w:rPr>
          <w:b/>
          <w:snapToGrid w:val="0"/>
        </w:rPr>
        <w:sym w:font="Symbol" w:char="F053"/>
      </w:r>
      <w:r>
        <w:rPr>
          <w:b/>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26" w:name="_Toc534108046"/>
      <w:bookmarkStart w:id="27" w:name="_Toc4983142"/>
      <w:bookmarkStart w:id="28" w:name="_Toc131823626"/>
      <w:bookmarkStart w:id="29" w:name="_Toc131917323"/>
      <w:r>
        <w:rPr>
          <w:rStyle w:val="CharSectno"/>
        </w:rPr>
        <w:t>5</w:t>
      </w:r>
      <w:r>
        <w:rPr>
          <w:snapToGrid w:val="0"/>
        </w:rPr>
        <w:t>.</w:t>
      </w:r>
      <w:r>
        <w:rPr>
          <w:snapToGrid w:val="0"/>
        </w:rPr>
        <w:tab/>
        <w:t>Electricity transmission network</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w:t>
      </w:r>
      <w:r>
        <w:tab/>
        <w:t>repealed]</w:t>
      </w:r>
    </w:p>
    <w:p>
      <w:pPr>
        <w:pStyle w:val="Subsection"/>
        <w:rPr>
          <w:snapToGrid w:val="0"/>
        </w:rPr>
      </w:pPr>
      <w:r>
        <w:rPr>
          <w:snapToGrid w:val="0"/>
        </w:rPr>
        <w:tab/>
        <w:t>(3)</w:t>
      </w:r>
      <w:r>
        <w:rPr>
          <w:snapToGrid w:val="0"/>
        </w:rPr>
        <w:tab/>
        <w:t>Subject to subregulation (4), a corporation must prepare and maintain an accurate description (including a geographical depiction) of its electricity transmission network.</w:t>
      </w:r>
    </w:p>
    <w:p>
      <w:pPr>
        <w:pStyle w:val="Subsection"/>
        <w:rPr>
          <w:snapToGrid w:val="0"/>
        </w:rPr>
      </w:pPr>
      <w:r>
        <w:rPr>
          <w:snapToGrid w:val="0"/>
        </w:rPr>
        <w:tab/>
        <w:t>(4)</w:t>
      </w:r>
      <w:r>
        <w:rPr>
          <w:snapToGrid w:val="0"/>
        </w:rPr>
        <w:tab/>
        <w:t>A corporation must prepare the initial description of the electricity transmission network under subregulation (3) as at</w:t>
      </w:r>
      <w:r>
        <w:t xml:space="preserve"> 1 April 2006 on or before 1 May 2006.</w:t>
      </w:r>
    </w:p>
    <w:p>
      <w:pPr>
        <w:pStyle w:val="Subsection"/>
        <w:rPr>
          <w:snapToGrid w:val="0"/>
        </w:rPr>
      </w:pPr>
      <w:r>
        <w:rPr>
          <w:snapToGrid w:val="0"/>
        </w:rPr>
        <w:tab/>
        <w:t>(5)</w:t>
      </w:r>
      <w:r>
        <w:rPr>
          <w:snapToGrid w:val="0"/>
        </w:rPr>
        <w:tab/>
      </w:r>
      <w:r>
        <w:t xml:space="preserve">A corporation </w:t>
      </w:r>
      <w:r>
        <w:rPr>
          <w:snapToGrid w:val="0"/>
        </w:rPr>
        <w:t>must supply a copy of the description of the electricity transmission network prepared and maintained under subregulation (3) to any person which requests a copy of it.</w:t>
      </w:r>
    </w:p>
    <w:p>
      <w:pPr>
        <w:pStyle w:val="Footnotesection"/>
      </w:pPr>
      <w:r>
        <w:tab/>
        <w:t>[Regulation 5 amended in Gazette 31 Mar 2006 p. 1329</w:t>
      </w:r>
      <w:r>
        <w:noBreakHyphen/>
        <w:t>30 and 1338.]</w:t>
      </w:r>
    </w:p>
    <w:p>
      <w:pPr>
        <w:pStyle w:val="Heading5"/>
        <w:rPr>
          <w:snapToGrid w:val="0"/>
        </w:rPr>
      </w:pPr>
      <w:bookmarkStart w:id="30" w:name="_Toc534108047"/>
      <w:bookmarkStart w:id="31" w:name="_Toc4983143"/>
      <w:bookmarkStart w:id="32" w:name="_Toc131823627"/>
      <w:bookmarkStart w:id="33" w:name="_Toc131917324"/>
      <w:r>
        <w:rPr>
          <w:rStyle w:val="CharSectno"/>
        </w:rPr>
        <w:t>6</w:t>
      </w:r>
      <w:r>
        <w:rPr>
          <w:snapToGrid w:val="0"/>
        </w:rPr>
        <w:t>.</w:t>
      </w:r>
      <w:r>
        <w:rPr>
          <w:snapToGrid w:val="0"/>
        </w:rPr>
        <w:tab/>
        <w:t>Reports and forecasts and prescribed fees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must prepare the annual reports and forecasts required by clause 4(1) of Schedule 5 to the Act no later than 31 May each year.</w:t>
      </w:r>
    </w:p>
    <w:p>
      <w:pPr>
        <w:pStyle w:val="Subsection"/>
        <w:rPr>
          <w:snapToGrid w:val="0"/>
        </w:rPr>
      </w:pPr>
      <w:r>
        <w:rPr>
          <w:snapToGrid w:val="0"/>
        </w:rPr>
        <w:tab/>
        <w:t>(2)</w:t>
      </w:r>
      <w:r>
        <w:rPr>
          <w:snapToGrid w:val="0"/>
        </w:rPr>
        <w:tab/>
      </w:r>
      <w:r>
        <w:t xml:space="preserve">A corporation </w:t>
      </w:r>
      <w:r>
        <w:rPr>
          <w:snapToGrid w:val="0"/>
        </w:rPr>
        <w:t xml:space="preserve">must prepare the first annual report required by clause 4(1)(c) of Schedule 5 to the Act on or before </w:t>
      </w:r>
      <w:r>
        <w:t>1 May 2006.</w:t>
      </w:r>
    </w:p>
    <w:p>
      <w:pPr>
        <w:pStyle w:val="Ednotesubsection"/>
      </w:pPr>
      <w:r>
        <w:tab/>
        <w:t>[(3), (4)</w:t>
      </w:r>
      <w:r>
        <w:tab/>
        <w:t>repealed]</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Footnotesection"/>
      </w:pPr>
      <w:r>
        <w:tab/>
        <w:t>[Regulation 6 amended in Gazette 31 Mar 2006 p. 1330.]</w:t>
      </w:r>
    </w:p>
    <w:p>
      <w:pPr>
        <w:pStyle w:val="Heading2"/>
      </w:pPr>
      <w:bookmarkStart w:id="34" w:name="_Toc92191385"/>
      <w:bookmarkStart w:id="35" w:name="_Toc92191450"/>
      <w:bookmarkStart w:id="36" w:name="_Toc92254567"/>
      <w:bookmarkStart w:id="37" w:name="_Toc107388404"/>
      <w:bookmarkStart w:id="38" w:name="_Toc125447390"/>
      <w:bookmarkStart w:id="39" w:name="_Toc125452803"/>
      <w:bookmarkStart w:id="40" w:name="_Toc131823628"/>
      <w:bookmarkStart w:id="41" w:name="_Toc131823753"/>
      <w:bookmarkStart w:id="42" w:name="_Toc131917325"/>
      <w:r>
        <w:rPr>
          <w:rStyle w:val="CharPartNo"/>
        </w:rPr>
        <w:t>Part 2</w:t>
      </w:r>
      <w:r>
        <w:rPr>
          <w:rStyle w:val="CharDivNo"/>
        </w:rPr>
        <w:t> </w:t>
      </w:r>
      <w:r>
        <w:t>—</w:t>
      </w:r>
      <w:r>
        <w:rPr>
          <w:rStyle w:val="CharDivText"/>
        </w:rPr>
        <w:t> </w:t>
      </w:r>
      <w:r>
        <w:rPr>
          <w:rStyle w:val="CharPartText"/>
        </w:rPr>
        <w:t>Access</w:t>
      </w:r>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34108048"/>
      <w:bookmarkStart w:id="44" w:name="_Toc4983144"/>
      <w:bookmarkStart w:id="45" w:name="_Toc131823629"/>
      <w:bookmarkStart w:id="46" w:name="_Toc131917326"/>
      <w:r>
        <w:rPr>
          <w:rStyle w:val="CharSectno"/>
        </w:rPr>
        <w:t>7</w:t>
      </w:r>
      <w:r>
        <w:rPr>
          <w:snapToGrid w:val="0"/>
        </w:rPr>
        <w:t>.</w:t>
      </w:r>
      <w:r>
        <w:rPr>
          <w:snapToGrid w:val="0"/>
        </w:rPr>
        <w:tab/>
        <w:t>Access procedure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47" w:name="_Toc534108049"/>
      <w:bookmarkStart w:id="48" w:name="_Toc4983145"/>
      <w:bookmarkStart w:id="49" w:name="_Toc131823630"/>
      <w:bookmarkStart w:id="50" w:name="_Toc131917327"/>
      <w:r>
        <w:rPr>
          <w:rStyle w:val="CharSectno"/>
        </w:rPr>
        <w:t>8</w:t>
      </w:r>
      <w:r>
        <w:rPr>
          <w:snapToGrid w:val="0"/>
        </w:rPr>
        <w:t>.</w:t>
      </w:r>
      <w:r>
        <w:rPr>
          <w:snapToGrid w:val="0"/>
        </w:rPr>
        <w:tab/>
        <w:t>Access application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keepNext/>
        <w:keepLines/>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1338-39.]</w:t>
      </w:r>
    </w:p>
    <w:p>
      <w:pPr>
        <w:pStyle w:val="Heading5"/>
        <w:rPr>
          <w:snapToGrid w:val="0"/>
        </w:rPr>
      </w:pPr>
      <w:bookmarkStart w:id="51" w:name="_Toc534108050"/>
      <w:bookmarkStart w:id="52" w:name="_Toc4983146"/>
      <w:bookmarkStart w:id="53" w:name="_Toc131823631"/>
      <w:bookmarkStart w:id="54" w:name="_Toc131917328"/>
      <w:r>
        <w:rPr>
          <w:rStyle w:val="CharSectno"/>
        </w:rPr>
        <w:t>9</w:t>
      </w:r>
      <w:r>
        <w:rPr>
          <w:snapToGrid w:val="0"/>
        </w:rPr>
        <w:t>.</w:t>
      </w:r>
      <w:r>
        <w:rPr>
          <w:snapToGrid w:val="0"/>
        </w:rPr>
        <w:tab/>
        <w:t>Provision and use of information in respect of an access application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1338-39.]</w:t>
      </w:r>
    </w:p>
    <w:p>
      <w:pPr>
        <w:pStyle w:val="Heading5"/>
        <w:rPr>
          <w:snapToGrid w:val="0"/>
        </w:rPr>
      </w:pPr>
      <w:bookmarkStart w:id="55" w:name="_Toc534108051"/>
      <w:bookmarkStart w:id="56" w:name="_Toc4983147"/>
      <w:bookmarkStart w:id="57" w:name="_Toc131823632"/>
      <w:bookmarkStart w:id="58" w:name="_Toc131917329"/>
      <w:r>
        <w:rPr>
          <w:rStyle w:val="CharSectno"/>
        </w:rPr>
        <w:t>10</w:t>
      </w:r>
      <w:r>
        <w:rPr>
          <w:snapToGrid w:val="0"/>
        </w:rPr>
        <w:t>.</w:t>
      </w:r>
      <w:r>
        <w:rPr>
          <w:snapToGrid w:val="0"/>
        </w:rPr>
        <w:tab/>
        <w:t>Preliminary assessment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59" w:name="_Toc534108052"/>
      <w:bookmarkStart w:id="60" w:name="_Toc4983148"/>
      <w:bookmarkStart w:id="61" w:name="_Toc131823633"/>
      <w:bookmarkStart w:id="62" w:name="_Toc131917330"/>
      <w:r>
        <w:rPr>
          <w:rStyle w:val="CharSectno"/>
        </w:rPr>
        <w:t>11</w:t>
      </w:r>
      <w:r>
        <w:rPr>
          <w:snapToGrid w:val="0"/>
        </w:rPr>
        <w:t>.</w:t>
      </w:r>
      <w:r>
        <w:rPr>
          <w:snapToGrid w:val="0"/>
        </w:rPr>
        <w:tab/>
        <w:t>Access offer</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b/>
          <w:snapToGrid w:val="0"/>
        </w:rPr>
        <w:t>“</w:t>
      </w:r>
      <w:r>
        <w:rPr>
          <w:rStyle w:val="CharDefText"/>
        </w:rPr>
        <w:t>alternative services</w:t>
      </w:r>
      <w:r>
        <w:rPr>
          <w:b/>
          <w:snapToGrid w:val="0"/>
        </w:rPr>
        <w:t>”</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keepNext/>
        <w:keepLines/>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63" w:name="_Toc534108053"/>
      <w:bookmarkStart w:id="64" w:name="_Toc4983149"/>
      <w:bookmarkStart w:id="65" w:name="_Toc131823634"/>
      <w:bookmarkStart w:id="66" w:name="_Toc131917331"/>
      <w:r>
        <w:rPr>
          <w:rStyle w:val="CharSectno"/>
        </w:rPr>
        <w:t>12</w:t>
      </w:r>
      <w:r>
        <w:rPr>
          <w:snapToGrid w:val="0"/>
        </w:rPr>
        <w:t>.</w:t>
      </w:r>
      <w:r>
        <w:rPr>
          <w:snapToGrid w:val="0"/>
        </w:rPr>
        <w:tab/>
        <w:t>Capital contributions</w:t>
      </w:r>
      <w:bookmarkEnd w:id="63"/>
      <w:bookmarkEnd w:id="64"/>
      <w:bookmarkEnd w:id="65"/>
      <w:bookmarkEnd w:id="66"/>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iCs/>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it will recover within a reasonable time the costs, the capital investment and a reasonable rate of return on the capital investment in respect of the augmentation as contemplated by clause 5 of Schedule 5 to the Act,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iCs/>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w:t>
      </w:r>
    </w:p>
    <w:p>
      <w:pPr>
        <w:pStyle w:val="Heading5"/>
        <w:rPr>
          <w:snapToGrid w:val="0"/>
        </w:rPr>
      </w:pPr>
      <w:bookmarkStart w:id="67" w:name="_Toc534108054"/>
      <w:bookmarkStart w:id="68" w:name="_Toc4983150"/>
      <w:bookmarkStart w:id="69" w:name="_Toc131823635"/>
      <w:bookmarkStart w:id="70" w:name="_Toc131917332"/>
      <w:r>
        <w:rPr>
          <w:rStyle w:val="CharSectno"/>
        </w:rPr>
        <w:t>13</w:t>
      </w:r>
      <w:r>
        <w:rPr>
          <w:snapToGrid w:val="0"/>
        </w:rPr>
        <w:t>.</w:t>
      </w:r>
      <w:r>
        <w:rPr>
          <w:snapToGrid w:val="0"/>
        </w:rPr>
        <w:tab/>
        <w:t>First come first served</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71" w:name="_Toc534108055"/>
      <w:bookmarkStart w:id="72" w:name="_Toc4983151"/>
      <w:bookmarkStart w:id="73" w:name="_Toc131823636"/>
      <w:bookmarkStart w:id="74" w:name="_Toc131917333"/>
      <w:r>
        <w:rPr>
          <w:rStyle w:val="CharSectno"/>
        </w:rPr>
        <w:t>14</w:t>
      </w:r>
      <w:r>
        <w:rPr>
          <w:snapToGrid w:val="0"/>
        </w:rPr>
        <w:t>.</w:t>
      </w:r>
      <w:r>
        <w:rPr>
          <w:snapToGrid w:val="0"/>
        </w:rPr>
        <w:tab/>
        <w:t>Confidentiality</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75" w:name="_Toc534108056"/>
      <w:bookmarkStart w:id="76" w:name="_Toc4983152"/>
      <w:bookmarkStart w:id="77" w:name="_Toc131823637"/>
      <w:bookmarkStart w:id="78" w:name="_Toc131917334"/>
      <w:r>
        <w:rPr>
          <w:rStyle w:val="CharSectno"/>
        </w:rPr>
        <w:t>15</w:t>
      </w:r>
      <w:r>
        <w:rPr>
          <w:snapToGrid w:val="0"/>
        </w:rPr>
        <w:t>.</w:t>
      </w:r>
      <w:r>
        <w:rPr>
          <w:snapToGrid w:val="0"/>
        </w:rPr>
        <w:tab/>
        <w:t>Access agreements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when </w:t>
      </w:r>
      <w:r>
        <w:t xml:space="preserve">the corporation </w:t>
      </w:r>
      <w:r>
        <w:rPr>
          <w:snapToGrid w:val="0"/>
        </w:rPr>
        <w:t>and the person enter into an access agreement.</w:t>
      </w:r>
    </w:p>
    <w:p>
      <w:pPr>
        <w:pStyle w:val="Ednotesubsection"/>
      </w:pPr>
      <w:bookmarkStart w:id="79" w:name="_Toc534108057"/>
      <w:bookmarkStart w:id="80" w:name="_Toc4983153"/>
      <w:r>
        <w:tab/>
        <w:t>[(2)</w:t>
      </w:r>
      <w:r>
        <w:noBreakHyphen/>
        <w:t>(6)</w:t>
      </w:r>
      <w:r>
        <w:tab/>
        <w:t>repealed]</w:t>
      </w:r>
    </w:p>
    <w:p>
      <w:pPr>
        <w:pStyle w:val="Footnotesection"/>
      </w:pPr>
      <w:r>
        <w:tab/>
        <w:t>[Regulation 15 amended in Gazette 20 Jan 2006 p. 377-8; 31 Mar 2006 p. 1332, 1338</w:t>
      </w:r>
      <w:r>
        <w:noBreakHyphen/>
        <w:t>1340.]</w:t>
      </w:r>
    </w:p>
    <w:p>
      <w:pPr>
        <w:pStyle w:val="Heading5"/>
        <w:rPr>
          <w:snapToGrid w:val="0"/>
        </w:rPr>
      </w:pPr>
      <w:bookmarkStart w:id="81" w:name="_Toc131823638"/>
      <w:bookmarkStart w:id="82" w:name="_Toc131917335"/>
      <w:r>
        <w:rPr>
          <w:rStyle w:val="CharSectno"/>
        </w:rPr>
        <w:t>16</w:t>
      </w:r>
      <w:r>
        <w:rPr>
          <w:snapToGrid w:val="0"/>
        </w:rPr>
        <w:t>.</w:t>
      </w:r>
      <w:r>
        <w:rPr>
          <w:snapToGrid w:val="0"/>
        </w:rPr>
        <w:tab/>
        <w:t>Cost of processing access applications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83" w:name="_Toc534108058"/>
      <w:bookmarkStart w:id="84" w:name="_Toc4983154"/>
      <w:bookmarkStart w:id="85" w:name="_Toc131823639"/>
      <w:bookmarkStart w:id="86" w:name="_Toc131917336"/>
      <w:r>
        <w:rPr>
          <w:rStyle w:val="CharSectno"/>
        </w:rPr>
        <w:t>16A</w:t>
      </w:r>
      <w:r>
        <w:rPr>
          <w:snapToGrid w:val="0"/>
        </w:rPr>
        <w:t>.</w:t>
      </w:r>
      <w:r>
        <w:rPr>
          <w:snapToGrid w:val="0"/>
        </w:rPr>
        <w:tab/>
        <w:t>Suspension of time periods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87" w:name="_Toc92191397"/>
      <w:bookmarkStart w:id="88" w:name="_Toc92191462"/>
      <w:bookmarkStart w:id="89" w:name="_Toc92254579"/>
      <w:bookmarkStart w:id="90" w:name="_Toc107388416"/>
      <w:bookmarkStart w:id="91" w:name="_Toc125447402"/>
      <w:bookmarkStart w:id="92" w:name="_Toc125452815"/>
      <w:bookmarkStart w:id="93" w:name="_Toc131823640"/>
      <w:bookmarkStart w:id="94" w:name="_Toc131823765"/>
      <w:bookmarkStart w:id="95" w:name="_Toc131917337"/>
      <w:r>
        <w:rPr>
          <w:rStyle w:val="CharPartNo"/>
        </w:rPr>
        <w:t>Part 3</w:t>
      </w:r>
      <w:r>
        <w:rPr>
          <w:rStyle w:val="CharDivNo"/>
        </w:rPr>
        <w:t> </w:t>
      </w:r>
      <w:r>
        <w:t>—</w:t>
      </w:r>
      <w:r>
        <w:rPr>
          <w:rStyle w:val="CharDivText"/>
        </w:rPr>
        <w:t> </w:t>
      </w:r>
      <w:r>
        <w:rPr>
          <w:rStyle w:val="CharPartText"/>
        </w:rPr>
        <w:t>Pricing, prices and charges</w:t>
      </w:r>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534108059"/>
      <w:bookmarkStart w:id="97" w:name="_Toc4983155"/>
      <w:bookmarkStart w:id="98" w:name="_Toc131823641"/>
      <w:bookmarkStart w:id="99" w:name="_Toc131917338"/>
      <w:r>
        <w:rPr>
          <w:rStyle w:val="CharSectno"/>
        </w:rPr>
        <w:t>17</w:t>
      </w:r>
      <w:r>
        <w:rPr>
          <w:snapToGrid w:val="0"/>
        </w:rPr>
        <w:t>.</w:t>
      </w:r>
      <w:r>
        <w:rPr>
          <w:snapToGrid w:val="0"/>
        </w:rPr>
        <w:tab/>
        <w:t>Pricing  methods and prices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Before </w:t>
      </w:r>
      <w:r>
        <w:t xml:space="preserve">a corporation </w:t>
      </w:r>
      <w:r>
        <w:rPr>
          <w:snapToGrid w:val="0"/>
        </w:rPr>
        <w:t>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Footnotesection"/>
      </w:pPr>
      <w:r>
        <w:tab/>
        <w:t>[Regulation 17 amended in Gazette 31 Mar 2006 p. 1338</w:t>
      </w:r>
      <w:r>
        <w:noBreakHyphen/>
        <w:t>9.]</w:t>
      </w:r>
    </w:p>
    <w:p>
      <w:pPr>
        <w:pStyle w:val="Heading5"/>
        <w:rPr>
          <w:snapToGrid w:val="0"/>
        </w:rPr>
      </w:pPr>
      <w:bookmarkStart w:id="100" w:name="_Toc534108060"/>
      <w:bookmarkStart w:id="101" w:name="_Toc4983156"/>
      <w:bookmarkStart w:id="102" w:name="_Toc131823642"/>
      <w:bookmarkStart w:id="103" w:name="_Toc131917339"/>
      <w:r>
        <w:rPr>
          <w:rStyle w:val="CharSectno"/>
        </w:rPr>
        <w:t>18</w:t>
      </w:r>
      <w:r>
        <w:rPr>
          <w:snapToGrid w:val="0"/>
        </w:rPr>
        <w:t>.</w:t>
      </w:r>
      <w:r>
        <w:rPr>
          <w:snapToGrid w:val="0"/>
        </w:rPr>
        <w:tab/>
        <w:t>Charges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04" w:name="_Toc92191400"/>
      <w:bookmarkStart w:id="105" w:name="_Toc92191465"/>
      <w:bookmarkStart w:id="106" w:name="_Toc92254582"/>
      <w:bookmarkStart w:id="107" w:name="_Toc107388419"/>
      <w:bookmarkStart w:id="108" w:name="_Toc125447405"/>
      <w:bookmarkStart w:id="109" w:name="_Toc125452818"/>
      <w:bookmarkStart w:id="110" w:name="_Toc131823643"/>
      <w:bookmarkStart w:id="111" w:name="_Toc131823768"/>
      <w:bookmarkStart w:id="112" w:name="_Toc131917340"/>
      <w:r>
        <w:rPr>
          <w:rStyle w:val="CharPartNo"/>
        </w:rPr>
        <w:t>Part 4</w:t>
      </w:r>
      <w:r>
        <w:rPr>
          <w:rStyle w:val="CharDivNo"/>
        </w:rPr>
        <w:t> </w:t>
      </w:r>
      <w:r>
        <w:t>—</w:t>
      </w:r>
      <w:r>
        <w:rPr>
          <w:rStyle w:val="CharDivText"/>
        </w:rPr>
        <w:t> </w:t>
      </w:r>
      <w:r>
        <w:rPr>
          <w:rStyle w:val="CharPartText"/>
        </w:rPr>
        <w:t>Balancing</w:t>
      </w:r>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534108061"/>
      <w:bookmarkStart w:id="114" w:name="_Toc4983157"/>
      <w:bookmarkStart w:id="115" w:name="_Toc131823644"/>
      <w:bookmarkStart w:id="116" w:name="_Toc131917341"/>
      <w:r>
        <w:rPr>
          <w:rStyle w:val="CharSectno"/>
        </w:rPr>
        <w:t>19</w:t>
      </w:r>
      <w:r>
        <w:rPr>
          <w:snapToGrid w:val="0"/>
        </w:rPr>
        <w:t>.</w:t>
      </w:r>
      <w:r>
        <w:rPr>
          <w:snapToGrid w:val="0"/>
        </w:rPr>
        <w:tab/>
        <w:t>Standby arrangements</w:t>
      </w:r>
      <w:bookmarkEnd w:id="113"/>
      <w:bookmarkEnd w:id="114"/>
      <w:bookmarkEnd w:id="115"/>
      <w:bookmarkEnd w:id="11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17" w:name="_Toc534108063"/>
      <w:bookmarkStart w:id="118" w:name="_Toc4983159"/>
      <w:r>
        <w:tab/>
        <w:t>[Regulation 19 amended in Gazette 24 Jun 2005 p. 2753; 31 Mar 2006 p. 1332.]</w:t>
      </w:r>
    </w:p>
    <w:p>
      <w:pPr>
        <w:pStyle w:val="Heading5"/>
      </w:pPr>
      <w:bookmarkStart w:id="119" w:name="_Toc131823645"/>
      <w:bookmarkStart w:id="120" w:name="_Toc131917342"/>
      <w:r>
        <w:rPr>
          <w:rStyle w:val="CharSectno"/>
        </w:rPr>
        <w:t>20</w:t>
      </w:r>
      <w:r>
        <w:t>.</w:t>
      </w:r>
      <w:r>
        <w:tab/>
        <w:t>Loss factors</w:t>
      </w:r>
      <w:bookmarkEnd w:id="119"/>
      <w:bookmarkEnd w:id="120"/>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w:t>
      </w:r>
      <w:r>
        <w:tab/>
        <w:t xml:space="preserve">In this regulation — </w:t>
      </w:r>
    </w:p>
    <w:p>
      <w:pPr>
        <w:pStyle w:val="Defstart"/>
      </w:pPr>
      <w:r>
        <w:rPr>
          <w:b/>
        </w:rPr>
        <w:tab/>
        <w:t>“</w:t>
      </w:r>
      <w:r>
        <w:rPr>
          <w:rStyle w:val="CharDefText"/>
        </w:rPr>
        <w:t>Prices and Charges Paper</w:t>
      </w:r>
      <w:r>
        <w:rPr>
          <w:b/>
        </w:rPr>
        <w:t>”</w:t>
      </w:r>
      <w:r>
        <w:t>, in relation to a corporation, means a document prepared by the corporation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A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a corporation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pPr>
      <w:r>
        <w:tab/>
        <w:t>(7)</w:t>
      </w:r>
      <w:r>
        <w:tab/>
        <w:t>A corporation must review annually the loss factors specified in the Prices and Charges Paper.</w:t>
      </w:r>
    </w:p>
    <w:p>
      <w:pPr>
        <w:pStyle w:val="Footnotesection"/>
      </w:pPr>
      <w:r>
        <w:tab/>
        <w:t>[Regulation 20 inserted in Gazette 29 Oct 2002 p. 5343-4; amended in Gazette 24 Jun 2005 p. 2753; 31 Mar 2006 p. 1333 and 1338-39.]</w:t>
      </w:r>
    </w:p>
    <w:p>
      <w:pPr>
        <w:pStyle w:val="Heading5"/>
        <w:rPr>
          <w:snapToGrid w:val="0"/>
        </w:rPr>
      </w:pPr>
      <w:bookmarkStart w:id="121" w:name="_Toc131823646"/>
      <w:bookmarkStart w:id="122" w:name="_Toc131917343"/>
      <w:r>
        <w:rPr>
          <w:rStyle w:val="CharSectno"/>
        </w:rPr>
        <w:t>21</w:t>
      </w:r>
      <w:r>
        <w:rPr>
          <w:snapToGrid w:val="0"/>
        </w:rPr>
        <w:t>.</w:t>
      </w:r>
      <w:r>
        <w:rPr>
          <w:snapToGrid w:val="0"/>
        </w:rPr>
        <w:tab/>
        <w:t>Interpretation of regulations 22, 23 and 25</w:t>
      </w:r>
      <w:bookmarkEnd w:id="117"/>
      <w:bookmarkEnd w:id="118"/>
      <w:bookmarkEnd w:id="121"/>
      <w:bookmarkEnd w:id="122"/>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0" o:title=""/>
          </v:shape>
          <o:OLEObject Type="Embed" ProgID="Equation.3" ShapeID="_x0000_i1025" DrawAspect="Content" ObjectID="_1643721811"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1.25pt;height:39.75pt" o:ole="" fillcolor="window">
            <v:imagedata r:id="rId22" o:title=""/>
          </v:shape>
          <o:OLEObject Type="Embed" ProgID="Equation.3" ShapeID="_x0000_i1026" DrawAspect="Content" ObjectID="_1643721812"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21 amended in Gazette 28 Dec 2001 p. 6718; 22 Jun 2004 p. 2166; 31 Mar 2006 p. 1333.]</w:t>
      </w:r>
    </w:p>
    <w:p>
      <w:pPr>
        <w:pStyle w:val="Heading5"/>
        <w:rPr>
          <w:snapToGrid w:val="0"/>
        </w:rPr>
      </w:pPr>
      <w:bookmarkStart w:id="123" w:name="_Toc534108064"/>
      <w:bookmarkStart w:id="124" w:name="_Toc4983160"/>
      <w:bookmarkStart w:id="125" w:name="_Toc131823647"/>
      <w:bookmarkStart w:id="126" w:name="_Toc131917344"/>
      <w:r>
        <w:rPr>
          <w:rStyle w:val="CharSectno"/>
        </w:rPr>
        <w:t>22</w:t>
      </w:r>
      <w:r>
        <w:rPr>
          <w:snapToGrid w:val="0"/>
        </w:rPr>
        <w:t>.</w:t>
      </w:r>
      <w:r>
        <w:rPr>
          <w:snapToGrid w:val="0"/>
        </w:rPr>
        <w:tab/>
        <w:t>Balancing</w:t>
      </w:r>
      <w:bookmarkEnd w:id="123"/>
      <w:bookmarkEnd w:id="124"/>
      <w:bookmarkEnd w:id="125"/>
      <w:bookmarkEnd w:id="126"/>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4" o:title=""/>
          </v:shape>
          <o:OLEObject Type="Embed" ProgID="Equation.3" ShapeID="_x0000_i1027" DrawAspect="Content" ObjectID="_1643721813"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6" o:title=""/>
          </v:shape>
          <o:OLEObject Type="Embed" ProgID="Equation.3" ShapeID="_x0000_i1028" DrawAspect="Content" ObjectID="_1643721814"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w:t>
      </w:r>
    </w:p>
    <w:p>
      <w:pPr>
        <w:pStyle w:val="Heading5"/>
        <w:rPr>
          <w:snapToGrid w:val="0"/>
        </w:rPr>
      </w:pPr>
      <w:bookmarkStart w:id="127" w:name="_Toc534108065"/>
      <w:bookmarkStart w:id="128" w:name="_Toc4983161"/>
      <w:bookmarkStart w:id="129" w:name="_Toc131823648"/>
      <w:bookmarkStart w:id="130" w:name="_Toc131917345"/>
      <w:r>
        <w:rPr>
          <w:rStyle w:val="CharSectno"/>
        </w:rPr>
        <w:t>23</w:t>
      </w:r>
      <w:r>
        <w:rPr>
          <w:snapToGrid w:val="0"/>
        </w:rPr>
        <w:t>.</w:t>
      </w:r>
      <w:r>
        <w:rPr>
          <w:snapToGrid w:val="0"/>
        </w:rPr>
        <w:tab/>
        <w:t>Excess standby generation charge</w:t>
      </w:r>
      <w:bookmarkEnd w:id="127"/>
      <w:bookmarkEnd w:id="128"/>
      <w:bookmarkEnd w:id="129"/>
      <w:bookmarkEnd w:id="130"/>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6.75pt;height:33.75pt" o:ole="" fillcolor="window">
            <v:imagedata r:id="rId28" o:title=""/>
          </v:shape>
          <o:OLEObject Type="Embed" ProgID="Equation.3" ShapeID="_x0000_i1029" DrawAspect="Content" ObjectID="_1643721815"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1.25pt;height:36.75pt" o:ole="" fillcolor="window">
            <v:imagedata r:id="rId30" o:title=""/>
          </v:shape>
          <o:OLEObject Type="Embed" ProgID="Equation.3" ShapeID="_x0000_i1030" DrawAspect="Content" ObjectID="_1643721816"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21817"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group of connections that commenced during the month;</w:t>
      </w:r>
    </w:p>
    <w:p>
      <w:pPr>
        <w:pStyle w:val="Indenta"/>
        <w:rPr>
          <w:snapToGrid w:val="0"/>
        </w:rPr>
      </w:pPr>
      <w:r>
        <w:rPr>
          <w:snapToGrid w:val="0"/>
        </w:rPr>
        <w:tab/>
        <w:t>the variable</w:t>
      </w:r>
      <w:r>
        <w:rPr>
          <w:snapToGrid w:val="0"/>
        </w:rPr>
        <w:tab/>
        <w:t>“n” 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w:t>
      </w:r>
    </w:p>
    <w:p>
      <w:pPr>
        <w:pStyle w:val="Heading5"/>
        <w:rPr>
          <w:snapToGrid w:val="0"/>
        </w:rPr>
      </w:pPr>
      <w:bookmarkStart w:id="131" w:name="_Toc534108066"/>
      <w:bookmarkStart w:id="132" w:name="_Toc4983162"/>
      <w:bookmarkStart w:id="133" w:name="_Toc131823649"/>
      <w:bookmarkStart w:id="134" w:name="_Toc131917346"/>
      <w:r>
        <w:rPr>
          <w:rStyle w:val="CharSectno"/>
        </w:rPr>
        <w:t>24</w:t>
      </w:r>
      <w:r>
        <w:rPr>
          <w:snapToGrid w:val="0"/>
        </w:rPr>
        <w:t>.</w:t>
      </w:r>
      <w:r>
        <w:rPr>
          <w:snapToGrid w:val="0"/>
        </w:rPr>
        <w:tab/>
        <w:t>Excess network usage charge</w:t>
      </w:r>
      <w:bookmarkEnd w:id="131"/>
      <w:bookmarkEnd w:id="132"/>
      <w:bookmarkEnd w:id="133"/>
      <w:bookmarkEnd w:id="134"/>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21818"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21819"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135" w:name="_Toc534108067"/>
      <w:bookmarkStart w:id="136" w:name="_Toc4983163"/>
      <w:bookmarkStart w:id="137" w:name="_Toc131823650"/>
      <w:bookmarkStart w:id="138" w:name="_Toc131917347"/>
      <w:r>
        <w:rPr>
          <w:rStyle w:val="CharSectno"/>
        </w:rPr>
        <w:t>25</w:t>
      </w:r>
      <w:r>
        <w:rPr>
          <w:snapToGrid w:val="0"/>
        </w:rPr>
        <w:t>.</w:t>
      </w:r>
      <w:r>
        <w:rPr>
          <w:snapToGrid w:val="0"/>
        </w:rPr>
        <w:tab/>
        <w:t>Other consequences of being out of balance</w:t>
      </w:r>
      <w:bookmarkEnd w:id="135"/>
      <w:bookmarkEnd w:id="136"/>
      <w:bookmarkEnd w:id="137"/>
      <w:bookmarkEnd w:id="138"/>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w:t>
      </w:r>
    </w:p>
    <w:p>
      <w:pPr>
        <w:pStyle w:val="Heading2"/>
      </w:pPr>
      <w:bookmarkStart w:id="139" w:name="_Toc92191408"/>
      <w:bookmarkStart w:id="140" w:name="_Toc92191473"/>
      <w:bookmarkStart w:id="141" w:name="_Toc92254590"/>
      <w:bookmarkStart w:id="142" w:name="_Toc107388427"/>
      <w:bookmarkStart w:id="143" w:name="_Toc125447413"/>
      <w:bookmarkStart w:id="144" w:name="_Toc125452826"/>
      <w:bookmarkStart w:id="145" w:name="_Toc131823651"/>
      <w:bookmarkStart w:id="146" w:name="_Toc131823776"/>
      <w:bookmarkStart w:id="147" w:name="_Toc131917348"/>
      <w:r>
        <w:rPr>
          <w:rStyle w:val="CharPartNo"/>
        </w:rPr>
        <w:t>Part 5</w:t>
      </w:r>
      <w:r>
        <w:rPr>
          <w:rStyle w:val="CharDivNo"/>
        </w:rPr>
        <w:t> </w:t>
      </w:r>
      <w:r>
        <w:t>—</w:t>
      </w:r>
      <w:r>
        <w:rPr>
          <w:rStyle w:val="CharDivText"/>
        </w:rPr>
        <w:t> </w:t>
      </w:r>
      <w:r>
        <w:rPr>
          <w:rStyle w:val="CharPartText"/>
        </w:rPr>
        <w:t>Technical regulation</w:t>
      </w:r>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534108068"/>
      <w:bookmarkStart w:id="149" w:name="_Toc4983164"/>
      <w:bookmarkStart w:id="150" w:name="_Toc131823652"/>
      <w:bookmarkStart w:id="151" w:name="_Toc131917349"/>
      <w:r>
        <w:rPr>
          <w:rStyle w:val="CharSectno"/>
        </w:rPr>
        <w:t>26</w:t>
      </w:r>
      <w:r>
        <w:rPr>
          <w:snapToGrid w:val="0"/>
        </w:rPr>
        <w:t>.</w:t>
      </w:r>
      <w:r>
        <w:rPr>
          <w:snapToGrid w:val="0"/>
        </w:rPr>
        <w:tab/>
        <w:t>Technical Code</w:t>
      </w:r>
      <w:bookmarkEnd w:id="148"/>
      <w:bookmarkEnd w:id="149"/>
      <w:bookmarkEnd w:id="150"/>
      <w:bookmarkEnd w:id="151"/>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152" w:name="_Toc534108069"/>
      <w:bookmarkStart w:id="153" w:name="_Toc4983165"/>
      <w:bookmarkStart w:id="154" w:name="_Toc131823653"/>
      <w:bookmarkStart w:id="155" w:name="_Toc131917350"/>
      <w:r>
        <w:rPr>
          <w:rStyle w:val="CharSectno"/>
        </w:rPr>
        <w:t>27</w:t>
      </w:r>
      <w:r>
        <w:rPr>
          <w:snapToGrid w:val="0"/>
        </w:rPr>
        <w:t>.</w:t>
      </w:r>
      <w:r>
        <w:rPr>
          <w:snapToGrid w:val="0"/>
        </w:rPr>
        <w:tab/>
        <w:t>Network planning criteria</w:t>
      </w:r>
      <w:bookmarkEnd w:id="152"/>
      <w:bookmarkEnd w:id="153"/>
      <w:bookmarkEnd w:id="154"/>
      <w:bookmarkEnd w:id="155"/>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156" w:name="_Toc534108070"/>
      <w:bookmarkStart w:id="157" w:name="_Toc4983166"/>
      <w:bookmarkStart w:id="158" w:name="_Toc131823654"/>
      <w:bookmarkStart w:id="159" w:name="_Toc131917351"/>
      <w:r>
        <w:rPr>
          <w:rStyle w:val="CharSectno"/>
        </w:rPr>
        <w:t>28</w:t>
      </w:r>
      <w:r>
        <w:rPr>
          <w:snapToGrid w:val="0"/>
        </w:rPr>
        <w:t>.</w:t>
      </w:r>
      <w:r>
        <w:rPr>
          <w:snapToGrid w:val="0"/>
        </w:rPr>
        <w:tab/>
        <w:t>Good electricity industry practice</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160" w:name="_Toc534108071"/>
      <w:bookmarkStart w:id="161" w:name="_Toc4983167"/>
      <w:bookmarkStart w:id="162" w:name="_Toc131823655"/>
      <w:bookmarkStart w:id="163" w:name="_Toc131917352"/>
      <w:r>
        <w:rPr>
          <w:rStyle w:val="CharSectno"/>
        </w:rPr>
        <w:t>29</w:t>
      </w:r>
      <w:r>
        <w:rPr>
          <w:snapToGrid w:val="0"/>
        </w:rPr>
        <w:t>.</w:t>
      </w:r>
      <w:r>
        <w:rPr>
          <w:snapToGrid w:val="0"/>
        </w:rPr>
        <w:tab/>
        <w:t>Interruption and curtailment powers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164" w:name="_Toc534108072"/>
      <w:bookmarkStart w:id="165" w:name="_Toc4983168"/>
      <w:bookmarkStart w:id="166" w:name="_Toc131823656"/>
      <w:bookmarkStart w:id="167" w:name="_Toc131917353"/>
      <w:r>
        <w:rPr>
          <w:rStyle w:val="CharSectno"/>
        </w:rPr>
        <w:t>30</w:t>
      </w:r>
      <w:r>
        <w:rPr>
          <w:snapToGrid w:val="0"/>
        </w:rPr>
        <w:t>.</w:t>
      </w:r>
      <w:r>
        <w:rPr>
          <w:snapToGrid w:val="0"/>
        </w:rPr>
        <w:tab/>
        <w:t>Safety and security of electricity transmission network</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168" w:name="_Toc534108073"/>
      <w:bookmarkStart w:id="169" w:name="_Toc4983169"/>
      <w:bookmarkStart w:id="170" w:name="_Toc131823657"/>
      <w:bookmarkStart w:id="171" w:name="_Toc131917354"/>
      <w:r>
        <w:rPr>
          <w:rStyle w:val="CharSectno"/>
        </w:rPr>
        <w:t>31</w:t>
      </w:r>
      <w:r>
        <w:rPr>
          <w:snapToGrid w:val="0"/>
        </w:rPr>
        <w:t>.</w:t>
      </w:r>
      <w:r>
        <w:rPr>
          <w:snapToGrid w:val="0"/>
        </w:rPr>
        <w:tab/>
        <w:t>Operation, maintenance and extension planning</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172" w:name="_Toc534108074"/>
      <w:bookmarkStart w:id="173" w:name="_Toc4983170"/>
      <w:bookmarkStart w:id="174" w:name="_Toc131823658"/>
      <w:bookmarkStart w:id="175" w:name="_Toc131917355"/>
      <w:r>
        <w:rPr>
          <w:rStyle w:val="CharSectno"/>
        </w:rPr>
        <w:t>32</w:t>
      </w:r>
      <w:r>
        <w:rPr>
          <w:snapToGrid w:val="0"/>
        </w:rPr>
        <w:t>.</w:t>
      </w:r>
      <w:r>
        <w:rPr>
          <w:snapToGrid w:val="0"/>
        </w:rPr>
        <w:tab/>
        <w:t>Information required to prepare annual reports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 xml:space="preserve">the corporation </w:t>
      </w:r>
      <w:r>
        <w:rPr>
          <w:snapToGrid w:val="0"/>
        </w:rPr>
        <w:t xml:space="preserve">to enable </w:t>
      </w:r>
      <w:r>
        <w:t xml:space="preserve">the corporation </w:t>
      </w:r>
      <w:r>
        <w:rPr>
          <w:snapToGrid w:val="0"/>
        </w:rPr>
        <w:t>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1338-39.]</w:t>
      </w:r>
    </w:p>
    <w:p>
      <w:pPr>
        <w:pStyle w:val="Heading5"/>
        <w:rPr>
          <w:snapToGrid w:val="0"/>
        </w:rPr>
      </w:pPr>
      <w:bookmarkStart w:id="176" w:name="_Toc534108075"/>
      <w:bookmarkStart w:id="177" w:name="_Toc4983171"/>
      <w:bookmarkStart w:id="178" w:name="_Toc131823659"/>
      <w:bookmarkStart w:id="179" w:name="_Toc131917356"/>
      <w:r>
        <w:rPr>
          <w:rStyle w:val="CharSectno"/>
        </w:rPr>
        <w:t>33</w:t>
      </w:r>
      <w:r>
        <w:rPr>
          <w:snapToGrid w:val="0"/>
        </w:rPr>
        <w:t>.</w:t>
      </w:r>
      <w:r>
        <w:rPr>
          <w:snapToGrid w:val="0"/>
        </w:rPr>
        <w:tab/>
        <w:t>Augmentation of the electricity transmission network</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180" w:name="_Toc92191417"/>
      <w:bookmarkStart w:id="181" w:name="_Toc92191482"/>
      <w:bookmarkStart w:id="182" w:name="_Toc92254599"/>
      <w:bookmarkStart w:id="183" w:name="_Toc107388436"/>
      <w:bookmarkStart w:id="184" w:name="_Toc125447422"/>
      <w:bookmarkStart w:id="185" w:name="_Toc125452835"/>
      <w:bookmarkStart w:id="186" w:name="_Toc131823660"/>
      <w:bookmarkStart w:id="187" w:name="_Toc131823785"/>
      <w:bookmarkStart w:id="188" w:name="_Toc131917357"/>
      <w:r>
        <w:rPr>
          <w:rStyle w:val="CharPartNo"/>
        </w:rPr>
        <w:t>Part 6</w:t>
      </w:r>
      <w:r>
        <w:rPr>
          <w:rStyle w:val="CharDivNo"/>
        </w:rPr>
        <w:t> </w:t>
      </w:r>
      <w:r>
        <w:t>—</w:t>
      </w:r>
      <w:r>
        <w:rPr>
          <w:rStyle w:val="CharDivText"/>
        </w:rPr>
        <w:t> </w:t>
      </w:r>
      <w:r>
        <w:rPr>
          <w:rStyle w:val="CharPartText"/>
        </w:rPr>
        <w:t>Access terms</w:t>
      </w:r>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534108076"/>
      <w:bookmarkStart w:id="190" w:name="_Toc4983172"/>
      <w:bookmarkStart w:id="191" w:name="_Toc131823661"/>
      <w:bookmarkStart w:id="192" w:name="_Toc131917358"/>
      <w:r>
        <w:rPr>
          <w:rStyle w:val="CharSectno"/>
        </w:rPr>
        <w:t>34</w:t>
      </w:r>
      <w:r>
        <w:rPr>
          <w:snapToGrid w:val="0"/>
        </w:rPr>
        <w:t>.</w:t>
      </w:r>
      <w:r>
        <w:rPr>
          <w:snapToGrid w:val="0"/>
        </w:rPr>
        <w:tab/>
        <w:t>Reasonable endeavours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193" w:name="_Toc534108077"/>
      <w:bookmarkStart w:id="194" w:name="_Toc4983173"/>
      <w:bookmarkStart w:id="195" w:name="_Toc131823662"/>
      <w:bookmarkStart w:id="196" w:name="_Toc131917359"/>
      <w:r>
        <w:rPr>
          <w:rStyle w:val="CharSectno"/>
        </w:rPr>
        <w:t>35</w:t>
      </w:r>
      <w:r>
        <w:rPr>
          <w:snapToGrid w:val="0"/>
        </w:rPr>
        <w:t>.</w:t>
      </w:r>
      <w:r>
        <w:rPr>
          <w:snapToGrid w:val="0"/>
        </w:rPr>
        <w:tab/>
      </w:r>
      <w:r>
        <w:rPr>
          <w:i/>
          <w:snapToGrid w:val="0"/>
        </w:rPr>
        <w:t>Force majeure</w:t>
      </w:r>
      <w:r>
        <w:rPr>
          <w:snapToGrid w:val="0"/>
        </w:rPr>
        <w:t xml:space="preserve"> and interruption</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197" w:name="_Toc534108078"/>
      <w:bookmarkStart w:id="198" w:name="_Toc4983174"/>
      <w:bookmarkStart w:id="199" w:name="_Toc131823663"/>
      <w:bookmarkStart w:id="200" w:name="_Toc131917360"/>
      <w:r>
        <w:rPr>
          <w:rStyle w:val="CharSectno"/>
        </w:rPr>
        <w:t>36</w:t>
      </w:r>
      <w:r>
        <w:rPr>
          <w:snapToGrid w:val="0"/>
        </w:rPr>
        <w:t>.</w:t>
      </w:r>
      <w:r>
        <w:rPr>
          <w:snapToGrid w:val="0"/>
        </w:rPr>
        <w:tab/>
        <w:t>Effect of access to capacity</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01" w:name="_Toc534108079"/>
      <w:bookmarkStart w:id="202" w:name="_Toc4983175"/>
      <w:bookmarkStart w:id="203" w:name="_Toc131823664"/>
      <w:bookmarkStart w:id="204" w:name="_Toc131917361"/>
      <w:r>
        <w:rPr>
          <w:rStyle w:val="CharSectno"/>
        </w:rPr>
        <w:t>37</w:t>
      </w:r>
      <w:r>
        <w:rPr>
          <w:snapToGrid w:val="0"/>
        </w:rPr>
        <w:t>.</w:t>
      </w:r>
      <w:r>
        <w:rPr>
          <w:snapToGrid w:val="0"/>
        </w:rPr>
        <w:tab/>
        <w:t>Minimum term and renewal</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05" w:name="_Toc534108080"/>
      <w:bookmarkStart w:id="206" w:name="_Toc4983176"/>
      <w:bookmarkStart w:id="207" w:name="_Toc131823665"/>
      <w:bookmarkStart w:id="208" w:name="_Toc131917362"/>
      <w:r>
        <w:rPr>
          <w:rStyle w:val="CharSectno"/>
        </w:rPr>
        <w:t>38</w:t>
      </w:r>
      <w:r>
        <w:rPr>
          <w:snapToGrid w:val="0"/>
        </w:rPr>
        <w:t>.</w:t>
      </w:r>
      <w:r>
        <w:rPr>
          <w:snapToGrid w:val="0"/>
        </w:rPr>
        <w:tab/>
        <w:t>Contract maximum demand and declared sent</w:t>
      </w:r>
      <w:r>
        <w:rPr>
          <w:snapToGrid w:val="0"/>
        </w:rPr>
        <w:noBreakHyphen/>
        <w:t>out capacity</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09" w:name="_Toc534108081"/>
      <w:bookmarkStart w:id="210" w:name="_Toc4983177"/>
      <w:bookmarkStart w:id="211" w:name="_Toc131823666"/>
      <w:bookmarkStart w:id="212" w:name="_Toc131917363"/>
      <w:r>
        <w:rPr>
          <w:rStyle w:val="CharSectno"/>
        </w:rPr>
        <w:t>39</w:t>
      </w:r>
      <w:r>
        <w:rPr>
          <w:snapToGrid w:val="0"/>
        </w:rPr>
        <w:t>.</w:t>
      </w:r>
      <w:r>
        <w:rPr>
          <w:snapToGrid w:val="0"/>
        </w:rPr>
        <w:tab/>
        <w:t>Commencement date</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13" w:name="_Toc92191424"/>
      <w:bookmarkStart w:id="214" w:name="_Toc92191489"/>
      <w:bookmarkStart w:id="215" w:name="_Toc92254606"/>
      <w:bookmarkStart w:id="216" w:name="_Toc107388443"/>
      <w:bookmarkStart w:id="217" w:name="_Toc125447429"/>
      <w:bookmarkStart w:id="218" w:name="_Toc125452842"/>
      <w:bookmarkStart w:id="219" w:name="_Toc131823667"/>
      <w:bookmarkStart w:id="220" w:name="_Toc131823792"/>
      <w:bookmarkStart w:id="221" w:name="_Toc131917364"/>
      <w:r>
        <w:rPr>
          <w:rStyle w:val="CharPartNo"/>
        </w:rPr>
        <w:t>Part 7</w:t>
      </w:r>
      <w:r>
        <w:rPr>
          <w:rStyle w:val="CharDivNo"/>
        </w:rPr>
        <w:t> </w:t>
      </w:r>
      <w:r>
        <w:t>—</w:t>
      </w:r>
      <w:r>
        <w:rPr>
          <w:rStyle w:val="CharDivText"/>
        </w:rPr>
        <w:t> </w:t>
      </w:r>
      <w:r>
        <w:rPr>
          <w:rStyle w:val="CharPartText"/>
        </w:rPr>
        <w:t>Enforcement, liability and insurance</w:t>
      </w:r>
      <w:bookmarkEnd w:id="213"/>
      <w:bookmarkEnd w:id="214"/>
      <w:bookmarkEnd w:id="215"/>
      <w:bookmarkEnd w:id="216"/>
      <w:bookmarkEnd w:id="217"/>
      <w:bookmarkEnd w:id="218"/>
      <w:bookmarkEnd w:id="219"/>
      <w:bookmarkEnd w:id="220"/>
      <w:bookmarkEnd w:id="221"/>
      <w:r>
        <w:rPr>
          <w:rStyle w:val="CharPartText"/>
        </w:rPr>
        <w:t xml:space="preserve"> </w:t>
      </w:r>
    </w:p>
    <w:p>
      <w:pPr>
        <w:pStyle w:val="Heading5"/>
        <w:rPr>
          <w:snapToGrid w:val="0"/>
        </w:rPr>
      </w:pPr>
      <w:bookmarkStart w:id="222" w:name="_Toc534108082"/>
      <w:bookmarkStart w:id="223" w:name="_Toc4983178"/>
      <w:bookmarkStart w:id="224" w:name="_Toc131823668"/>
      <w:bookmarkStart w:id="225" w:name="_Toc131917365"/>
      <w:r>
        <w:rPr>
          <w:rStyle w:val="CharSectno"/>
        </w:rPr>
        <w:t>40</w:t>
      </w:r>
      <w:r>
        <w:rPr>
          <w:snapToGrid w:val="0"/>
        </w:rPr>
        <w:t>.</w:t>
      </w:r>
      <w:r>
        <w:rPr>
          <w:snapToGrid w:val="0"/>
        </w:rPr>
        <w:tab/>
        <w:t>Enforcement</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26" w:name="_Toc534108083"/>
      <w:bookmarkStart w:id="227" w:name="_Toc4983179"/>
      <w:bookmarkStart w:id="228" w:name="_Toc131823669"/>
      <w:bookmarkStart w:id="229" w:name="_Toc131917366"/>
      <w:r>
        <w:rPr>
          <w:rStyle w:val="CharSectno"/>
        </w:rPr>
        <w:t>41</w:t>
      </w:r>
      <w:r>
        <w:rPr>
          <w:snapToGrid w:val="0"/>
        </w:rPr>
        <w:t>.</w:t>
      </w:r>
      <w:r>
        <w:rPr>
          <w:snapToGrid w:val="0"/>
        </w:rPr>
        <w:tab/>
        <w:t>Liability, insurance and indemnity</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30" w:name="_Toc92191427"/>
      <w:bookmarkStart w:id="231" w:name="_Toc92191492"/>
      <w:bookmarkStart w:id="232" w:name="_Toc92254609"/>
      <w:bookmarkStart w:id="233" w:name="_Toc107388446"/>
      <w:bookmarkStart w:id="234" w:name="_Toc125447432"/>
      <w:bookmarkStart w:id="235" w:name="_Toc125452845"/>
      <w:bookmarkStart w:id="236" w:name="_Toc131823670"/>
      <w:bookmarkStart w:id="237" w:name="_Toc131823795"/>
      <w:bookmarkStart w:id="238" w:name="_Toc131917367"/>
      <w:r>
        <w:rPr>
          <w:rStyle w:val="CharPartNo"/>
        </w:rPr>
        <w:t>Part 8</w:t>
      </w:r>
      <w:r>
        <w:rPr>
          <w:rStyle w:val="CharDivNo"/>
        </w:rPr>
        <w:t> </w:t>
      </w:r>
      <w:r>
        <w:t>—</w:t>
      </w:r>
      <w:r>
        <w:rPr>
          <w:rStyle w:val="CharDivText"/>
        </w:rPr>
        <w:t> </w:t>
      </w:r>
      <w:r>
        <w:rPr>
          <w:rStyle w:val="CharPartText"/>
        </w:rPr>
        <w:t>Other matters</w:t>
      </w:r>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534108084"/>
      <w:bookmarkStart w:id="240" w:name="_Toc4983180"/>
      <w:bookmarkStart w:id="241" w:name="_Toc131823671"/>
      <w:bookmarkStart w:id="242" w:name="_Toc131917368"/>
      <w:r>
        <w:rPr>
          <w:rStyle w:val="CharSectno"/>
        </w:rPr>
        <w:t>42</w:t>
      </w:r>
      <w:r>
        <w:rPr>
          <w:snapToGrid w:val="0"/>
        </w:rPr>
        <w:t>.</w:t>
      </w:r>
      <w:r>
        <w:rPr>
          <w:snapToGrid w:val="0"/>
        </w:rPr>
        <w:tab/>
        <w:t>Ancillary services</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must acquire the following ancillary services — </w:t>
      </w:r>
    </w:p>
    <w:p>
      <w:pPr>
        <w:pStyle w:val="Indenta"/>
        <w:rPr>
          <w:snapToGrid w:val="0"/>
        </w:rPr>
      </w:pPr>
      <w:r>
        <w:rPr>
          <w:snapToGrid w:val="0"/>
        </w:rPr>
        <w:tab/>
        <w:t>(a)</w:t>
      </w:r>
      <w:r>
        <w:rPr>
          <w:snapToGrid w:val="0"/>
        </w:rPr>
        <w:tab/>
        <w:t>spinning reserve;</w:t>
      </w:r>
    </w:p>
    <w:p>
      <w:pPr>
        <w:pStyle w:val="Indenta"/>
      </w:pPr>
      <w:r>
        <w:tab/>
        <w:t>(b)</w:t>
      </w:r>
      <w:r>
        <w:tab/>
        <w:t>post</w:t>
      </w:r>
      <w:r>
        <w:noBreakHyphen/>
        <w:t>trip management;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pPr>
      <w:r>
        <w:tab/>
        <w:t>(2)</w:t>
      </w:r>
      <w:r>
        <w:tab/>
        <w:t>The Electricity Networks Corporation may acquire ancillary services from the Electricity Generation Corporation.</w:t>
      </w:r>
    </w:p>
    <w:p>
      <w:pPr>
        <w:pStyle w:val="Subsection"/>
        <w:rPr>
          <w:snapToGrid w:val="0"/>
        </w:rPr>
      </w:pPr>
      <w:r>
        <w:rPr>
          <w:snapToGrid w:val="0"/>
        </w:rPr>
        <w:tab/>
        <w:t>(3)</w:t>
      </w:r>
      <w:r>
        <w:rPr>
          <w:snapToGrid w:val="0"/>
        </w:rPr>
        <w:tab/>
      </w:r>
      <w:r>
        <w:t xml:space="preserve">A corporation </w:t>
      </w:r>
      <w:r>
        <w:rPr>
          <w:snapToGrid w:val="0"/>
        </w:rPr>
        <w:t>must — </w:t>
      </w:r>
    </w:p>
    <w:p>
      <w:pPr>
        <w:pStyle w:val="Indenta"/>
        <w:rPr>
          <w:snapToGrid w:val="0"/>
        </w:rPr>
      </w:pPr>
      <w:r>
        <w:rPr>
          <w:snapToGrid w:val="0"/>
        </w:rPr>
        <w:tab/>
        <w:t>(a)</w:t>
      </w:r>
      <w:r>
        <w:rPr>
          <w:snapToGrid w:val="0"/>
        </w:rPr>
        <w:tab/>
        <w:t xml:space="preserve">whenever it procures any of the ancillary services referred to in subregulation (1), seek to minimise the total delivered cost of the ancillary service, subject only to maintaining the security and safety of the provision of that ancillary service by </w:t>
      </w:r>
      <w:r>
        <w:t xml:space="preserve">the corporation </w:t>
      </w:r>
      <w:r>
        <w:rPr>
          <w:snapToGrid w:val="0"/>
        </w:rPr>
        <w:t>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 xml:space="preserve">ensure that, if </w:t>
      </w:r>
      <w:r>
        <w:t xml:space="preserve">the Electricity Generation Corporation </w:t>
      </w:r>
      <w:r>
        <w:rPr>
          <w:snapToGrid w:val="0"/>
          <w:spacing w:val="-4"/>
        </w:rPr>
        <w:t>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 xml:space="preserve">take into consideration the effect that each proposal for the provision of an ancillary service referred to in subregulation (1) will have upon the utilisation and operation of the electricity transmission network and upon </w:t>
      </w:r>
      <w:r>
        <w:t xml:space="preserve">the corporation’s </w:t>
      </w:r>
      <w:r>
        <w:rPr>
          <w:snapToGrid w:val="0"/>
        </w:rPr>
        <w:t>existing contracts for the purchase and sale of that ancillary service.</w:t>
      </w:r>
    </w:p>
    <w:p>
      <w:pPr>
        <w:pStyle w:val="Subsection"/>
        <w:rPr>
          <w:snapToGrid w:val="0"/>
        </w:rPr>
      </w:pPr>
      <w:r>
        <w:rPr>
          <w:snapToGrid w:val="0"/>
        </w:rPr>
        <w:tab/>
        <w:t>(4)</w:t>
      </w:r>
      <w:r>
        <w:rPr>
          <w:snapToGrid w:val="0"/>
        </w:rPr>
        <w:tab/>
      </w:r>
      <w:r>
        <w:t>On or before 1 May 2006</w:t>
      </w:r>
      <w:r>
        <w:rPr>
          <w:snapToGrid w:val="0"/>
        </w:rPr>
        <w:t xml:space="preserve">, </w:t>
      </w:r>
      <w:r>
        <w:t xml:space="preserve">a corporation </w:t>
      </w:r>
      <w:r>
        <w:rPr>
          <w:snapToGrid w:val="0"/>
        </w:rPr>
        <w:t>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 xml:space="preserve">Subject to subregulation (3), </w:t>
      </w:r>
      <w:r>
        <w:t xml:space="preserve">a corporation </w:t>
      </w:r>
      <w:r>
        <w:rPr>
          <w:snapToGrid w:val="0"/>
        </w:rPr>
        <w:t>may amend the process developed under subregulation (4).</w:t>
      </w:r>
    </w:p>
    <w:p>
      <w:pPr>
        <w:pStyle w:val="Subsection"/>
        <w:rPr>
          <w:snapToGrid w:val="0"/>
        </w:rPr>
      </w:pPr>
      <w:r>
        <w:rPr>
          <w:snapToGrid w:val="0"/>
        </w:rPr>
        <w:tab/>
        <w:t>(6)</w:t>
      </w:r>
      <w:r>
        <w:rPr>
          <w:snapToGrid w:val="0"/>
        </w:rPr>
        <w:tab/>
      </w:r>
      <w:r>
        <w:t xml:space="preserve">A corporation </w:t>
      </w:r>
      <w:r>
        <w:rPr>
          <w:snapToGrid w:val="0"/>
        </w:rPr>
        <w:t>must provide a copy of the process to be adopted in the procurement of any of the ancillary services under subregulation (1) (as amended) to any person who requests a copy.</w:t>
      </w:r>
    </w:p>
    <w:p>
      <w:pPr>
        <w:pStyle w:val="Footnotesection"/>
      </w:pPr>
      <w:r>
        <w:tab/>
        <w:t>[Regulation 42 amended in Gazette 31 Mar 2006 p. 1335-6 and 1338-41.]</w:t>
      </w:r>
    </w:p>
    <w:p>
      <w:pPr>
        <w:pStyle w:val="Heading5"/>
        <w:rPr>
          <w:snapToGrid w:val="0"/>
        </w:rPr>
      </w:pPr>
      <w:bookmarkStart w:id="243" w:name="_Toc534108085"/>
      <w:bookmarkStart w:id="244" w:name="_Toc4983181"/>
      <w:bookmarkStart w:id="245" w:name="_Toc131823672"/>
      <w:bookmarkStart w:id="246" w:name="_Toc131917369"/>
      <w:r>
        <w:rPr>
          <w:rStyle w:val="CharSectno"/>
        </w:rPr>
        <w:t>43</w:t>
      </w:r>
      <w:r>
        <w:rPr>
          <w:snapToGrid w:val="0"/>
        </w:rPr>
        <w:t>.</w:t>
      </w:r>
      <w:r>
        <w:rPr>
          <w:snapToGrid w:val="0"/>
        </w:rPr>
        <w:tab/>
        <w:t>Prudential requirements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247" w:name="_Toc534108086"/>
      <w:bookmarkStart w:id="248" w:name="_Toc4983182"/>
      <w:bookmarkStart w:id="249" w:name="_Toc131823673"/>
      <w:bookmarkStart w:id="250" w:name="_Toc131917370"/>
      <w:r>
        <w:rPr>
          <w:rStyle w:val="CharSectno"/>
        </w:rPr>
        <w:t>44</w:t>
      </w:r>
      <w:r>
        <w:rPr>
          <w:snapToGrid w:val="0"/>
        </w:rPr>
        <w:t>.</w:t>
      </w:r>
      <w:r>
        <w:rPr>
          <w:snapToGrid w:val="0"/>
        </w:rPr>
        <w:tab/>
        <w:t>Title to electricity</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1339</w:t>
      </w:r>
      <w:r>
        <w:noBreakHyphen/>
        <w:t>40.]</w:t>
      </w:r>
    </w:p>
    <w:p>
      <w:pPr>
        <w:pStyle w:val="Heading5"/>
        <w:rPr>
          <w:snapToGrid w:val="0"/>
        </w:rPr>
      </w:pPr>
      <w:bookmarkStart w:id="251" w:name="_Toc534108087"/>
      <w:bookmarkStart w:id="252" w:name="_Toc4983183"/>
      <w:bookmarkStart w:id="253" w:name="_Toc131823674"/>
      <w:bookmarkStart w:id="254" w:name="_Toc131917371"/>
      <w:r>
        <w:rPr>
          <w:rStyle w:val="CharSectno"/>
        </w:rPr>
        <w:t>45</w:t>
      </w:r>
      <w:r>
        <w:rPr>
          <w:snapToGrid w:val="0"/>
        </w:rPr>
        <w:t>.</w:t>
      </w:r>
      <w:r>
        <w:rPr>
          <w:snapToGrid w:val="0"/>
        </w:rPr>
        <w:tab/>
        <w:t>Assignment of access agreements</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w:t>
      </w:r>
    </w:p>
    <w:p>
      <w:pPr>
        <w:pStyle w:val="Heading5"/>
        <w:rPr>
          <w:snapToGrid w:val="0"/>
        </w:rPr>
      </w:pPr>
      <w:bookmarkStart w:id="255" w:name="_Toc534108088"/>
      <w:bookmarkStart w:id="256" w:name="_Toc4983184"/>
      <w:bookmarkStart w:id="257" w:name="_Toc131823675"/>
      <w:bookmarkStart w:id="258" w:name="_Toc131917372"/>
      <w:r>
        <w:rPr>
          <w:rStyle w:val="CharSectno"/>
        </w:rPr>
        <w:t>46</w:t>
      </w:r>
      <w:r>
        <w:rPr>
          <w:snapToGrid w:val="0"/>
        </w:rPr>
        <w:t>.</w:t>
      </w:r>
      <w:r>
        <w:rPr>
          <w:snapToGrid w:val="0"/>
        </w:rPr>
        <w:tab/>
        <w:t>Essential terms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0"/>
              <w:rPr>
                <w:snapToGrid w:val="0"/>
                <w:sz w:val="24"/>
              </w:rPr>
            </w:pPr>
            <w:r>
              <w:rPr>
                <w:snapToGrid w:val="0"/>
                <w:sz w:val="24"/>
              </w:rPr>
              <w:t>Part 3</w:t>
            </w:r>
          </w:p>
        </w:tc>
        <w:tc>
          <w:tcPr>
            <w:tcW w:w="2268" w:type="dxa"/>
          </w:tcPr>
          <w:p>
            <w:pPr>
              <w:pStyle w:val="Table"/>
              <w:spacing w:before="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259" w:name="_Toc534108089"/>
      <w:bookmarkStart w:id="260" w:name="_Toc4983185"/>
      <w:bookmarkStart w:id="261" w:name="_Toc131823676"/>
      <w:bookmarkStart w:id="262" w:name="_Toc131917373"/>
      <w:r>
        <w:rPr>
          <w:rStyle w:val="CharSectno"/>
        </w:rPr>
        <w:t>47</w:t>
      </w:r>
      <w:r>
        <w:rPr>
          <w:snapToGrid w:val="0"/>
        </w:rPr>
        <w:t>.</w:t>
      </w:r>
      <w:r>
        <w:rPr>
          <w:snapToGrid w:val="0"/>
        </w:rPr>
        <w:tab/>
        <w:t>Representations and warranties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263" w:name="_Toc534108090"/>
      <w:bookmarkStart w:id="264" w:name="_Toc4983186"/>
      <w:bookmarkStart w:id="265" w:name="_Toc131823677"/>
      <w:bookmarkStart w:id="266" w:name="_Toc131917374"/>
      <w:r>
        <w:rPr>
          <w:rStyle w:val="CharSectno"/>
        </w:rPr>
        <w:t>48</w:t>
      </w:r>
      <w:r>
        <w:rPr>
          <w:snapToGrid w:val="0"/>
        </w:rPr>
        <w:t>.</w:t>
      </w:r>
      <w:r>
        <w:rPr>
          <w:snapToGrid w:val="0"/>
        </w:rPr>
        <w:tab/>
        <w:t>Payment arrangements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267" w:name="_Toc92191435"/>
      <w:bookmarkStart w:id="268" w:name="_Toc92191500"/>
      <w:bookmarkStart w:id="269" w:name="_Toc92254617"/>
      <w:bookmarkStart w:id="270" w:name="_Toc107388454"/>
      <w:bookmarkStart w:id="271" w:name="_Toc125447440"/>
      <w:bookmarkStart w:id="272" w:name="_Toc125452853"/>
      <w:bookmarkStart w:id="273" w:name="_Toc131823678"/>
      <w:bookmarkStart w:id="274" w:name="_Toc131823803"/>
      <w:bookmarkStart w:id="275" w:name="_Toc131917375"/>
      <w:r>
        <w:rPr>
          <w:rStyle w:val="CharPartNo"/>
        </w:rPr>
        <w:t>Part 9</w:t>
      </w:r>
      <w:r>
        <w:rPr>
          <w:rStyle w:val="CharDivNo"/>
        </w:rPr>
        <w:t> </w:t>
      </w:r>
      <w:r>
        <w:t>—</w:t>
      </w:r>
      <w:r>
        <w:rPr>
          <w:rStyle w:val="CharDivText"/>
        </w:rPr>
        <w:t> </w:t>
      </w:r>
      <w:r>
        <w:rPr>
          <w:rStyle w:val="CharPartText"/>
        </w:rPr>
        <w:t>Committed capacity and transitional provisions</w:t>
      </w:r>
      <w:bookmarkEnd w:id="267"/>
      <w:bookmarkEnd w:id="268"/>
      <w:bookmarkEnd w:id="269"/>
      <w:bookmarkEnd w:id="270"/>
      <w:bookmarkEnd w:id="271"/>
      <w:bookmarkEnd w:id="272"/>
      <w:bookmarkEnd w:id="273"/>
      <w:bookmarkEnd w:id="274"/>
      <w:bookmarkEnd w:id="275"/>
      <w:r>
        <w:rPr>
          <w:rStyle w:val="CharPartText"/>
        </w:rPr>
        <w:t xml:space="preserve"> </w:t>
      </w:r>
    </w:p>
    <w:p>
      <w:pPr>
        <w:pStyle w:val="Heading5"/>
      </w:pPr>
      <w:bookmarkStart w:id="276" w:name="_Toc131823680"/>
      <w:bookmarkStart w:id="277" w:name="_Toc131917376"/>
      <w:bookmarkStart w:id="278" w:name="_Toc534108092"/>
      <w:bookmarkStart w:id="279" w:name="_Toc4983188"/>
      <w:r>
        <w:rPr>
          <w:rStyle w:val="CharSectno"/>
        </w:rPr>
        <w:t>49</w:t>
      </w:r>
      <w:r>
        <w:t>.</w:t>
      </w:r>
      <w:r>
        <w:tab/>
        <w:t>Regional Power Corporation’s existing capacity</w:t>
      </w:r>
      <w:bookmarkEnd w:id="276"/>
      <w:bookmarkEnd w:id="277"/>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280" w:name="_Toc131823681"/>
      <w:bookmarkStart w:id="281" w:name="_Toc131917377"/>
      <w:r>
        <w:rPr>
          <w:rStyle w:val="CharSectno"/>
        </w:rPr>
        <w:t>49A</w:t>
      </w:r>
      <w:r>
        <w:t>.</w:t>
      </w:r>
      <w:r>
        <w:tab/>
        <w:t>Contract maximum demand for existing connections</w:t>
      </w:r>
      <w:bookmarkEnd w:id="280"/>
      <w:bookmarkEnd w:id="281"/>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282" w:name="_Toc131823682"/>
      <w:bookmarkStart w:id="283" w:name="_Toc131917378"/>
      <w:r>
        <w:rPr>
          <w:rStyle w:val="CharSectno"/>
        </w:rPr>
        <w:t>50</w:t>
      </w:r>
      <w:r>
        <w:rPr>
          <w:snapToGrid w:val="0"/>
        </w:rPr>
        <w:t>.</w:t>
      </w:r>
      <w:r>
        <w:rPr>
          <w:snapToGrid w:val="0"/>
        </w:rPr>
        <w:tab/>
        <w:t>Existing agreements</w:t>
      </w:r>
      <w:bookmarkEnd w:id="278"/>
      <w:bookmarkEnd w:id="279"/>
      <w:bookmarkEnd w:id="282"/>
      <w:bookmarkEnd w:id="283"/>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284" w:name="_Toc125452856"/>
      <w:bookmarkStart w:id="285" w:name="_Toc131823683"/>
      <w:bookmarkStart w:id="286" w:name="_Toc131823808"/>
      <w:bookmarkStart w:id="287" w:name="_Toc131917379"/>
      <w:r>
        <w:rPr>
          <w:rStyle w:val="CharSchNo"/>
        </w:rPr>
        <w:t>Schedule 1</w:t>
      </w:r>
      <w:r>
        <w:t> — </w:t>
      </w:r>
      <w:r>
        <w:rPr>
          <w:rStyle w:val="CharSchText"/>
        </w:rPr>
        <w:t>Access application flow chart</w:t>
      </w:r>
      <w:bookmarkEnd w:id="284"/>
      <w:bookmarkEnd w:id="285"/>
      <w:bookmarkEnd w:id="286"/>
      <w:bookmarkEnd w:id="287"/>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2"/>
              </w:numPr>
              <w:tabs>
                <w:tab w:val="clear" w:pos="360"/>
              </w:tabs>
              <w:spacing w:before="0"/>
              <w:ind w:left="602" w:hanging="284"/>
              <w:rPr>
                <w:snapToGrid w:val="0"/>
              </w:rPr>
            </w:pPr>
            <w:r>
              <w:rPr>
                <w:snapToGrid w:val="0"/>
              </w:rPr>
              <w:t>time for preliminary assessment</w:t>
            </w:r>
          </w:p>
          <w:p>
            <w:pPr>
              <w:pStyle w:val="yTable"/>
              <w:numPr>
                <w:ilvl w:val="0"/>
                <w:numId w:val="2"/>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288" w:name="_Toc125452857"/>
      <w:bookmarkStart w:id="289" w:name="_Toc131823684"/>
      <w:bookmarkStart w:id="290" w:name="_Toc131823809"/>
      <w:bookmarkStart w:id="291" w:name="_Toc131917380"/>
      <w:r>
        <w:rPr>
          <w:rStyle w:val="CharSchNo"/>
        </w:rPr>
        <w:t>Schedule 2</w:t>
      </w:r>
      <w:r>
        <w:t> — </w:t>
      </w:r>
      <w:r>
        <w:rPr>
          <w:rStyle w:val="CharSchText"/>
        </w:rPr>
        <w:t>Access information</w:t>
      </w:r>
      <w:bookmarkEnd w:id="288"/>
      <w:bookmarkEnd w:id="289"/>
      <w:bookmarkEnd w:id="290"/>
      <w:bookmarkEnd w:id="291"/>
      <w:r>
        <w:t xml:space="preserve"> </w:t>
      </w:r>
    </w:p>
    <w:p>
      <w:pPr>
        <w:pStyle w:val="yShoulderClause"/>
        <w:rPr>
          <w:snapToGrid w:val="0"/>
        </w:rPr>
      </w:pPr>
      <w:r>
        <w:rPr>
          <w:snapToGrid w:val="0"/>
        </w:rPr>
        <w:t>[r. 8(4) &amp; (6)]</w:t>
      </w:r>
    </w:p>
    <w:p>
      <w:pPr>
        <w:pStyle w:val="yMiscellaneousHeading"/>
        <w:rPr>
          <w:b/>
          <w:sz w:val="28"/>
        </w:rPr>
      </w:pPr>
      <w:r>
        <w:rPr>
          <w:b/>
          <w:sz w:val="28"/>
        </w:rPr>
        <w:t>Part A — 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MiscellaneousHeading"/>
        <w:keepNext w:val="0"/>
        <w:spacing w:before="360"/>
        <w:rPr>
          <w:b/>
          <w:sz w:val="28"/>
        </w:rPr>
      </w:pPr>
      <w:r>
        <w:rPr>
          <w:b/>
          <w:sz w:val="28"/>
        </w:rPr>
        <w:t>Part B — 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292" w:name="_Toc125452858"/>
      <w:bookmarkStart w:id="293" w:name="_Toc131823685"/>
      <w:bookmarkStart w:id="294" w:name="_Toc131823810"/>
      <w:bookmarkStart w:id="295" w:name="_Toc131917381"/>
      <w:r>
        <w:rPr>
          <w:rStyle w:val="CharSchNo"/>
        </w:rPr>
        <w:t>Schedule 3</w:t>
      </w:r>
      <w:r>
        <w:t> — </w:t>
      </w:r>
      <w:r>
        <w:rPr>
          <w:rStyle w:val="CharSchText"/>
        </w:rPr>
        <w:t>Terms of an access offer</w:t>
      </w:r>
      <w:bookmarkEnd w:id="292"/>
      <w:bookmarkEnd w:id="293"/>
      <w:bookmarkEnd w:id="294"/>
      <w:bookmarkEnd w:id="295"/>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12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12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12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12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12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120"/>
        <w:ind w:left="1134" w:hanging="1134"/>
        <w:rPr>
          <w:snapToGrid w:val="0"/>
        </w:rPr>
      </w:pPr>
      <w:r>
        <w:rPr>
          <w:snapToGrid w:val="0"/>
        </w:rPr>
        <w:tab/>
        <w:t>(f)</w:t>
      </w:r>
      <w:r>
        <w:rPr>
          <w:snapToGrid w:val="0"/>
        </w:rPr>
        <w:tab/>
        <w:t>the payment conditions;</w:t>
      </w:r>
    </w:p>
    <w:p>
      <w:pPr>
        <w:pStyle w:val="yMiscellaneousBody"/>
        <w:tabs>
          <w:tab w:val="left" w:pos="567"/>
        </w:tabs>
        <w:spacing w:before="12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12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12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12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12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12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12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296" w:name="_Toc92191441"/>
      <w:bookmarkStart w:id="297" w:name="_Toc92191506"/>
      <w:bookmarkStart w:id="298" w:name="_Toc92254623"/>
      <w:bookmarkStart w:id="299" w:name="_Toc107388460"/>
      <w:bookmarkStart w:id="300" w:name="_Toc125447446"/>
      <w:bookmarkStart w:id="301" w:name="_Toc125452859"/>
      <w:bookmarkStart w:id="302" w:name="_Toc131823686"/>
      <w:bookmarkStart w:id="303" w:name="_Toc131823811"/>
      <w:bookmarkStart w:id="304" w:name="_Toc131917382"/>
      <w:r>
        <w:t>Notes</w:t>
      </w:r>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305" w:name="_Toc131823687"/>
      <w:bookmarkStart w:id="306" w:name="_Toc131917383"/>
      <w:r>
        <w:rPr>
          <w:snapToGrid w:val="0"/>
        </w:rPr>
        <w:t>Compilation table</w:t>
      </w:r>
      <w:bookmarkEnd w:id="305"/>
      <w:bookmarkEnd w:id="3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before="120"/>
            </w:pPr>
            <w:r>
              <w:rPr>
                <w:i/>
              </w:rPr>
              <w:t>Electricity Transmission Regulations 1996</w:t>
            </w:r>
          </w:p>
        </w:tc>
        <w:tc>
          <w:tcPr>
            <w:tcW w:w="1276" w:type="dxa"/>
          </w:tcPr>
          <w:p>
            <w:pPr>
              <w:pStyle w:val="nTable"/>
              <w:spacing w:before="120"/>
            </w:pPr>
            <w:r>
              <w:t>31 Dec 1996 p. 7257</w:t>
            </w:r>
            <w:r>
              <w:noBreakHyphen/>
              <w:t>320</w:t>
            </w:r>
          </w:p>
        </w:tc>
        <w:tc>
          <w:tcPr>
            <w:tcW w:w="2693" w:type="dxa"/>
          </w:tcPr>
          <w:p>
            <w:pPr>
              <w:pStyle w:val="nTable"/>
              <w:spacing w:before="120"/>
            </w:pPr>
            <w:r>
              <w:t>1 Jan 1997 (see r. 2)</w:t>
            </w:r>
          </w:p>
        </w:tc>
      </w:tr>
      <w:tr>
        <w:tc>
          <w:tcPr>
            <w:tcW w:w="3119" w:type="dxa"/>
          </w:tcPr>
          <w:p>
            <w:pPr>
              <w:pStyle w:val="nTable"/>
              <w:spacing w:before="120"/>
            </w:pPr>
            <w:r>
              <w:rPr>
                <w:i/>
              </w:rPr>
              <w:t>Electricity Transmission Amendment Regulations 1997</w:t>
            </w:r>
          </w:p>
        </w:tc>
        <w:tc>
          <w:tcPr>
            <w:tcW w:w="1276" w:type="dxa"/>
          </w:tcPr>
          <w:p>
            <w:pPr>
              <w:pStyle w:val="nTable"/>
              <w:spacing w:before="120"/>
            </w:pPr>
            <w:r>
              <w:t>1 Jul 1997 p. 3251</w:t>
            </w:r>
            <w:r>
              <w:noBreakHyphen/>
              <w:t>2</w:t>
            </w:r>
          </w:p>
        </w:tc>
        <w:tc>
          <w:tcPr>
            <w:tcW w:w="2693" w:type="dxa"/>
          </w:tcPr>
          <w:p>
            <w:pPr>
              <w:pStyle w:val="nTable"/>
              <w:spacing w:before="120"/>
            </w:pPr>
            <w:r>
              <w:t>1 Jul 1997 (see r. 2)</w:t>
            </w:r>
          </w:p>
        </w:tc>
      </w:tr>
      <w:tr>
        <w:tc>
          <w:tcPr>
            <w:tcW w:w="3119" w:type="dxa"/>
          </w:tcPr>
          <w:p>
            <w:pPr>
              <w:pStyle w:val="nTable"/>
              <w:spacing w:before="120"/>
              <w:rPr>
                <w:i/>
              </w:rPr>
            </w:pPr>
            <w:r>
              <w:rPr>
                <w:i/>
              </w:rPr>
              <w:t>Electricity Transmission Amendment Regulations 2001</w:t>
            </w:r>
          </w:p>
        </w:tc>
        <w:tc>
          <w:tcPr>
            <w:tcW w:w="1276" w:type="dxa"/>
          </w:tcPr>
          <w:p>
            <w:pPr>
              <w:pStyle w:val="nTable"/>
              <w:spacing w:before="120"/>
            </w:pPr>
            <w:r>
              <w:t>31 Aug 2001 p. 4877</w:t>
            </w:r>
            <w:r>
              <w:noBreakHyphen/>
              <w:t>81</w:t>
            </w:r>
          </w:p>
        </w:tc>
        <w:tc>
          <w:tcPr>
            <w:tcW w:w="2693" w:type="dxa"/>
          </w:tcPr>
          <w:p>
            <w:pPr>
              <w:pStyle w:val="nTable"/>
              <w:spacing w:before="120"/>
            </w:pPr>
            <w:r>
              <w:t>31 Aug 2001</w:t>
            </w:r>
          </w:p>
        </w:tc>
      </w:tr>
      <w:tr>
        <w:tc>
          <w:tcPr>
            <w:tcW w:w="3119" w:type="dxa"/>
          </w:tcPr>
          <w:p>
            <w:pPr>
              <w:pStyle w:val="nTable"/>
              <w:spacing w:before="120"/>
            </w:pPr>
            <w:r>
              <w:rPr>
                <w:i/>
              </w:rPr>
              <w:t>Corporations (Consequential Amendments) Regulations 2001</w:t>
            </w:r>
            <w:r>
              <w:t xml:space="preserve"> Pt. 8</w:t>
            </w:r>
          </w:p>
        </w:tc>
        <w:tc>
          <w:tcPr>
            <w:tcW w:w="1276" w:type="dxa"/>
          </w:tcPr>
          <w:p>
            <w:pPr>
              <w:pStyle w:val="nTable"/>
              <w:spacing w:before="120"/>
            </w:pPr>
            <w:r>
              <w:t>28 Sep 2001 p. 5353</w:t>
            </w:r>
            <w:r>
              <w:noBreakHyphen/>
              <w:t>8</w:t>
            </w:r>
          </w:p>
        </w:tc>
        <w:tc>
          <w:tcPr>
            <w:tcW w:w="2693" w:type="dxa"/>
          </w:tcPr>
          <w:p>
            <w:pPr>
              <w:pStyle w:val="nTable"/>
              <w:spacing w:before="120"/>
            </w:pPr>
            <w:r>
              <w:t xml:space="preserve">15 Jul 2001 (see r. 2 and Cwlth </w:t>
            </w:r>
            <w:r>
              <w:rPr>
                <w:i/>
              </w:rPr>
              <w:t xml:space="preserve">Gazette </w:t>
            </w:r>
            <w:r>
              <w:t>13 Jul 2001 No. S285)</w:t>
            </w:r>
          </w:p>
        </w:tc>
      </w:tr>
      <w:tr>
        <w:tc>
          <w:tcPr>
            <w:tcW w:w="3119" w:type="dxa"/>
          </w:tcPr>
          <w:p>
            <w:pPr>
              <w:pStyle w:val="nTable"/>
              <w:spacing w:before="120"/>
              <w:rPr>
                <w:i/>
              </w:rPr>
            </w:pPr>
            <w:r>
              <w:rPr>
                <w:i/>
              </w:rPr>
              <w:t>Electricity Transmission Amendment Regulations (No. 2) 2001</w:t>
            </w:r>
          </w:p>
        </w:tc>
        <w:tc>
          <w:tcPr>
            <w:tcW w:w="1276" w:type="dxa"/>
          </w:tcPr>
          <w:p>
            <w:pPr>
              <w:pStyle w:val="nTable"/>
              <w:spacing w:before="120"/>
            </w:pPr>
            <w:r>
              <w:t>28 Dec 2001 p. 6717</w:t>
            </w:r>
            <w:r>
              <w:noBreakHyphen/>
              <w:t>19</w:t>
            </w:r>
          </w:p>
        </w:tc>
        <w:tc>
          <w:tcPr>
            <w:tcW w:w="2693" w:type="dxa"/>
          </w:tcPr>
          <w:p>
            <w:pPr>
              <w:pStyle w:val="nTable"/>
              <w:spacing w:before="120"/>
            </w:pPr>
            <w:r>
              <w:t>28 Dec 2001 (see r. 2)</w:t>
            </w:r>
          </w:p>
        </w:tc>
      </w:tr>
      <w:tr>
        <w:trPr>
          <w:cantSplit/>
        </w:trPr>
        <w:tc>
          <w:tcPr>
            <w:tcW w:w="7088" w:type="dxa"/>
            <w:gridSpan w:val="3"/>
          </w:tcPr>
          <w:p>
            <w:pPr>
              <w:pStyle w:val="nTable"/>
              <w:spacing w:before="12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before="120"/>
            </w:pPr>
            <w:r>
              <w:rPr>
                <w:i/>
              </w:rPr>
              <w:t>Electricity Transmission Amendment Regulations 2002</w:t>
            </w:r>
            <w:r>
              <w:t xml:space="preserve"> r. 1-5</w:t>
            </w:r>
          </w:p>
        </w:tc>
        <w:tc>
          <w:tcPr>
            <w:tcW w:w="1276" w:type="dxa"/>
          </w:tcPr>
          <w:p>
            <w:pPr>
              <w:pStyle w:val="nTable"/>
              <w:spacing w:before="120"/>
            </w:pPr>
            <w:r>
              <w:t>29 Oct 2002 p. 5343-5</w:t>
            </w:r>
          </w:p>
        </w:tc>
        <w:tc>
          <w:tcPr>
            <w:tcW w:w="2693" w:type="dxa"/>
          </w:tcPr>
          <w:p>
            <w:pPr>
              <w:pStyle w:val="nTable"/>
              <w:spacing w:before="120"/>
            </w:pPr>
            <w:r>
              <w:t>1 Jan 2003 (see r. 2)</w:t>
            </w:r>
          </w:p>
        </w:tc>
      </w:tr>
      <w:tr>
        <w:tc>
          <w:tcPr>
            <w:tcW w:w="3119" w:type="dxa"/>
          </w:tcPr>
          <w:p>
            <w:pPr>
              <w:pStyle w:val="nTable"/>
              <w:spacing w:before="120"/>
              <w:rPr>
                <w:i/>
              </w:rPr>
            </w:pPr>
            <w:r>
              <w:rPr>
                <w:i/>
              </w:rPr>
              <w:t>Electricity Transmission Amendment Regulations (No. 2) 2004</w:t>
            </w:r>
          </w:p>
        </w:tc>
        <w:tc>
          <w:tcPr>
            <w:tcW w:w="1276" w:type="dxa"/>
          </w:tcPr>
          <w:p>
            <w:pPr>
              <w:pStyle w:val="nTable"/>
              <w:spacing w:before="120"/>
            </w:pPr>
            <w:r>
              <w:t>22 Jun 2004 p. 2165</w:t>
            </w:r>
            <w:r>
              <w:noBreakHyphen/>
              <w:t>7</w:t>
            </w:r>
          </w:p>
        </w:tc>
        <w:tc>
          <w:tcPr>
            <w:tcW w:w="2693" w:type="dxa"/>
          </w:tcPr>
          <w:p>
            <w:pPr>
              <w:pStyle w:val="nTable"/>
              <w:spacing w:before="120"/>
            </w:pPr>
            <w:r>
              <w:t xml:space="preserve">23 Jun 2004 (see r. 2 and </w:t>
            </w:r>
            <w:r>
              <w:rPr>
                <w:i/>
              </w:rPr>
              <w:t>Gazette</w:t>
            </w:r>
            <w:r>
              <w:t xml:space="preserve"> 22 Jun 2004 p. 2161)</w:t>
            </w:r>
          </w:p>
        </w:tc>
      </w:tr>
      <w:tr>
        <w:tc>
          <w:tcPr>
            <w:tcW w:w="3119" w:type="dxa"/>
          </w:tcPr>
          <w:p>
            <w:pPr>
              <w:pStyle w:val="nTable"/>
              <w:spacing w:before="120"/>
              <w:rPr>
                <w:i/>
              </w:rPr>
            </w:pPr>
            <w:r>
              <w:rPr>
                <w:i/>
              </w:rPr>
              <w:t>Electricity Transmission Amendment Regulations (No. 3) 2004</w:t>
            </w:r>
          </w:p>
        </w:tc>
        <w:tc>
          <w:tcPr>
            <w:tcW w:w="1276" w:type="dxa"/>
          </w:tcPr>
          <w:p>
            <w:pPr>
              <w:pStyle w:val="nTable"/>
              <w:spacing w:before="120"/>
            </w:pPr>
            <w:r>
              <w:rPr>
                <w:sz w:val="19"/>
              </w:rPr>
              <w:t>31 Dec 2004 p. 7139</w:t>
            </w:r>
          </w:p>
        </w:tc>
        <w:tc>
          <w:tcPr>
            <w:tcW w:w="2693" w:type="dxa"/>
          </w:tcPr>
          <w:p>
            <w:pPr>
              <w:pStyle w:val="nTable"/>
              <w:spacing w:before="120"/>
            </w:pPr>
            <w:r>
              <w:t>31 Dec 2004</w:t>
            </w:r>
          </w:p>
        </w:tc>
      </w:tr>
      <w:tr>
        <w:tc>
          <w:tcPr>
            <w:tcW w:w="3119" w:type="dxa"/>
          </w:tcPr>
          <w:p>
            <w:pPr>
              <w:pStyle w:val="nTable"/>
              <w:spacing w:before="120"/>
              <w:rPr>
                <w:i/>
              </w:rPr>
            </w:pPr>
            <w:r>
              <w:rPr>
                <w:i/>
              </w:rPr>
              <w:t>Electricity Transmission Amendment Regulations 2005</w:t>
            </w:r>
          </w:p>
        </w:tc>
        <w:tc>
          <w:tcPr>
            <w:tcW w:w="1276" w:type="dxa"/>
          </w:tcPr>
          <w:p>
            <w:pPr>
              <w:pStyle w:val="nTable"/>
              <w:spacing w:before="120"/>
              <w:rPr>
                <w:sz w:val="19"/>
              </w:rPr>
            </w:pPr>
            <w:r>
              <w:rPr>
                <w:sz w:val="19"/>
              </w:rPr>
              <w:t>24 Jun 2005 p. 2752-4</w:t>
            </w:r>
          </w:p>
        </w:tc>
        <w:tc>
          <w:tcPr>
            <w:tcW w:w="2693" w:type="dxa"/>
          </w:tcPr>
          <w:p>
            <w:pPr>
              <w:pStyle w:val="nTable"/>
              <w:spacing w:before="120"/>
            </w:pPr>
            <w:r>
              <w:t>24 Jun 2005</w:t>
            </w:r>
          </w:p>
        </w:tc>
      </w:tr>
      <w:tr>
        <w:tc>
          <w:tcPr>
            <w:tcW w:w="3119" w:type="dxa"/>
          </w:tcPr>
          <w:p>
            <w:pPr>
              <w:pStyle w:val="nTable"/>
              <w:spacing w:before="120"/>
              <w:rPr>
                <w:i/>
              </w:rPr>
            </w:pPr>
            <w:r>
              <w:rPr>
                <w:i/>
              </w:rPr>
              <w:t>Electricity Transmission Amendment Regulations 2006</w:t>
            </w:r>
          </w:p>
        </w:tc>
        <w:tc>
          <w:tcPr>
            <w:tcW w:w="1276" w:type="dxa"/>
          </w:tcPr>
          <w:p>
            <w:pPr>
              <w:pStyle w:val="nTable"/>
              <w:spacing w:before="120"/>
              <w:rPr>
                <w:sz w:val="19"/>
              </w:rPr>
            </w:pPr>
            <w:r>
              <w:rPr>
                <w:sz w:val="19"/>
              </w:rPr>
              <w:t>20 Jan 2006 p. 377-8</w:t>
            </w:r>
          </w:p>
        </w:tc>
        <w:tc>
          <w:tcPr>
            <w:tcW w:w="2693" w:type="dxa"/>
          </w:tcPr>
          <w:p>
            <w:pPr>
              <w:pStyle w:val="nTable"/>
              <w:spacing w:before="120"/>
            </w:pPr>
            <w:r>
              <w:t>20 Jan 2006</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Pt. 5</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pPr>
      <w:r>
        <w:rPr>
          <w:vertAlign w:val="superscript"/>
        </w:rPr>
        <w:t>2</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
      <w:pPr>
        <w:sectPr>
          <w:headerReference w:type="even" r:id="rId47"/>
          <w:headerReference w:type="default" r:id="rId48"/>
          <w:headerReference w:type="first" r:id="rId49"/>
          <w:pgSz w:w="11906" w:h="16838" w:code="9"/>
          <w:pgMar w:top="2381" w:right="2409" w:bottom="3543" w:left="2409" w:header="720" w:footer="3380" w:gutter="0"/>
          <w:cols w:space="720"/>
          <w:noEndnote/>
          <w:docGrid w:linePitch="326"/>
        </w:sectPr>
      </w:pPr>
    </w:p>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separate"/>
          </w:r>
          <w:r>
            <w:rPr>
              <w:noProof/>
            </w:rPr>
            <w:t>Access application flow chart</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Electricity Transmission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fldSimple w:instr=" styleref CharSchText ">
            <w:r>
              <w:rPr>
                <w:noProof/>
              </w:rPr>
              <w:t>Access application flow chart</w:t>
            </w:r>
          </w:fldSimple>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070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38A8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BE9E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FA98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8B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1CEB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0A59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CE28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D803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D8F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5CA30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A204184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19031</Words>
  <Characters>98015</Characters>
  <Application>Microsoft Office Word</Application>
  <DocSecurity>0</DocSecurity>
  <Lines>2579</Lines>
  <Paragraphs>1170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1996 - 01-f0-03</dc:title>
  <dc:subject/>
  <dc:creator/>
  <cp:keywords/>
  <dc:description/>
  <cp:lastModifiedBy>svcMRProcess</cp:lastModifiedBy>
  <cp:revision>4</cp:revision>
  <cp:lastPrinted>2006-04-04T03:48:00Z</cp:lastPrinted>
  <dcterms:created xsi:type="dcterms:W3CDTF">2020-02-20T08:37:00Z</dcterms:created>
  <dcterms:modified xsi:type="dcterms:W3CDTF">2020-02-20T08:37:00Z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4411</vt:i4>
  </property>
  <property fmtid="{D5CDD505-2E9C-101B-9397-08002B2CF9AE}" pid="6" name="AsAtDate">
    <vt:lpwstr>01 Apr 2006</vt:lpwstr>
  </property>
  <property fmtid="{D5CDD505-2E9C-101B-9397-08002B2CF9AE}" pid="7" name="Suffix">
    <vt:lpwstr>01-f0-03</vt:lpwstr>
  </property>
</Properties>
</file>