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Electricity Distribution Access (Regional Systems) Order 1998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Electricity Distribution Access (Regional Systems) Order 1998</w:t>
      </w:r>
      <w:r>
        <w:fldChar w:fldCharType="end"/>
      </w:r>
    </w:p>
    <w:p>
      <w:pPr>
        <w:pStyle w:val="Arrangement"/>
      </w:pPr>
      <w:r>
        <w:t>CONTENTS</w:t>
      </w:r>
    </w:p>
    <w:p>
      <w:pPr>
        <w:pStyle w:val="TOC4"/>
        <w:tabs>
          <w:tab w:val="left" w:pos="1483"/>
        </w:tabs>
        <w:rPr>
          <w:noProof/>
        </w:rPr>
      </w:pPr>
      <w:r>
        <w:fldChar w:fldCharType="begin"/>
      </w:r>
      <w:r>
        <w:instrText xml:space="preserve"> TOC \o "1-3" \t "Heading 5,4" \n 2-3 </w:instrText>
      </w:r>
      <w:r>
        <w:fldChar w:fldCharType="separate"/>
      </w:r>
      <w:r>
        <w:rPr>
          <w:noProof/>
        </w:rPr>
        <w:t>1.</w:t>
      </w:r>
      <w:r>
        <w:rPr>
          <w:noProof/>
        </w:rPr>
        <w:tab/>
        <w:t>Citation</w:t>
      </w:r>
      <w:r>
        <w:rPr>
          <w:noProof/>
        </w:rPr>
        <w:tab/>
      </w:r>
      <w:r>
        <w:rPr>
          <w:noProof/>
        </w:rPr>
        <w:fldChar w:fldCharType="begin"/>
      </w:r>
      <w:r>
        <w:rPr>
          <w:noProof/>
        </w:rPr>
        <w:instrText xml:space="preserve"> PAGEREF _Toc494849866 \h </w:instrText>
      </w:r>
      <w:r>
        <w:rPr>
          <w:noProof/>
        </w:rPr>
      </w:r>
      <w:r>
        <w:rPr>
          <w:noProof/>
        </w:rPr>
        <w:fldChar w:fldCharType="separate"/>
      </w:r>
      <w:r>
        <w:rPr>
          <w:noProof/>
        </w:rPr>
        <w:t>1</w:t>
      </w:r>
      <w:r>
        <w:rPr>
          <w:noProof/>
        </w:rPr>
        <w:fldChar w:fldCharType="end"/>
      </w:r>
    </w:p>
    <w:p>
      <w:pPr>
        <w:pStyle w:val="TOC4"/>
        <w:tabs>
          <w:tab w:val="left" w:pos="1483"/>
        </w:tabs>
        <w:rPr>
          <w:noProof/>
        </w:rPr>
      </w:pPr>
      <w:r>
        <w:rPr>
          <w:noProof/>
        </w:rPr>
        <w:t>2.</w:t>
      </w:r>
      <w:r>
        <w:rPr>
          <w:noProof/>
        </w:rPr>
        <w:tab/>
        <w:t>Commencement</w:t>
      </w:r>
      <w:r>
        <w:rPr>
          <w:noProof/>
        </w:rPr>
        <w:tab/>
      </w:r>
      <w:r>
        <w:rPr>
          <w:noProof/>
        </w:rPr>
        <w:fldChar w:fldCharType="begin"/>
      </w:r>
      <w:r>
        <w:rPr>
          <w:noProof/>
        </w:rPr>
        <w:instrText xml:space="preserve"> PAGEREF _Toc494849867 \h </w:instrText>
      </w:r>
      <w:r>
        <w:rPr>
          <w:noProof/>
        </w:rPr>
      </w:r>
      <w:r>
        <w:rPr>
          <w:noProof/>
        </w:rPr>
        <w:fldChar w:fldCharType="separate"/>
      </w:r>
      <w:r>
        <w:rPr>
          <w:noProof/>
        </w:rPr>
        <w:t>1</w:t>
      </w:r>
      <w:r>
        <w:rPr>
          <w:noProof/>
        </w:rPr>
        <w:fldChar w:fldCharType="end"/>
      </w:r>
    </w:p>
    <w:p>
      <w:pPr>
        <w:pStyle w:val="TOC4"/>
        <w:tabs>
          <w:tab w:val="left" w:pos="1483"/>
        </w:tabs>
        <w:rPr>
          <w:noProof/>
        </w:rPr>
      </w:pPr>
      <w:r>
        <w:rPr>
          <w:noProof/>
        </w:rPr>
        <w:t>3.</w:t>
      </w:r>
      <w:r>
        <w:rPr>
          <w:noProof/>
        </w:rPr>
        <w:tab/>
        <w:t>Definitions</w:t>
      </w:r>
      <w:r>
        <w:rPr>
          <w:noProof/>
        </w:rPr>
        <w:tab/>
      </w:r>
      <w:r>
        <w:rPr>
          <w:noProof/>
        </w:rPr>
        <w:fldChar w:fldCharType="begin"/>
      </w:r>
      <w:r>
        <w:rPr>
          <w:noProof/>
        </w:rPr>
        <w:instrText xml:space="preserve"> PAGEREF _Toc494849868 \h </w:instrText>
      </w:r>
      <w:r>
        <w:rPr>
          <w:noProof/>
        </w:rPr>
      </w:r>
      <w:r>
        <w:rPr>
          <w:noProof/>
        </w:rPr>
        <w:fldChar w:fldCharType="separate"/>
      </w:r>
      <w:r>
        <w:rPr>
          <w:noProof/>
        </w:rPr>
        <w:t>1</w:t>
      </w:r>
      <w:r>
        <w:rPr>
          <w:noProof/>
        </w:rPr>
        <w:fldChar w:fldCharType="end"/>
      </w:r>
    </w:p>
    <w:p>
      <w:pPr>
        <w:pStyle w:val="TOC4"/>
        <w:tabs>
          <w:tab w:val="left" w:pos="1483"/>
        </w:tabs>
        <w:rPr>
          <w:noProof/>
        </w:rPr>
      </w:pPr>
      <w:r>
        <w:rPr>
          <w:noProof/>
        </w:rPr>
        <w:t>4.</w:t>
      </w:r>
      <w:r>
        <w:rPr>
          <w:noProof/>
        </w:rPr>
        <w:tab/>
        <w:t>Regional system access</w:t>
      </w:r>
      <w:r>
        <w:rPr>
          <w:noProof/>
        </w:rPr>
        <w:tab/>
      </w:r>
      <w:r>
        <w:rPr>
          <w:noProof/>
        </w:rPr>
        <w:fldChar w:fldCharType="begin"/>
      </w:r>
      <w:r>
        <w:rPr>
          <w:noProof/>
        </w:rPr>
        <w:instrText xml:space="preserve"> PAGEREF _Toc494849869 \h </w:instrText>
      </w:r>
      <w:r>
        <w:rPr>
          <w:noProof/>
        </w:rPr>
      </w:r>
      <w:r>
        <w:rPr>
          <w:noProof/>
        </w:rPr>
        <w:fldChar w:fldCharType="separate"/>
      </w:r>
      <w:r>
        <w:rPr>
          <w:noProof/>
        </w:rPr>
        <w:t>2</w:t>
      </w:r>
      <w:r>
        <w:rPr>
          <w:noProof/>
        </w:rPr>
        <w:fldChar w:fldCharType="end"/>
      </w:r>
    </w:p>
    <w:p>
      <w:pPr>
        <w:pStyle w:val="TOC2"/>
        <w:tabs>
          <w:tab w:val="right" w:leader="dot" w:pos="7086"/>
        </w:tabs>
        <w:rPr>
          <w:noProof/>
        </w:rPr>
      </w:pPr>
      <w:r>
        <w:rPr>
          <w:noProof/>
        </w:rPr>
        <w:t>Notes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Electricity Corporation Act 1994</w:t>
      </w:r>
    </w:p>
    <w:p>
      <w:pPr>
        <w:pStyle w:val="NameofActReg"/>
        <w:spacing w:before="240"/>
      </w:pPr>
      <w:r>
        <w:t>Electricity Distribution Access (Regional Systems) Order 1998</w:t>
      </w:r>
    </w:p>
    <w:p>
      <w:pPr>
        <w:pStyle w:val="MadeBy"/>
      </w:pPr>
      <w:r>
        <w:t>Made by the Minister under section 93(1)(b) of the Act.</w:t>
      </w:r>
    </w:p>
    <w:p>
      <w:pPr>
        <w:pStyle w:val="Heading5"/>
      </w:pPr>
      <w:bookmarkStart w:id="1" w:name="_Toc426212522"/>
      <w:bookmarkStart w:id="2" w:name="_Toc494849866"/>
      <w:r>
        <w:rPr>
          <w:rStyle w:val="CharSectno"/>
        </w:rPr>
        <w:t>1</w:t>
      </w:r>
      <w:r>
        <w:t>.</w:t>
      </w:r>
      <w:r>
        <w:tab/>
        <w:t>Citation</w:t>
      </w:r>
      <w:bookmarkEnd w:id="1"/>
      <w:bookmarkEnd w:id="2"/>
    </w:p>
    <w:p>
      <w:pPr>
        <w:pStyle w:val="Subsection"/>
        <w:rPr>
          <w:i/>
        </w:rPr>
      </w:pPr>
      <w:r>
        <w:tab/>
      </w:r>
      <w:r>
        <w:tab/>
        <w:t xml:space="preserve">This order may be cited as the </w:t>
      </w:r>
      <w:r>
        <w:rPr>
          <w:i/>
        </w:rPr>
        <w:t>Electricity Distribution Access (Regional Systems) Order 1998.</w:t>
      </w:r>
    </w:p>
    <w:p>
      <w:pPr>
        <w:pStyle w:val="Heading5"/>
      </w:pPr>
      <w:bookmarkStart w:id="3" w:name="_Toc494849867"/>
      <w:r>
        <w:rPr>
          <w:rStyle w:val="CharSectno"/>
        </w:rPr>
        <w:t>2</w:t>
      </w:r>
      <w:r>
        <w:t>.</w:t>
      </w:r>
      <w:r>
        <w:tab/>
        <w:t>Commencement</w:t>
      </w:r>
      <w:bookmarkEnd w:id="3"/>
    </w:p>
    <w:p>
      <w:pPr>
        <w:pStyle w:val="Subsection"/>
      </w:pPr>
      <w:r>
        <w:tab/>
      </w:r>
      <w:r>
        <w:tab/>
        <w:t>This order comes into operation on 1 January 1999.</w:t>
      </w:r>
    </w:p>
    <w:p>
      <w:pPr>
        <w:pStyle w:val="Heading5"/>
      </w:pPr>
      <w:bookmarkStart w:id="4" w:name="_Toc426212524"/>
      <w:bookmarkStart w:id="5" w:name="_Toc494849868"/>
      <w:r>
        <w:rPr>
          <w:rStyle w:val="CharSectno"/>
        </w:rPr>
        <w:t>3</w:t>
      </w:r>
      <w:r>
        <w:t>.</w:t>
      </w:r>
      <w:r>
        <w:tab/>
        <w:t>Definitions</w:t>
      </w:r>
      <w:bookmarkEnd w:id="4"/>
      <w:bookmarkEnd w:id="5"/>
    </w:p>
    <w:p>
      <w:pPr>
        <w:pStyle w:val="Subsection"/>
      </w:pPr>
      <w:r>
        <w:tab/>
      </w:r>
      <w:r>
        <w:tab/>
        <w:t>In this order —</w:t>
      </w:r>
    </w:p>
    <w:p>
      <w:pPr>
        <w:pStyle w:val="Defstart"/>
      </w:pPr>
      <w:r>
        <w:tab/>
      </w:r>
      <w:r>
        <w:rPr>
          <w:rStyle w:val="CharDefText"/>
        </w:rPr>
        <w:t>“regional system”</w:t>
      </w:r>
      <w:r>
        <w:t xml:space="preserve"> means any part of the electricity distribution system identified as a regional power isolated system on the depiction prepared and maintained under regulation 5 of the </w:t>
      </w:r>
      <w:r>
        <w:rPr>
          <w:i/>
        </w:rPr>
        <w:t>Electricity Distribution Regulations 1997</w:t>
      </w:r>
      <w:r>
        <w:t>;</w:t>
      </w:r>
    </w:p>
    <w:p>
      <w:pPr>
        <w:pStyle w:val="Defstart"/>
      </w:pPr>
      <w:r>
        <w:tab/>
      </w:r>
      <w:r>
        <w:rPr>
          <w:b/>
        </w:rPr>
        <w:t>“</w:t>
      </w:r>
      <w:r>
        <w:rPr>
          <w:rStyle w:val="CharDefText"/>
        </w:rPr>
        <w:t>distribution exit point</w:t>
      </w:r>
      <w:r>
        <w:rPr>
          <w:b/>
        </w:rPr>
        <w:t>”</w:t>
      </w:r>
      <w:r>
        <w:t xml:space="preserve"> has the same meaning as it has in the </w:t>
      </w:r>
      <w:r>
        <w:rPr>
          <w:i/>
        </w:rPr>
        <w:t>Electricity Distribution Regulations 1997</w:t>
      </w:r>
      <w:r>
        <w:t>;</w:t>
      </w:r>
    </w:p>
    <w:p>
      <w:pPr>
        <w:pStyle w:val="Defstart"/>
      </w:pPr>
      <w:r>
        <w:tab/>
      </w:r>
      <w:r>
        <w:rPr>
          <w:rStyle w:val="CharDefText"/>
        </w:rPr>
        <w:t>“regional system access”</w:t>
      </w:r>
      <w:r>
        <w:t xml:space="preserve"> means access to spare capacity and new capacity of a regional system.</w:t>
      </w:r>
    </w:p>
    <w:p>
      <w:pPr>
        <w:pStyle w:val="Footnotesection"/>
      </w:pPr>
      <w:r>
        <w:tab/>
        <w:t>Clause 3 amended in Gazette 29 September 2000 p.5567.]</w:t>
      </w:r>
    </w:p>
    <w:p>
      <w:pPr>
        <w:pStyle w:val="Heading5"/>
      </w:pPr>
      <w:bookmarkStart w:id="6" w:name="_Toc494849869"/>
      <w:r>
        <w:rPr>
          <w:rStyle w:val="CharSectno"/>
        </w:rPr>
        <w:lastRenderedPageBreak/>
        <w:t>4</w:t>
      </w:r>
      <w:r>
        <w:t>.</w:t>
      </w:r>
      <w:r>
        <w:tab/>
        <w:t>Regional system access</w:t>
      </w:r>
      <w:bookmarkEnd w:id="6"/>
    </w:p>
    <w:p>
      <w:pPr>
        <w:pStyle w:val="Subsection"/>
      </w:pPr>
      <w:r>
        <w:tab/>
      </w:r>
      <w:r>
        <w:tab/>
        <w:t>Under clause 2(1) of Schedule 6 to the Act, the corporation is to make available regional system access to an existing or prospective user for the transport of electricity if —</w:t>
      </w:r>
    </w:p>
    <w:p>
      <w:pPr>
        <w:pStyle w:val="Indenta"/>
      </w:pPr>
      <w:r>
        <w:tab/>
        <w:t>(a)</w:t>
      </w:r>
      <w:r>
        <w:tab/>
        <w:t>the electricity is to be transported to a single distribution exit point; and</w:t>
      </w:r>
    </w:p>
    <w:p>
      <w:pPr>
        <w:pStyle w:val="Indenta"/>
      </w:pPr>
      <w:r>
        <w:tab/>
        <w:t>(b)</w:t>
      </w:r>
      <w:r>
        <w:tab/>
        <w:t>the amount of electricity to be transported is to be at least 300 megawatt hours in the period of 12 months beginning on the day on and from which the existing or prospective user wants access to be made available.</w:t>
      </w:r>
    </w:p>
    <w:p>
      <w:pPr>
        <w:pStyle w:val="Footnotesection"/>
      </w:pPr>
      <w:r>
        <w:tab/>
        <w:t>[Clause 4 inserted in Gazette 29 September 2000 p.5568.]</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r>
        <w:t>Notes</w:t>
      </w:r>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Electricity Distribution Access (Regional Systems) Order 1998</w:t>
      </w:r>
      <w:r>
        <w:rPr>
          <w:snapToGrid w:val="0"/>
        </w:rPr>
        <w:t xml:space="preserve"> and includes the amendments referred to in the following Table.</w:t>
      </w:r>
    </w:p>
    <w:p>
      <w:pPr>
        <w:pStyle w:val="nHeading3"/>
        <w:rPr>
          <w:snapToGrid w:val="0"/>
        </w:rPr>
      </w:pPr>
      <w:r>
        <w:rPr>
          <w:snapToGrid w:val="0"/>
        </w:rPr>
        <w:t>Compilation table</w:t>
      </w:r>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40" w:after="40"/>
              <w:rPr>
                <w:b/>
                <w:sz w:val="19"/>
              </w:rPr>
            </w:pPr>
            <w:r>
              <w:rPr>
                <w:b/>
                <w:sz w:val="19"/>
              </w:rPr>
              <w:t>Citation</w:t>
            </w:r>
          </w:p>
        </w:tc>
        <w:tc>
          <w:tcPr>
            <w:tcW w:w="1276" w:type="dxa"/>
            <w:tcBorders>
              <w:top w:val="single" w:sz="8" w:space="0" w:color="auto"/>
              <w:bottom w:val="single" w:sz="8" w:space="0" w:color="auto"/>
            </w:tcBorders>
          </w:tcPr>
          <w:p>
            <w:pPr>
              <w:pStyle w:val="nTable"/>
              <w:spacing w:before="40" w:after="40"/>
              <w:rPr>
                <w:b/>
                <w:sz w:val="19"/>
              </w:rPr>
            </w:pPr>
            <w:r>
              <w:rPr>
                <w:b/>
                <w:sz w:val="19"/>
              </w:rPr>
              <w:t>Gazettal</w:t>
            </w:r>
          </w:p>
        </w:tc>
        <w:tc>
          <w:tcPr>
            <w:tcW w:w="2693" w:type="dxa"/>
            <w:tcBorders>
              <w:top w:val="single" w:sz="8" w:space="0" w:color="auto"/>
              <w:bottom w:val="single" w:sz="8" w:space="0" w:color="auto"/>
            </w:tcBorders>
          </w:tcPr>
          <w:p>
            <w:pPr>
              <w:pStyle w:val="nTable"/>
              <w:spacing w:before="40" w:after="40"/>
              <w:rPr>
                <w:b/>
                <w:sz w:val="19"/>
              </w:rPr>
            </w:pPr>
            <w:r>
              <w:rPr>
                <w:b/>
                <w:sz w:val="19"/>
              </w:rPr>
              <w:t>Commencement</w:t>
            </w:r>
          </w:p>
        </w:tc>
      </w:tr>
      <w:tr>
        <w:tc>
          <w:tcPr>
            <w:tcW w:w="3118" w:type="dxa"/>
            <w:tcBorders>
              <w:top w:val="single" w:sz="4" w:space="0" w:color="auto"/>
            </w:tcBorders>
          </w:tcPr>
          <w:p>
            <w:pPr>
              <w:pStyle w:val="nTable"/>
              <w:spacing w:before="40" w:after="40"/>
              <w:rPr>
                <w:sz w:val="19"/>
              </w:rPr>
            </w:pPr>
            <w:r>
              <w:rPr>
                <w:i/>
                <w:snapToGrid w:val="0"/>
                <w:sz w:val="19"/>
              </w:rPr>
              <w:t>Electricity Distribution Access (Regional Systems) Order 1998</w:t>
            </w:r>
          </w:p>
        </w:tc>
        <w:tc>
          <w:tcPr>
            <w:tcW w:w="1276" w:type="dxa"/>
            <w:tcBorders>
              <w:top w:val="single" w:sz="4" w:space="0" w:color="auto"/>
            </w:tcBorders>
          </w:tcPr>
          <w:p>
            <w:pPr>
              <w:pStyle w:val="nTable"/>
              <w:spacing w:before="40" w:after="40"/>
              <w:rPr>
                <w:sz w:val="19"/>
              </w:rPr>
            </w:pPr>
            <w:r>
              <w:rPr>
                <w:sz w:val="19"/>
              </w:rPr>
              <w:t>3 Nov 1998 p. 6076</w:t>
            </w:r>
          </w:p>
        </w:tc>
        <w:tc>
          <w:tcPr>
            <w:tcW w:w="2693" w:type="dxa"/>
            <w:tcBorders>
              <w:top w:val="single" w:sz="4" w:space="0" w:color="auto"/>
            </w:tcBorders>
          </w:tcPr>
          <w:p>
            <w:pPr>
              <w:pStyle w:val="nTable"/>
              <w:spacing w:before="40" w:after="40"/>
              <w:rPr>
                <w:sz w:val="19"/>
              </w:rPr>
            </w:pPr>
            <w:r>
              <w:rPr>
                <w:sz w:val="19"/>
              </w:rPr>
              <w:t>1 Jan 1999 (see order 2)</w:t>
            </w:r>
          </w:p>
        </w:tc>
      </w:tr>
      <w:tr>
        <w:tc>
          <w:tcPr>
            <w:tcW w:w="3118" w:type="dxa"/>
            <w:tcBorders>
              <w:bottom w:val="single" w:sz="8" w:space="0" w:color="auto"/>
            </w:tcBorders>
          </w:tcPr>
          <w:p>
            <w:pPr>
              <w:pStyle w:val="nTable"/>
              <w:spacing w:before="40" w:after="40"/>
              <w:rPr>
                <w:i/>
                <w:snapToGrid w:val="0"/>
                <w:sz w:val="19"/>
              </w:rPr>
            </w:pPr>
            <w:r>
              <w:rPr>
                <w:i/>
                <w:snapToGrid w:val="0"/>
                <w:sz w:val="19"/>
              </w:rPr>
              <w:t>Electricity Distribution Access (Regional Systems) Amendment Order 2000</w:t>
            </w:r>
          </w:p>
        </w:tc>
        <w:tc>
          <w:tcPr>
            <w:tcW w:w="1276" w:type="dxa"/>
            <w:tcBorders>
              <w:bottom w:val="single" w:sz="8" w:space="0" w:color="auto"/>
            </w:tcBorders>
          </w:tcPr>
          <w:p>
            <w:pPr>
              <w:pStyle w:val="nTable"/>
              <w:spacing w:before="40" w:after="40"/>
              <w:rPr>
                <w:sz w:val="19"/>
              </w:rPr>
            </w:pPr>
            <w:r>
              <w:rPr>
                <w:sz w:val="19"/>
              </w:rPr>
              <w:t>29 Sep 2000 p. 5567-8</w:t>
            </w:r>
          </w:p>
        </w:tc>
        <w:tc>
          <w:tcPr>
            <w:tcW w:w="2693" w:type="dxa"/>
            <w:tcBorders>
              <w:bottom w:val="single" w:sz="8" w:space="0" w:color="auto"/>
            </w:tcBorders>
          </w:tcPr>
          <w:p>
            <w:pPr>
              <w:pStyle w:val="nTable"/>
              <w:spacing w:before="40" w:after="40"/>
              <w:rPr>
                <w:sz w:val="19"/>
              </w:rPr>
            </w:pPr>
            <w:r>
              <w:rPr>
                <w:sz w:val="19"/>
              </w:rPr>
              <w:t>1 Oct 2000 (see clause 2)</w:t>
            </w:r>
          </w:p>
        </w:tc>
      </w:tr>
    </w:tbl>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type w:val="continuous"/>
      <w:pgSz w:w="11906" w:h="16838" w:code="9"/>
      <w:pgMar w:top="1191" w:right="2404" w:bottom="1134" w:left="2404" w:header="1134" w:footer="338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2000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2000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2000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Distribution Access (Regional Systems) Order 1998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Electricity Distribution Access (Regional Systems) Order 1998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Electricity Distribution Access (Regional Systems) Order 1998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Electricity Distribution Access (Regional Systems) Order 1998</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Electricity Distribution Access (Regional Systems) Order 1998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Electricity Distribution Access (Regional Systems) Order 1998</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cl. </w:t>
          </w:r>
          <w:fldSimple w:instr=" styleref CharSectno ">
            <w:r>
              <w:rPr>
                <w:noProof/>
              </w:rPr>
              <w:t>1</w:t>
            </w:r>
          </w:fldSimple>
        </w:p>
      </w:tc>
    </w:tr>
  </w:tbl>
  <w:p>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Electricity Distribution Access (Regional Systems) Order 1998</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1E44D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5BE08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6D68E40"/>
    <w:lvl w:ilvl="0">
      <w:start w:val="1"/>
      <w:numFmt w:val="decimal"/>
      <w:pStyle w:val="ListNumber3"/>
      <w:lvlText w:val="%1."/>
      <w:lvlJc w:val="left"/>
      <w:pPr>
        <w:tabs>
          <w:tab w:val="num" w:pos="926"/>
        </w:tabs>
        <w:ind w:left="926" w:hanging="360"/>
      </w:pPr>
    </w:lvl>
  </w:abstractNum>
  <w:abstractNum w:abstractNumId="3">
    <w:nsid w:val="FFFFFF7F"/>
    <w:multiLevelType w:val="singleLevel"/>
    <w:tmpl w:val="FC1C6818"/>
    <w:lvl w:ilvl="0">
      <w:start w:val="1"/>
      <w:numFmt w:val="decimal"/>
      <w:pStyle w:val="ListNumber2"/>
      <w:lvlText w:val="%1."/>
      <w:lvlJc w:val="left"/>
      <w:pPr>
        <w:tabs>
          <w:tab w:val="num" w:pos="643"/>
        </w:tabs>
        <w:ind w:left="643" w:hanging="360"/>
      </w:pPr>
    </w:lvl>
  </w:abstractNum>
  <w:abstractNum w:abstractNumId="4">
    <w:nsid w:val="FFFFFF80"/>
    <w:multiLevelType w:val="singleLevel"/>
    <w:tmpl w:val="282C812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1849FD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99E314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774E8A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858E85E"/>
    <w:lvl w:ilvl="0">
      <w:start w:val="1"/>
      <w:numFmt w:val="decimal"/>
      <w:pStyle w:val="ListNumber"/>
      <w:lvlText w:val="%1."/>
      <w:lvlJc w:val="left"/>
      <w:pPr>
        <w:tabs>
          <w:tab w:val="num" w:pos="360"/>
        </w:tabs>
        <w:ind w:left="360" w:hanging="360"/>
      </w:pPr>
    </w:lvl>
  </w:abstractNum>
  <w:abstractNum w:abstractNumId="9">
    <w:nsid w:val="FFFFFF89"/>
    <w:multiLevelType w:val="singleLevel"/>
    <w:tmpl w:val="D3F021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02F81CD2"/>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A71C7DC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17103DAE"/>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21404"/>
    <w:docVar w:name="WAFER_20151207121404" w:val="RemoveTrackChanges"/>
    <w:docVar w:name="WAFER_20151207121404_GUID" w:val="7700aa4a-e362-4439-ae5e-bdb30c887fb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noProof/>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2"/>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customStyle="1" w:styleId="DraftersNotes">
    <w:name w:val="DraftersNotes"/>
    <w:pPr>
      <w:keepNext/>
      <w:ind w:left="567" w:right="567"/>
    </w:pPr>
    <w:rPr>
      <w:b/>
      <w:i/>
      <w:lang w:eastAsia="en-US"/>
    </w:r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noProof/>
      <w:sz w:val="24"/>
      <w:lang w:eastAsia="en-US"/>
    </w:rPr>
  </w:style>
  <w:style w:type="paragraph" w:customStyle="1" w:styleId="Mainnumbers">
    <w:name w:val="Mainnumbers"/>
    <w:basedOn w:val="Normal"/>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pPr>
    <w:rPr>
      <w:sz w:val="24"/>
      <w:lang w:eastAsia="en-US"/>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rPr>
      <w:sz w:val="20"/>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rPr>
      <w:sz w:val="20"/>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Table">
    <w:name w:val="Table"/>
    <w:aliases w:val="t"/>
    <w:basedOn w:val="Normal"/>
    <w:pPr>
      <w:spacing w:before="60" w:line="240" w:lineRule="atLeast"/>
    </w:pPr>
  </w:style>
  <w:style w:type="paragraph" w:customStyle="1" w:styleId="nTable">
    <w:name w:val="nTable"/>
    <w:basedOn w:val="Table"/>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rPr>
      <w:sz w:val="20"/>
    </w:rPr>
  </w:style>
  <w:style w:type="paragraph" w:customStyle="1" w:styleId="zHeading2">
    <w:name w:val="zHeading 2"/>
    <w:basedOn w:val="Heading2"/>
    <w:pPr>
      <w:pageBreakBefore w:val="0"/>
      <w:shd w:val="clear" w:color="808080" w:fill="auto"/>
      <w:ind w:left="567" w:right="284"/>
      <w:outlineLvl w:val="9"/>
    </w:pPr>
  </w:style>
  <w:style w:type="paragraph" w:customStyle="1" w:styleId="nzHeading2">
    <w:name w:val="nzHeading 2"/>
    <w:basedOn w:val="zHeading2"/>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rPr>
      <w:sz w:val="20"/>
    </w:rPr>
  </w:style>
  <w:style w:type="paragraph" w:customStyle="1" w:styleId="zTable">
    <w:name w:val="zTable"/>
    <w:basedOn w:val="Normal"/>
    <w:pPr>
      <w:shd w:val="clear" w:color="808080" w:fill="auto"/>
    </w:pPr>
  </w:style>
  <w:style w:type="paragraph" w:customStyle="1" w:styleId="nzTable">
    <w:name w:val="nzTable"/>
    <w:basedOn w:val="zTable"/>
  </w:style>
  <w:style w:type="character" w:styleId="PageNumber">
    <w:name w:val="page number"/>
    <w:basedOn w:val="DefaultParagraphFont"/>
    <w:semiHidden/>
    <w:rPr>
      <w:sz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reamble">
    <w:name w:val="Preamble"/>
    <w:pPr>
      <w:tabs>
        <w:tab w:val="right" w:pos="605"/>
        <w:tab w:val="left" w:pos="893"/>
      </w:tabs>
      <w:spacing w:before="160" w:line="260" w:lineRule="atLeast"/>
    </w:pPr>
    <w:rPr>
      <w:sz w:val="24"/>
      <w:lang w:eastAsia="en-US"/>
    </w:rPr>
  </w:style>
  <w:style w:type="paragraph" w:customStyle="1" w:styleId="PrincipalActReg">
    <w:name w:val="PrincipalAct_Reg"/>
    <w:pPr>
      <w:spacing w:after="480"/>
      <w:jc w:val="center"/>
    </w:pPr>
    <w:rPr>
      <w:noProof/>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240" w:after="120" w:line="240" w:lineRule="auto"/>
      <w:ind w:left="648" w:right="288"/>
      <w:outlineLvl w:val="9"/>
    </w:pPr>
    <w:rPr>
      <w:snapToGrid/>
    </w:rPr>
  </w:style>
  <w:style w:type="paragraph" w:styleId="TOC3">
    <w:name w:val="toc 3"/>
    <w:basedOn w:val="Normal"/>
    <w:next w:val="Normal"/>
    <w:autoRedefine/>
    <w:semiHidden/>
    <w:pPr>
      <w:spacing w:before="60" w:after="20"/>
      <w:ind w:left="862" w:right="567"/>
      <w:jc w:val="center"/>
    </w:pPr>
    <w:rPr>
      <w:b/>
    </w:rPr>
  </w:style>
  <w:style w:type="paragraph" w:styleId="TOC4">
    <w:name w:val="toc 4"/>
    <w:basedOn w:val="Heading4"/>
    <w:next w:val="Normal"/>
    <w:autoRedefine/>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autoRedefine/>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rPr>
      <w:sz w:val="22"/>
    </w:r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Ednoteitem">
    <w:name w:val="yEdnote(item)"/>
    <w:basedOn w:val="Ednoteitem"/>
    <w:rPr>
      <w:sz w:val="22"/>
    </w:rPr>
  </w:style>
  <w:style w:type="paragraph" w:customStyle="1" w:styleId="yEdnotepara">
    <w:name w:val="yEdnote(para)"/>
    <w:basedOn w:val="Ednotepara"/>
    <w:rPr>
      <w:sz w:val="22"/>
    </w:rPr>
  </w:style>
  <w:style w:type="paragraph" w:customStyle="1" w:styleId="yEdnotesection">
    <w:name w:val="yEdnote(section)"/>
    <w:basedOn w:val="Ednotesection"/>
    <w:pPr>
      <w:outlineLvl w:val="9"/>
    </w:pPr>
    <w:rPr>
      <w:sz w:val="22"/>
    </w:rPr>
  </w:style>
  <w:style w:type="paragraph" w:customStyle="1" w:styleId="yEdnotesubitem">
    <w:name w:val="yEdnote(subitem)"/>
    <w:basedOn w:val="Ednotesubitem"/>
  </w:style>
  <w:style w:type="paragraph" w:customStyle="1" w:styleId="yEdnotesubpara">
    <w:name w:val="yEdnote(subpara)"/>
    <w:basedOn w:val="Ednotesubpara"/>
    <w:rPr>
      <w:sz w:val="22"/>
    </w:rPr>
  </w:style>
  <w:style w:type="paragraph" w:customStyle="1" w:styleId="yFootnoteheading">
    <w:name w:val="yFootnote(heading)"/>
    <w:basedOn w:val="Footnoteheading"/>
    <w:rPr>
      <w:sz w:val="22"/>
    </w:rPr>
  </w:style>
  <w:style w:type="paragraph" w:customStyle="1" w:styleId="yFootnotesection">
    <w:name w:val="yFootnote(section)"/>
    <w:basedOn w:val="Footnotesection"/>
    <w:rPr>
      <w:sz w:val="22"/>
    </w:rPr>
  </w:style>
  <w:style w:type="paragraph" w:customStyle="1" w:styleId="yHeading1">
    <w:name w:val="yHeading 1"/>
    <w:basedOn w:val="Heading1"/>
    <w:rPr>
      <w:sz w:val="32"/>
    </w:rPr>
  </w:style>
  <w:style w:type="paragraph" w:customStyle="1" w:styleId="yHeading2">
    <w:name w:val="yHeading 2"/>
    <w:basedOn w:val="Heading2"/>
    <w:pPr>
      <w:pageBreakBefore w:val="0"/>
      <w:spacing w:before="240"/>
    </w:pPr>
    <w:rPr>
      <w:sz w:val="28"/>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yPenitem">
    <w:name w:val="yPenitem"/>
    <w:basedOn w:val="Penitem"/>
    <w:rPr>
      <w:sz w:val="22"/>
    </w:rPr>
  </w:style>
  <w:style w:type="paragraph" w:customStyle="1" w:styleId="yPenpara">
    <w:name w:val="yPenpara"/>
    <w:basedOn w:val="Penpara"/>
    <w:rPr>
      <w:sz w:val="22"/>
    </w:rPr>
  </w:style>
  <w:style w:type="paragraph" w:customStyle="1" w:styleId="yPenstart">
    <w:name w:val="yPenstart"/>
    <w:basedOn w:val="Penstart"/>
    <w:rPr>
      <w:sz w:val="22"/>
    </w:rPr>
  </w:style>
  <w:style w:type="paragraph" w:customStyle="1" w:styleId="yPensubpara">
    <w:name w:val="yPensubpara"/>
    <w:basedOn w:val="Pensubpara"/>
    <w:rPr>
      <w:sz w:val="22"/>
    </w:rPr>
  </w:style>
  <w:style w:type="paragraph" w:customStyle="1" w:styleId="yScheduleHeading">
    <w:name w:val="yScheduleHeading"/>
    <w:basedOn w:val="yHeading2"/>
    <w:pPr>
      <w:pageBreakBefore/>
    </w:pPr>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ubsection">
    <w:name w:val="ySubsection"/>
    <w:basedOn w:val="Subsection"/>
    <w:rPr>
      <w:sz w:val="22"/>
    </w:rPr>
  </w:style>
  <w:style w:type="paragraph" w:customStyle="1" w:styleId="yTable">
    <w:name w:val="yTable"/>
    <w:basedOn w:val="Table"/>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rPr>
      <w:sz w:val="22"/>
    </w:r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rPr>
      <w:sz w:val="20"/>
    </w:rPr>
  </w:style>
  <w:style w:type="paragraph" w:customStyle="1" w:styleId="zySubsection">
    <w:name w:val="zySubsection"/>
    <w:basedOn w:val="zSubsection"/>
    <w:rPr>
      <w:sz w:val="22"/>
    </w:rPr>
  </w:style>
  <w:style w:type="paragraph" w:styleId="Header">
    <w:name w:val="header"/>
    <w:basedOn w:val="Normal"/>
    <w:semiHidden/>
    <w:pPr>
      <w:tabs>
        <w:tab w:val="center" w:pos="4153"/>
        <w:tab w:val="right" w:pos="8306"/>
      </w:tabs>
    </w:p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rPr>
      <w:sz w:val="18"/>
    </w:rPr>
  </w:style>
  <w:style w:type="paragraph" w:customStyle="1" w:styleId="DefinedTerms">
    <w:name w:val="Defined Terms"/>
    <w:basedOn w:val="TOC4"/>
    <w:pPr>
      <w:tabs>
        <w:tab w:val="clear" w:pos="1530"/>
        <w:tab w:val="right" w:leader="dot" w:pos="7070"/>
      </w:tabs>
      <w:ind w:left="578" w:right="578" w:firstLine="0"/>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noProof/>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2"/>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customStyle="1" w:styleId="DraftersNotes">
    <w:name w:val="DraftersNotes"/>
    <w:pPr>
      <w:keepNext/>
      <w:ind w:left="567" w:right="567"/>
    </w:pPr>
    <w:rPr>
      <w:b/>
      <w:i/>
      <w:lang w:eastAsia="en-US"/>
    </w:r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noProof/>
      <w:sz w:val="24"/>
      <w:lang w:eastAsia="en-US"/>
    </w:rPr>
  </w:style>
  <w:style w:type="paragraph" w:customStyle="1" w:styleId="Mainnumbers">
    <w:name w:val="Mainnumbers"/>
    <w:basedOn w:val="Normal"/>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pPr>
    <w:rPr>
      <w:sz w:val="24"/>
      <w:lang w:eastAsia="en-US"/>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rPr>
      <w:sz w:val="20"/>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rPr>
      <w:sz w:val="20"/>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Table">
    <w:name w:val="Table"/>
    <w:aliases w:val="t"/>
    <w:basedOn w:val="Normal"/>
    <w:pPr>
      <w:spacing w:before="60" w:line="240" w:lineRule="atLeast"/>
    </w:pPr>
  </w:style>
  <w:style w:type="paragraph" w:customStyle="1" w:styleId="nTable">
    <w:name w:val="nTable"/>
    <w:basedOn w:val="Table"/>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rPr>
      <w:sz w:val="20"/>
    </w:rPr>
  </w:style>
  <w:style w:type="paragraph" w:customStyle="1" w:styleId="zHeading2">
    <w:name w:val="zHeading 2"/>
    <w:basedOn w:val="Heading2"/>
    <w:pPr>
      <w:pageBreakBefore w:val="0"/>
      <w:shd w:val="clear" w:color="808080" w:fill="auto"/>
      <w:ind w:left="567" w:right="284"/>
      <w:outlineLvl w:val="9"/>
    </w:pPr>
  </w:style>
  <w:style w:type="paragraph" w:customStyle="1" w:styleId="nzHeading2">
    <w:name w:val="nzHeading 2"/>
    <w:basedOn w:val="zHeading2"/>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rPr>
      <w:sz w:val="20"/>
    </w:rPr>
  </w:style>
  <w:style w:type="paragraph" w:customStyle="1" w:styleId="zTable">
    <w:name w:val="zTable"/>
    <w:basedOn w:val="Normal"/>
    <w:pPr>
      <w:shd w:val="clear" w:color="808080" w:fill="auto"/>
    </w:pPr>
  </w:style>
  <w:style w:type="paragraph" w:customStyle="1" w:styleId="nzTable">
    <w:name w:val="nzTable"/>
    <w:basedOn w:val="zTable"/>
  </w:style>
  <w:style w:type="character" w:styleId="PageNumber">
    <w:name w:val="page number"/>
    <w:basedOn w:val="DefaultParagraphFont"/>
    <w:semiHidden/>
    <w:rPr>
      <w:sz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reamble">
    <w:name w:val="Preamble"/>
    <w:pPr>
      <w:tabs>
        <w:tab w:val="right" w:pos="605"/>
        <w:tab w:val="left" w:pos="893"/>
      </w:tabs>
      <w:spacing w:before="160" w:line="260" w:lineRule="atLeast"/>
    </w:pPr>
    <w:rPr>
      <w:sz w:val="24"/>
      <w:lang w:eastAsia="en-US"/>
    </w:rPr>
  </w:style>
  <w:style w:type="paragraph" w:customStyle="1" w:styleId="PrincipalActReg">
    <w:name w:val="PrincipalAct_Reg"/>
    <w:pPr>
      <w:spacing w:after="480"/>
      <w:jc w:val="center"/>
    </w:pPr>
    <w:rPr>
      <w:noProof/>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240" w:after="120" w:line="240" w:lineRule="auto"/>
      <w:ind w:left="648" w:right="288"/>
      <w:outlineLvl w:val="9"/>
    </w:pPr>
    <w:rPr>
      <w:snapToGrid/>
    </w:rPr>
  </w:style>
  <w:style w:type="paragraph" w:styleId="TOC3">
    <w:name w:val="toc 3"/>
    <w:basedOn w:val="Normal"/>
    <w:next w:val="Normal"/>
    <w:autoRedefine/>
    <w:semiHidden/>
    <w:pPr>
      <w:spacing w:before="60" w:after="20"/>
      <w:ind w:left="862" w:right="567"/>
      <w:jc w:val="center"/>
    </w:pPr>
    <w:rPr>
      <w:b/>
    </w:rPr>
  </w:style>
  <w:style w:type="paragraph" w:styleId="TOC4">
    <w:name w:val="toc 4"/>
    <w:basedOn w:val="Heading4"/>
    <w:next w:val="Normal"/>
    <w:autoRedefine/>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autoRedefine/>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rPr>
      <w:sz w:val="22"/>
    </w:r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Ednoteitem">
    <w:name w:val="yEdnote(item)"/>
    <w:basedOn w:val="Ednoteitem"/>
    <w:rPr>
      <w:sz w:val="22"/>
    </w:rPr>
  </w:style>
  <w:style w:type="paragraph" w:customStyle="1" w:styleId="yEdnotepara">
    <w:name w:val="yEdnote(para)"/>
    <w:basedOn w:val="Ednotepara"/>
    <w:rPr>
      <w:sz w:val="22"/>
    </w:rPr>
  </w:style>
  <w:style w:type="paragraph" w:customStyle="1" w:styleId="yEdnotesection">
    <w:name w:val="yEdnote(section)"/>
    <w:basedOn w:val="Ednotesection"/>
    <w:pPr>
      <w:outlineLvl w:val="9"/>
    </w:pPr>
    <w:rPr>
      <w:sz w:val="22"/>
    </w:rPr>
  </w:style>
  <w:style w:type="paragraph" w:customStyle="1" w:styleId="yEdnotesubitem">
    <w:name w:val="yEdnote(subitem)"/>
    <w:basedOn w:val="Ednotesubitem"/>
  </w:style>
  <w:style w:type="paragraph" w:customStyle="1" w:styleId="yEdnotesubpara">
    <w:name w:val="yEdnote(subpara)"/>
    <w:basedOn w:val="Ednotesubpara"/>
    <w:rPr>
      <w:sz w:val="22"/>
    </w:rPr>
  </w:style>
  <w:style w:type="paragraph" w:customStyle="1" w:styleId="yFootnoteheading">
    <w:name w:val="yFootnote(heading)"/>
    <w:basedOn w:val="Footnoteheading"/>
    <w:rPr>
      <w:sz w:val="22"/>
    </w:rPr>
  </w:style>
  <w:style w:type="paragraph" w:customStyle="1" w:styleId="yFootnotesection">
    <w:name w:val="yFootnote(section)"/>
    <w:basedOn w:val="Footnotesection"/>
    <w:rPr>
      <w:sz w:val="22"/>
    </w:rPr>
  </w:style>
  <w:style w:type="paragraph" w:customStyle="1" w:styleId="yHeading1">
    <w:name w:val="yHeading 1"/>
    <w:basedOn w:val="Heading1"/>
    <w:rPr>
      <w:sz w:val="32"/>
    </w:rPr>
  </w:style>
  <w:style w:type="paragraph" w:customStyle="1" w:styleId="yHeading2">
    <w:name w:val="yHeading 2"/>
    <w:basedOn w:val="Heading2"/>
    <w:pPr>
      <w:pageBreakBefore w:val="0"/>
      <w:spacing w:before="240"/>
    </w:pPr>
    <w:rPr>
      <w:sz w:val="28"/>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yPenitem">
    <w:name w:val="yPenitem"/>
    <w:basedOn w:val="Penitem"/>
    <w:rPr>
      <w:sz w:val="22"/>
    </w:rPr>
  </w:style>
  <w:style w:type="paragraph" w:customStyle="1" w:styleId="yPenpara">
    <w:name w:val="yPenpara"/>
    <w:basedOn w:val="Penpara"/>
    <w:rPr>
      <w:sz w:val="22"/>
    </w:rPr>
  </w:style>
  <w:style w:type="paragraph" w:customStyle="1" w:styleId="yPenstart">
    <w:name w:val="yPenstart"/>
    <w:basedOn w:val="Penstart"/>
    <w:rPr>
      <w:sz w:val="22"/>
    </w:rPr>
  </w:style>
  <w:style w:type="paragraph" w:customStyle="1" w:styleId="yPensubpara">
    <w:name w:val="yPensubpara"/>
    <w:basedOn w:val="Pensubpara"/>
    <w:rPr>
      <w:sz w:val="22"/>
    </w:rPr>
  </w:style>
  <w:style w:type="paragraph" w:customStyle="1" w:styleId="yScheduleHeading">
    <w:name w:val="yScheduleHeading"/>
    <w:basedOn w:val="yHeading2"/>
    <w:pPr>
      <w:pageBreakBefore/>
    </w:pPr>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ubsection">
    <w:name w:val="ySubsection"/>
    <w:basedOn w:val="Subsection"/>
    <w:rPr>
      <w:sz w:val="22"/>
    </w:rPr>
  </w:style>
  <w:style w:type="paragraph" w:customStyle="1" w:styleId="yTable">
    <w:name w:val="yTable"/>
    <w:basedOn w:val="Table"/>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rPr>
      <w:sz w:val="22"/>
    </w:r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rPr>
      <w:sz w:val="20"/>
    </w:rPr>
  </w:style>
  <w:style w:type="paragraph" w:customStyle="1" w:styleId="zySubsection">
    <w:name w:val="zySubsection"/>
    <w:basedOn w:val="zSubsection"/>
    <w:rPr>
      <w:sz w:val="22"/>
    </w:rPr>
  </w:style>
  <w:style w:type="paragraph" w:styleId="Header">
    <w:name w:val="header"/>
    <w:basedOn w:val="Normal"/>
    <w:semiHidden/>
    <w:pPr>
      <w:tabs>
        <w:tab w:val="center" w:pos="4153"/>
        <w:tab w:val="right" w:pos="8306"/>
      </w:tabs>
    </w:p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rPr>
      <w:sz w:val="18"/>
    </w:rPr>
  </w:style>
  <w:style w:type="paragraph" w:customStyle="1" w:styleId="DefinedTerms">
    <w:name w:val="Defined Terms"/>
    <w:basedOn w:val="TOC4"/>
    <w:pPr>
      <w:tabs>
        <w:tab w:val="clear" w:pos="1530"/>
        <w:tab w:val="right" w:leader="dot" w:pos="7070"/>
      </w:tabs>
      <w:ind w:left="578" w:right="578" w:firstLine="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365</Words>
  <Characters>1998</Characters>
  <Application>Microsoft Office Word</Application>
  <DocSecurity>0</DocSecurity>
  <Lines>79</Lines>
  <Paragraphs>53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Drafting Template</vt:lpstr>
      <vt:lpstr>    Notes</vt:lpstr>
      <vt:lpstr>        Compilation table</vt:lpstr>
    </vt:vector>
  </TitlesOfParts>
  <Manager/>
  <Company/>
  <LinksUpToDate>false</LinksUpToDate>
  <CharactersWithSpaces>2310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Distribution Access (Regional Systems) Order 1998 - 00-b0-03</dc:title>
  <dc:subject/>
  <dc:creator/>
  <cp:keywords/>
  <dc:description/>
  <cp:lastModifiedBy>svcMRProcess</cp:lastModifiedBy>
  <cp:revision>4</cp:revision>
  <cp:lastPrinted>2006-04-19T01:12:00Z</cp:lastPrinted>
  <dcterms:created xsi:type="dcterms:W3CDTF">2015-12-08T17:31:00Z</dcterms:created>
  <dcterms:modified xsi:type="dcterms:W3CDTF">2015-12-08T17:31:00Z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November 1998 pp.6076</vt:lpwstr>
  </property>
  <property fmtid="{D5CDD505-2E9C-101B-9397-08002B2CF9AE}" pid="3" name="CommencementDate">
    <vt:lpwstr>20001001</vt:lpwstr>
  </property>
  <property fmtid="{D5CDD505-2E9C-101B-9397-08002B2CF9AE}" pid="4" name="DocumentType">
    <vt:lpwstr>Reg</vt:lpwstr>
  </property>
  <property fmtid="{D5CDD505-2E9C-101B-9397-08002B2CF9AE}" pid="5" name="AsAtDate">
    <vt:lpwstr>01 Oct 2000</vt:lpwstr>
  </property>
  <property fmtid="{D5CDD505-2E9C-101B-9397-08002B2CF9AE}" pid="6" name="Suffix">
    <vt:lpwstr>00-b0-03</vt:lpwstr>
  </property>
</Properties>
</file>