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052B" w:rsidRDefault="0009789D">
      <w:pPr>
        <w:pStyle w:val="WA"/>
      </w:pPr>
      <w:bookmarkStart w:id="0" w:name="_GoBack"/>
      <w:bookmarkEnd w:id="0"/>
      <w:r>
        <w:t>Western Australia</w:t>
      </w:r>
    </w:p>
    <w:p w:rsidR="0058052B" w:rsidRDefault="0009789D">
      <w:pPr>
        <w:pStyle w:val="NameofActRegPage1"/>
        <w:spacing w:before="3760" w:after="4200"/>
      </w:pPr>
      <w:r>
        <w:fldChar w:fldCharType="begin"/>
      </w:r>
      <w:r>
        <w:instrText xml:space="preserve"> STYLEREF "Name Of Act/Reg"</w:instrText>
      </w:r>
      <w:r>
        <w:fldChar w:fldCharType="separate"/>
      </w:r>
      <w:r w:rsidR="006551CE">
        <w:rPr>
          <w:noProof/>
        </w:rPr>
        <w:t>Employers' Indemnity Supplementation Fund Regulations 2001</w:t>
      </w:r>
      <w:r>
        <w:fldChar w:fldCharType="end"/>
      </w:r>
    </w:p>
    <w:p w:rsidR="0058052B" w:rsidRDefault="0058052B">
      <w:pPr>
        <w:jc w:val="center"/>
        <w:rPr>
          <w:b/>
        </w:rPr>
        <w:sectPr w:rsidR="0058052B">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rsidR="0058052B" w:rsidRDefault="0009789D">
      <w:pPr>
        <w:pStyle w:val="WA"/>
      </w:pPr>
      <w:r>
        <w:lastRenderedPageBreak/>
        <w:t>Western Australia</w:t>
      </w:r>
    </w:p>
    <w:p w:rsidR="0058052B" w:rsidRDefault="0009789D">
      <w:pPr>
        <w:pStyle w:val="NameofActRegPage1"/>
      </w:pPr>
      <w:r>
        <w:fldChar w:fldCharType="begin"/>
      </w:r>
      <w:r>
        <w:instrText xml:space="preserve"> STYLEREF "Name Of Act/Reg"</w:instrText>
      </w:r>
      <w:r>
        <w:fldChar w:fldCharType="separate"/>
      </w:r>
      <w:r w:rsidR="006551CE">
        <w:rPr>
          <w:noProof/>
        </w:rPr>
        <w:t>Employers' Indemnity Supplementation Fund Regulations 2001</w:t>
      </w:r>
      <w:r>
        <w:fldChar w:fldCharType="end"/>
      </w:r>
    </w:p>
    <w:p w:rsidR="0058052B" w:rsidRDefault="0009789D">
      <w:pPr>
        <w:pStyle w:val="Arrangement"/>
      </w:pPr>
      <w:r>
        <w:t>CONTENTS</w:t>
      </w:r>
    </w:p>
    <w:p w:rsidR="0058052B" w:rsidRDefault="0009789D">
      <w:pPr>
        <w:pStyle w:val="TOC4"/>
        <w:rPr>
          <w:noProof/>
        </w:rPr>
      </w:pPr>
      <w:r>
        <w:rPr>
          <w:noProof/>
        </w:rPr>
        <w:fldChar w:fldCharType="begin"/>
      </w:r>
      <w:r>
        <w:rPr>
          <w:noProof/>
        </w:rPr>
        <w:instrText xml:space="preserve"> TOC \o "1-3" \t "Heading 4,3,Heading 5,4, Heading 6,6,yScheduleHeading,5,yScheduleHeading 2,5,yHeading 2,7,yHeading 3,7,yHeading 6,6" \n 2</w:instrText>
      </w:r>
      <w:r>
        <w:rPr>
          <w:noProof/>
        </w:rPr>
        <w:noBreakHyphen/>
        <w:instrText>3 \t " yHeading 4,3,yHeading 5,4,nHeading 3,4" \n 2</w:instrText>
      </w:r>
      <w:r>
        <w:rPr>
          <w:noProof/>
        </w:rPr>
        <w:noBreakHyphen/>
        <w:instrText xml:space="preserve">3 \* MERGEFORMAT </w:instrText>
      </w:r>
      <w:r>
        <w:rPr>
          <w:noProof/>
        </w:rPr>
        <w:fldChar w:fldCharType="separate"/>
      </w:r>
      <w:r>
        <w:rPr>
          <w:noProof/>
        </w:rPr>
        <w:t>1.</w:t>
      </w:r>
      <w:r>
        <w:rPr>
          <w:noProof/>
        </w:rPr>
        <w:tab/>
        <w:t>Citation</w:t>
      </w:r>
      <w:r>
        <w:rPr>
          <w:noProof/>
        </w:rPr>
        <w:tab/>
      </w:r>
      <w:r>
        <w:rPr>
          <w:noProof/>
        </w:rPr>
        <w:fldChar w:fldCharType="begin"/>
      </w:r>
      <w:r>
        <w:rPr>
          <w:noProof/>
        </w:rPr>
        <w:instrText xml:space="preserve"> PAGEREF _Toc40246262 \h </w:instrText>
      </w:r>
      <w:r>
        <w:rPr>
          <w:noProof/>
        </w:rPr>
      </w:r>
      <w:r>
        <w:rPr>
          <w:noProof/>
        </w:rPr>
        <w:fldChar w:fldCharType="separate"/>
      </w:r>
      <w:r w:rsidR="006551CE">
        <w:rPr>
          <w:noProof/>
        </w:rPr>
        <w:t>1</w:t>
      </w:r>
      <w:r>
        <w:rPr>
          <w:noProof/>
        </w:rPr>
        <w:fldChar w:fldCharType="end"/>
      </w:r>
    </w:p>
    <w:p w:rsidR="0058052B" w:rsidRDefault="0009789D">
      <w:pPr>
        <w:pStyle w:val="TOC4"/>
        <w:rPr>
          <w:noProof/>
        </w:rPr>
      </w:pPr>
      <w:r>
        <w:rPr>
          <w:noProof/>
        </w:rPr>
        <w:t>2.</w:t>
      </w:r>
      <w:r>
        <w:rPr>
          <w:noProof/>
        </w:rPr>
        <w:tab/>
        <w:t>Surcharge period</w:t>
      </w:r>
      <w:r>
        <w:rPr>
          <w:noProof/>
        </w:rPr>
        <w:tab/>
      </w:r>
      <w:r>
        <w:rPr>
          <w:noProof/>
        </w:rPr>
        <w:fldChar w:fldCharType="begin"/>
      </w:r>
      <w:r>
        <w:rPr>
          <w:noProof/>
        </w:rPr>
        <w:instrText xml:space="preserve"> PAGEREF _Toc40246263 \h </w:instrText>
      </w:r>
      <w:r>
        <w:rPr>
          <w:noProof/>
        </w:rPr>
      </w:r>
      <w:r>
        <w:rPr>
          <w:noProof/>
        </w:rPr>
        <w:fldChar w:fldCharType="separate"/>
      </w:r>
      <w:r w:rsidR="006551CE">
        <w:rPr>
          <w:noProof/>
        </w:rPr>
        <w:t>1</w:t>
      </w:r>
      <w:r>
        <w:rPr>
          <w:noProof/>
        </w:rPr>
        <w:fldChar w:fldCharType="end"/>
      </w:r>
    </w:p>
    <w:p w:rsidR="0058052B" w:rsidRDefault="0009789D">
      <w:pPr>
        <w:pStyle w:val="TOC4"/>
        <w:rPr>
          <w:noProof/>
        </w:rPr>
      </w:pPr>
      <w:r>
        <w:rPr>
          <w:noProof/>
        </w:rPr>
        <w:t>3.</w:t>
      </w:r>
      <w:r>
        <w:rPr>
          <w:noProof/>
        </w:rPr>
        <w:tab/>
        <w:t>Percentages for appropriate surcharge during different parts of surcharge period</w:t>
      </w:r>
      <w:r>
        <w:rPr>
          <w:noProof/>
        </w:rPr>
        <w:tab/>
      </w:r>
      <w:r>
        <w:rPr>
          <w:noProof/>
        </w:rPr>
        <w:fldChar w:fldCharType="begin"/>
      </w:r>
      <w:r>
        <w:rPr>
          <w:noProof/>
        </w:rPr>
        <w:instrText xml:space="preserve"> PAGEREF _Toc40246264 \h </w:instrText>
      </w:r>
      <w:r>
        <w:rPr>
          <w:noProof/>
        </w:rPr>
      </w:r>
      <w:r>
        <w:rPr>
          <w:noProof/>
        </w:rPr>
        <w:fldChar w:fldCharType="separate"/>
      </w:r>
      <w:r w:rsidR="006551CE">
        <w:rPr>
          <w:noProof/>
        </w:rPr>
        <w:t>1</w:t>
      </w:r>
      <w:r>
        <w:rPr>
          <w:noProof/>
        </w:rPr>
        <w:fldChar w:fldCharType="end"/>
      </w:r>
    </w:p>
    <w:p w:rsidR="0058052B" w:rsidRDefault="0009789D">
      <w:pPr>
        <w:pStyle w:val="TOC2"/>
        <w:tabs>
          <w:tab w:val="right" w:leader="dot" w:pos="7086"/>
        </w:tabs>
        <w:rPr>
          <w:noProof/>
        </w:rPr>
      </w:pPr>
      <w:r>
        <w:rPr>
          <w:noProof/>
        </w:rPr>
        <w:t>Notes</w:t>
      </w:r>
    </w:p>
    <w:p w:rsidR="0058052B" w:rsidRDefault="0009789D">
      <w:pPr>
        <w:pStyle w:val="TOC4"/>
        <w:rPr>
          <w:noProof/>
        </w:rPr>
      </w:pPr>
      <w:r>
        <w:rPr>
          <w:noProof/>
          <w:snapToGrid w:val="0"/>
        </w:rPr>
        <w:tab/>
        <w:t>Compilation table</w:t>
      </w:r>
      <w:r>
        <w:rPr>
          <w:noProof/>
        </w:rPr>
        <w:tab/>
      </w:r>
      <w:r>
        <w:rPr>
          <w:noProof/>
        </w:rPr>
        <w:fldChar w:fldCharType="begin"/>
      </w:r>
      <w:r>
        <w:rPr>
          <w:noProof/>
        </w:rPr>
        <w:instrText xml:space="preserve"> PAGEREF _Toc40246265 \h </w:instrText>
      </w:r>
      <w:r>
        <w:rPr>
          <w:noProof/>
        </w:rPr>
      </w:r>
      <w:r>
        <w:rPr>
          <w:noProof/>
        </w:rPr>
        <w:fldChar w:fldCharType="separate"/>
      </w:r>
      <w:r w:rsidR="006551CE">
        <w:rPr>
          <w:noProof/>
        </w:rPr>
        <w:t>2</w:t>
      </w:r>
      <w:r>
        <w:rPr>
          <w:noProof/>
        </w:rPr>
        <w:fldChar w:fldCharType="end"/>
      </w:r>
    </w:p>
    <w:p w:rsidR="0058052B" w:rsidRDefault="0009789D">
      <w:pPr>
        <w:pStyle w:val="TOC2"/>
      </w:pPr>
      <w:r>
        <w:fldChar w:fldCharType="end"/>
      </w:r>
    </w:p>
    <w:p w:rsidR="0058052B" w:rsidRDefault="0009789D">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rsidR="0058052B" w:rsidRDefault="0058052B">
      <w:pPr>
        <w:pStyle w:val="NoteHeading"/>
        <w:sectPr w:rsidR="0058052B">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rsidR="0058052B" w:rsidRDefault="0009789D">
      <w:pPr>
        <w:pStyle w:val="WA"/>
      </w:pPr>
      <w:r>
        <w:lastRenderedPageBreak/>
        <w:t>Western Australia</w:t>
      </w:r>
    </w:p>
    <w:p w:rsidR="0058052B" w:rsidRDefault="0009789D">
      <w:pPr>
        <w:pStyle w:val="PrincipalActReg"/>
      </w:pPr>
      <w:r>
        <w:t>Employers' Indemnity Supplementation Fund Act 1980</w:t>
      </w:r>
    </w:p>
    <w:p w:rsidR="0058052B" w:rsidRDefault="0009789D">
      <w:pPr>
        <w:pStyle w:val="NameofActReg"/>
      </w:pPr>
      <w:r>
        <w:t>Employers' Indemnity Supplementation Fund Regulations 2001</w:t>
      </w:r>
    </w:p>
    <w:p w:rsidR="0058052B" w:rsidRDefault="0009789D">
      <w:pPr>
        <w:pStyle w:val="Heading5"/>
      </w:pPr>
      <w:bookmarkStart w:id="1" w:name="_Toc423332722"/>
      <w:bookmarkStart w:id="2" w:name="_Toc425219441"/>
      <w:bookmarkStart w:id="3" w:name="_Toc426249308"/>
      <w:bookmarkStart w:id="4" w:name="_Toc449924704"/>
      <w:bookmarkStart w:id="5" w:name="_Toc449947722"/>
      <w:bookmarkStart w:id="6" w:name="_Toc454185713"/>
      <w:bookmarkStart w:id="7" w:name="_Toc5698281"/>
      <w:bookmarkStart w:id="8" w:name="_Toc40246262"/>
      <w:r>
        <w:rPr>
          <w:rStyle w:val="CharSectno"/>
        </w:rPr>
        <w:t>1</w:t>
      </w:r>
      <w:r>
        <w:t>.</w:t>
      </w:r>
      <w:r>
        <w:tab/>
        <w:t>Citation</w:t>
      </w:r>
      <w:bookmarkEnd w:id="1"/>
      <w:bookmarkEnd w:id="2"/>
      <w:bookmarkEnd w:id="3"/>
      <w:bookmarkEnd w:id="4"/>
      <w:bookmarkEnd w:id="5"/>
      <w:bookmarkEnd w:id="6"/>
      <w:bookmarkEnd w:id="7"/>
      <w:bookmarkEnd w:id="8"/>
    </w:p>
    <w:p w:rsidR="0058052B" w:rsidRDefault="0009789D">
      <w:pPr>
        <w:pStyle w:val="Subsection"/>
      </w:pPr>
      <w:r>
        <w:tab/>
      </w:r>
      <w:r>
        <w:tab/>
      </w:r>
      <w:bookmarkStart w:id="9" w:name="Start_Cursor"/>
      <w:bookmarkEnd w:id="9"/>
      <w:r>
        <w:t xml:space="preserve">These </w:t>
      </w:r>
      <w:r>
        <w:rPr>
          <w:spacing w:val="-2"/>
        </w:rPr>
        <w:t>regulations</w:t>
      </w:r>
      <w:r>
        <w:t xml:space="preserve"> may be cited as the </w:t>
      </w:r>
      <w:r>
        <w:rPr>
          <w:i/>
        </w:rPr>
        <w:t>Employers' Indemnity Supplementation Fund Regulations 2001</w:t>
      </w:r>
      <w:r>
        <w:t>.</w:t>
      </w:r>
    </w:p>
    <w:p w:rsidR="0058052B" w:rsidRDefault="0009789D">
      <w:pPr>
        <w:pStyle w:val="Heading5"/>
      </w:pPr>
      <w:bookmarkStart w:id="10" w:name="_Toc5698282"/>
      <w:bookmarkStart w:id="11" w:name="_Toc40246263"/>
      <w:r>
        <w:rPr>
          <w:rStyle w:val="CharSectno"/>
        </w:rPr>
        <w:t>2</w:t>
      </w:r>
      <w:r>
        <w:t>.</w:t>
      </w:r>
      <w:r>
        <w:tab/>
        <w:t>Surcharge period</w:t>
      </w:r>
      <w:bookmarkEnd w:id="10"/>
      <w:bookmarkEnd w:id="11"/>
    </w:p>
    <w:p w:rsidR="0058052B" w:rsidRDefault="0009789D">
      <w:pPr>
        <w:pStyle w:val="Subsection"/>
      </w:pPr>
      <w:r>
        <w:tab/>
      </w:r>
      <w:r>
        <w:tab/>
        <w:t>The period commencing at 4.00 p.m. on 25 June 2001 and expiring at 4.00 p.m. on 25 June 2006 is a surcharge period for the purposes of the Act.</w:t>
      </w:r>
    </w:p>
    <w:p w:rsidR="0058052B" w:rsidRDefault="0009789D">
      <w:pPr>
        <w:pStyle w:val="Heading5"/>
      </w:pPr>
      <w:bookmarkStart w:id="12" w:name="_Toc40246264"/>
      <w:r>
        <w:rPr>
          <w:rStyle w:val="CharSectno"/>
        </w:rPr>
        <w:t>3</w:t>
      </w:r>
      <w:r>
        <w:t>.</w:t>
      </w:r>
      <w:r>
        <w:tab/>
        <w:t>Percentages for appropriate surcharge during different parts of surcharge period</w:t>
      </w:r>
      <w:bookmarkEnd w:id="12"/>
    </w:p>
    <w:p w:rsidR="0058052B" w:rsidRDefault="0009789D">
      <w:pPr>
        <w:pStyle w:val="Subsection"/>
      </w:pPr>
      <w:r>
        <w:tab/>
        <w:t>(1)</w:t>
      </w:r>
      <w:r>
        <w:tab/>
        <w:t>The percentage for the purposes of section 14(2) of the Act for the part of the surcharge period commencing at 4.00 p.m. on 25 June 2002 and expiring at 4.00 p.m. on 25 June 2003 is 3%.</w:t>
      </w:r>
    </w:p>
    <w:p w:rsidR="0058052B" w:rsidRDefault="0009789D">
      <w:pPr>
        <w:pStyle w:val="Subsection"/>
      </w:pPr>
      <w:r>
        <w:tab/>
        <w:t>(2)</w:t>
      </w:r>
      <w:r>
        <w:tab/>
        <w:t>The percentage for the purposes of section 14(2) of the Act for the part of the surcharge period commencing at 4.00 p.m. on 25 June 2003 is 1%.</w:t>
      </w:r>
    </w:p>
    <w:p w:rsidR="0058052B" w:rsidRDefault="0009789D">
      <w:pPr>
        <w:pStyle w:val="Footnotesection"/>
      </w:pPr>
      <w:r>
        <w:tab/>
        <w:t>[Regulation 3 inserted in Gazette 9 May 2003 p. 1625.]</w:t>
      </w:r>
    </w:p>
    <w:p w:rsidR="0058052B" w:rsidRDefault="0058052B">
      <w:pPr>
        <w:sectPr w:rsidR="0058052B">
          <w:headerReference w:type="even" r:id="rId19"/>
          <w:headerReference w:type="default" r:id="rId20"/>
          <w:footerReference w:type="even" r:id="rId21"/>
          <w:footerReference w:type="default" r:id="rId22"/>
          <w:footerReference w:type="first" r:id="rId23"/>
          <w:pgSz w:w="11906" w:h="16838" w:code="9"/>
          <w:pgMar w:top="2381" w:right="2410" w:bottom="3544" w:left="2410" w:header="720" w:footer="3380" w:gutter="0"/>
          <w:pgNumType w:start="1"/>
          <w:cols w:space="720"/>
          <w:noEndnote/>
          <w:titlePg/>
          <w:docGrid w:linePitch="326"/>
        </w:sectPr>
      </w:pPr>
    </w:p>
    <w:p w:rsidR="0058052B" w:rsidRDefault="0009789D">
      <w:pPr>
        <w:pStyle w:val="nHeading2"/>
      </w:pPr>
      <w:r>
        <w:lastRenderedPageBreak/>
        <w:t>No</w:t>
      </w:r>
      <w:bookmarkStart w:id="13" w:name="UpToHere"/>
      <w:bookmarkEnd w:id="13"/>
      <w:r>
        <w:t>tes</w:t>
      </w:r>
    </w:p>
    <w:p w:rsidR="0058052B" w:rsidRDefault="0009789D">
      <w:pPr>
        <w:pStyle w:val="nSubsection"/>
        <w:rPr>
          <w:snapToGrid w:val="0"/>
        </w:rPr>
      </w:pPr>
      <w:bookmarkStart w:id="14" w:name="_Toc5698284"/>
      <w:r>
        <w:rPr>
          <w:snapToGrid w:val="0"/>
          <w:vertAlign w:val="superscript"/>
        </w:rPr>
        <w:t>1</w:t>
      </w:r>
      <w:r>
        <w:rPr>
          <w:snapToGrid w:val="0"/>
        </w:rPr>
        <w:tab/>
        <w:t xml:space="preserve">This is a compilation of the </w:t>
      </w:r>
      <w:r>
        <w:rPr>
          <w:i/>
          <w:noProof/>
          <w:snapToGrid w:val="0"/>
        </w:rPr>
        <w:t>Employers' Indemnity Supplementation Fund Regulations 2001</w:t>
      </w:r>
      <w:r>
        <w:rPr>
          <w:snapToGrid w:val="0"/>
        </w:rPr>
        <w:t xml:space="preserve"> and includes the amendments made by the other written laws referred to in the following table.</w:t>
      </w:r>
    </w:p>
    <w:p w:rsidR="0058052B" w:rsidRDefault="0009789D">
      <w:pPr>
        <w:pStyle w:val="nHeading3"/>
        <w:rPr>
          <w:snapToGrid w:val="0"/>
        </w:rPr>
      </w:pPr>
      <w:bookmarkStart w:id="15" w:name="_Toc40246265"/>
      <w:r>
        <w:rPr>
          <w:snapToGrid w:val="0"/>
        </w:rPr>
        <w:t>Compilation table</w:t>
      </w:r>
      <w:bookmarkEnd w:id="14"/>
      <w:bookmarkEnd w:id="15"/>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rsidR="0058052B">
        <w:trPr>
          <w:tblHeader/>
        </w:trPr>
        <w:tc>
          <w:tcPr>
            <w:tcW w:w="3119" w:type="dxa"/>
            <w:tcBorders>
              <w:top w:val="single" w:sz="4" w:space="0" w:color="auto"/>
            </w:tcBorders>
          </w:tcPr>
          <w:p w:rsidR="0058052B" w:rsidRDefault="0009789D">
            <w:pPr>
              <w:pStyle w:val="nTable"/>
              <w:rPr>
                <w:b/>
              </w:rPr>
            </w:pPr>
            <w:r>
              <w:rPr>
                <w:b/>
              </w:rPr>
              <w:t>Citation</w:t>
            </w:r>
          </w:p>
        </w:tc>
        <w:tc>
          <w:tcPr>
            <w:tcW w:w="1276" w:type="dxa"/>
            <w:tcBorders>
              <w:top w:val="single" w:sz="4" w:space="0" w:color="auto"/>
            </w:tcBorders>
          </w:tcPr>
          <w:p w:rsidR="0058052B" w:rsidRDefault="0009789D">
            <w:pPr>
              <w:pStyle w:val="nTable"/>
              <w:rPr>
                <w:b/>
              </w:rPr>
            </w:pPr>
            <w:r>
              <w:rPr>
                <w:b/>
              </w:rPr>
              <w:t>Gazettal</w:t>
            </w:r>
          </w:p>
        </w:tc>
        <w:tc>
          <w:tcPr>
            <w:tcW w:w="2693" w:type="dxa"/>
            <w:tcBorders>
              <w:top w:val="single" w:sz="4" w:space="0" w:color="auto"/>
            </w:tcBorders>
          </w:tcPr>
          <w:p w:rsidR="0058052B" w:rsidRDefault="0009789D">
            <w:pPr>
              <w:pStyle w:val="nTable"/>
              <w:rPr>
                <w:b/>
              </w:rPr>
            </w:pPr>
            <w:r>
              <w:rPr>
                <w:b/>
              </w:rPr>
              <w:t>Commencement</w:t>
            </w:r>
          </w:p>
        </w:tc>
      </w:tr>
      <w:tr w:rsidR="0058052B">
        <w:tc>
          <w:tcPr>
            <w:tcW w:w="3119" w:type="dxa"/>
            <w:tcBorders>
              <w:top w:val="single" w:sz="4" w:space="0" w:color="auto"/>
            </w:tcBorders>
          </w:tcPr>
          <w:p w:rsidR="0058052B" w:rsidRDefault="0009789D">
            <w:pPr>
              <w:pStyle w:val="nTable"/>
              <w:spacing w:before="100"/>
            </w:pPr>
            <w:r>
              <w:rPr>
                <w:i/>
              </w:rPr>
              <w:t>Employers' Indemnity Supplementation Fund Regulations 2001</w:t>
            </w:r>
          </w:p>
        </w:tc>
        <w:tc>
          <w:tcPr>
            <w:tcW w:w="1276" w:type="dxa"/>
            <w:tcBorders>
              <w:top w:val="single" w:sz="4" w:space="0" w:color="auto"/>
            </w:tcBorders>
          </w:tcPr>
          <w:p w:rsidR="0058052B" w:rsidRDefault="0009789D">
            <w:pPr>
              <w:pStyle w:val="nTable"/>
              <w:spacing w:before="100"/>
            </w:pPr>
            <w:r>
              <w:t>15 Jun 2001 p. 2977</w:t>
            </w:r>
          </w:p>
        </w:tc>
        <w:tc>
          <w:tcPr>
            <w:tcW w:w="2693" w:type="dxa"/>
            <w:tcBorders>
              <w:top w:val="single" w:sz="4" w:space="0" w:color="auto"/>
            </w:tcBorders>
          </w:tcPr>
          <w:p w:rsidR="0058052B" w:rsidRDefault="0009789D">
            <w:pPr>
              <w:pStyle w:val="nTable"/>
              <w:spacing w:before="100"/>
            </w:pPr>
            <w:r>
              <w:t>15 Jun 2001</w:t>
            </w:r>
          </w:p>
        </w:tc>
      </w:tr>
      <w:tr w:rsidR="0058052B">
        <w:tc>
          <w:tcPr>
            <w:tcW w:w="3119" w:type="dxa"/>
          </w:tcPr>
          <w:p w:rsidR="0058052B" w:rsidRDefault="0009789D">
            <w:pPr>
              <w:pStyle w:val="nTable"/>
              <w:spacing w:before="100"/>
              <w:rPr>
                <w:i/>
              </w:rPr>
            </w:pPr>
            <w:r>
              <w:rPr>
                <w:i/>
              </w:rPr>
              <w:t>Employers' Indemnity Supplementation Fund Amendment Regulations 2002</w:t>
            </w:r>
          </w:p>
        </w:tc>
        <w:tc>
          <w:tcPr>
            <w:tcW w:w="1276" w:type="dxa"/>
          </w:tcPr>
          <w:p w:rsidR="0058052B" w:rsidRDefault="0009789D">
            <w:pPr>
              <w:pStyle w:val="nTable"/>
              <w:spacing w:before="100"/>
            </w:pPr>
            <w:r>
              <w:t>5 Apr 2002 p. 1834-5</w:t>
            </w:r>
          </w:p>
        </w:tc>
        <w:tc>
          <w:tcPr>
            <w:tcW w:w="2693" w:type="dxa"/>
          </w:tcPr>
          <w:p w:rsidR="0058052B" w:rsidRDefault="0009789D">
            <w:pPr>
              <w:pStyle w:val="nTable"/>
              <w:spacing w:before="100"/>
            </w:pPr>
            <w:r>
              <w:t>5 Apr 2002</w:t>
            </w:r>
          </w:p>
        </w:tc>
      </w:tr>
      <w:tr w:rsidR="0058052B">
        <w:tc>
          <w:tcPr>
            <w:tcW w:w="3119" w:type="dxa"/>
            <w:tcBorders>
              <w:bottom w:val="single" w:sz="4" w:space="0" w:color="auto"/>
            </w:tcBorders>
          </w:tcPr>
          <w:p w:rsidR="0058052B" w:rsidRDefault="0009789D">
            <w:pPr>
              <w:pStyle w:val="nTable"/>
              <w:spacing w:before="100"/>
              <w:rPr>
                <w:i/>
              </w:rPr>
            </w:pPr>
            <w:r>
              <w:rPr>
                <w:i/>
              </w:rPr>
              <w:t>Employers' Indemnity Supplementation Fund Amendment Regulations 2003</w:t>
            </w:r>
          </w:p>
        </w:tc>
        <w:tc>
          <w:tcPr>
            <w:tcW w:w="1276" w:type="dxa"/>
            <w:tcBorders>
              <w:bottom w:val="single" w:sz="4" w:space="0" w:color="auto"/>
            </w:tcBorders>
          </w:tcPr>
          <w:p w:rsidR="0058052B" w:rsidRDefault="0009789D">
            <w:pPr>
              <w:pStyle w:val="nTable"/>
              <w:spacing w:before="100"/>
            </w:pPr>
            <w:r>
              <w:t>9 May 2003 p. 1625</w:t>
            </w:r>
          </w:p>
        </w:tc>
        <w:tc>
          <w:tcPr>
            <w:tcW w:w="2693" w:type="dxa"/>
            <w:tcBorders>
              <w:bottom w:val="single" w:sz="4" w:space="0" w:color="auto"/>
            </w:tcBorders>
          </w:tcPr>
          <w:p w:rsidR="0058052B" w:rsidRDefault="0009789D">
            <w:pPr>
              <w:pStyle w:val="nTable"/>
              <w:spacing w:before="100"/>
            </w:pPr>
            <w:r>
              <w:t>9 May 2003</w:t>
            </w:r>
          </w:p>
        </w:tc>
      </w:tr>
    </w:tbl>
    <w:p w:rsidR="0058052B" w:rsidRDefault="0058052B"/>
    <w:p w:rsidR="0058052B" w:rsidRDefault="0058052B">
      <w:pPr>
        <w:sectPr w:rsidR="0058052B">
          <w:headerReference w:type="even" r:id="rId24"/>
          <w:headerReference w:type="default" r:id="rId25"/>
          <w:headerReference w:type="first" r:id="rId26"/>
          <w:pgSz w:w="11906" w:h="16838" w:code="9"/>
          <w:pgMar w:top="2376" w:right="2405" w:bottom="3542" w:left="2405" w:header="706" w:footer="3380" w:gutter="0"/>
          <w:cols w:space="720"/>
          <w:noEndnote/>
          <w:docGrid w:linePitch="326"/>
        </w:sectPr>
      </w:pPr>
    </w:p>
    <w:p w:rsidR="0058052B" w:rsidRDefault="0058052B"/>
    <w:sectPr w:rsidR="0058052B">
      <w:headerReference w:type="even" r:id="rId27"/>
      <w:type w:val="continuous"/>
      <w:pgSz w:w="11906" w:h="16838" w:code="9"/>
      <w:pgMar w:top="851" w:right="1701" w:bottom="851" w:left="1701" w:header="851"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052B" w:rsidRDefault="0009789D">
      <w:r>
        <w:separator/>
      </w:r>
    </w:p>
  </w:endnote>
  <w:endnote w:type="continuationSeparator" w:id="0">
    <w:p w:rsidR="0058052B" w:rsidRDefault="00097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embedRegular r:id="rId1" w:fontKey="{B29592AA-0F24-47A0-8B57-E013BB4A87F0}"/>
  </w:font>
  <w:font w:name="Cambria">
    <w:panose1 w:val="02040503050406030204"/>
    <w:charset w:val="00"/>
    <w:family w:val="roman"/>
    <w:pitch w:val="variable"/>
    <w:sig w:usb0="E00002FF" w:usb1="400004FF" w:usb2="00000000" w:usb3="00000000" w:csb0="0000019F" w:csb1="00000000"/>
    <w:embedRegular r:id="rId2" w:fontKey="{C6D35B83-BB1D-4656-AA55-5AB1832DDAA5}"/>
  </w:font>
  <w:font w:name="Calibri">
    <w:panose1 w:val="020F0502020204030204"/>
    <w:charset w:val="00"/>
    <w:family w:val="swiss"/>
    <w:pitch w:val="variable"/>
    <w:sig w:usb0="E00002FF" w:usb1="4000ACFF" w:usb2="00000001" w:usb3="00000000" w:csb0="0000019F" w:csb1="00000000"/>
    <w:embedRegular r:id="rId3" w:fontKey="{ADC1DAB8-2432-404D-9F73-41021F74B7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52B" w:rsidRDefault="0058052B">
    <w:pPr>
      <w:pStyle w:val="Footer"/>
      <w:tabs>
        <w:tab w:val="clear" w:pos="4153"/>
        <w:tab w:val="right" w:pos="7088"/>
      </w:tabs>
      <w:rPr>
        <w:rStyle w:val="PageNumber"/>
      </w:rPr>
    </w:pPr>
  </w:p>
  <w:p w:rsidR="0058052B" w:rsidRDefault="0009789D">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6551CE">
      <w:rPr>
        <w:rFonts w:ascii="Arial" w:hAnsi="Arial" w:cs="Arial"/>
        <w:sz w:val="20"/>
        <w:lang w:val="en-US"/>
      </w:rPr>
      <w:t>00-b0-05</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6551CE">
      <w:rPr>
        <w:rFonts w:ascii="Arial" w:hAnsi="Arial" w:cs="Arial"/>
        <w:sz w:val="20"/>
        <w:lang w:val="en-US"/>
      </w:rPr>
      <w:t>09 May 2003</w:t>
    </w:r>
    <w:r>
      <w:rPr>
        <w:rFonts w:ascii="Arial" w:hAnsi="Arial" w:cs="Arial"/>
        <w:sz w:val="20"/>
        <w:lang w:val="en-US"/>
      </w:rPr>
      <w:fldChar w:fldCharType="end"/>
    </w:r>
  </w:p>
  <w:p w:rsidR="0058052B" w:rsidRDefault="0009789D">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52B" w:rsidRDefault="0058052B">
    <w:pPr>
      <w:pStyle w:val="Footer"/>
      <w:tabs>
        <w:tab w:val="clear" w:pos="4153"/>
        <w:tab w:val="right" w:pos="7088"/>
      </w:tabs>
      <w:rPr>
        <w:rStyle w:val="PageNumber"/>
      </w:rPr>
    </w:pPr>
  </w:p>
  <w:p w:rsidR="0058052B" w:rsidRDefault="0009789D">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6551CE">
      <w:rPr>
        <w:rFonts w:ascii="Arial" w:hAnsi="Arial" w:cs="Arial"/>
        <w:sz w:val="20"/>
        <w:lang w:val="en-US"/>
      </w:rPr>
      <w:t>09 May 2003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6551CE">
      <w:rPr>
        <w:rFonts w:ascii="Arial" w:hAnsi="Arial" w:cs="Arial"/>
        <w:sz w:val="20"/>
        <w:lang w:val="en-US"/>
      </w:rPr>
      <w:t>00-b0-05</w:t>
    </w:r>
    <w:r>
      <w:rPr>
        <w:rFonts w:ascii="Arial" w:hAnsi="Arial" w:cs="Arial"/>
        <w:sz w:val="20"/>
        <w:lang w:val="en-US"/>
      </w:rPr>
      <w:fldChar w:fldCharType="end"/>
    </w:r>
    <w:r>
      <w:rPr>
        <w:rFonts w:ascii="Arial" w:hAnsi="Arial" w:cs="Arial"/>
        <w:sz w:val="20"/>
        <w:lang w:val="en-US"/>
      </w:rPr>
      <w:tab/>
    </w:r>
  </w:p>
  <w:p w:rsidR="0058052B" w:rsidRDefault="0009789D">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52B" w:rsidRDefault="0058052B">
    <w:pPr>
      <w:pStyle w:val="Footer"/>
      <w:tabs>
        <w:tab w:val="clear" w:pos="4153"/>
        <w:tab w:val="right" w:pos="7088"/>
      </w:tabs>
      <w:rPr>
        <w:rStyle w:val="PageNumber"/>
      </w:rPr>
    </w:pPr>
  </w:p>
  <w:p w:rsidR="0058052B" w:rsidRDefault="0009789D">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6551CE">
      <w:rPr>
        <w:rFonts w:ascii="Arial" w:hAnsi="Arial" w:cs="Arial"/>
        <w:sz w:val="20"/>
        <w:lang w:val="en-US"/>
      </w:rPr>
      <w:t>09 May 2003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6551CE">
      <w:rPr>
        <w:rFonts w:ascii="Arial" w:hAnsi="Arial" w:cs="Arial"/>
        <w:sz w:val="20"/>
        <w:lang w:val="en-US"/>
      </w:rPr>
      <w:t>00-b0-05</w:t>
    </w:r>
    <w:r>
      <w:rPr>
        <w:rFonts w:ascii="Arial" w:hAnsi="Arial" w:cs="Arial"/>
        <w:sz w:val="20"/>
        <w:lang w:val="en-US"/>
      </w:rPr>
      <w:fldChar w:fldCharType="end"/>
    </w:r>
    <w:r>
      <w:rPr>
        <w:rFonts w:ascii="Arial" w:hAnsi="Arial" w:cs="Arial"/>
        <w:sz w:val="20"/>
        <w:lang w:val="en-US"/>
      </w:rPr>
      <w:tab/>
    </w:r>
  </w:p>
  <w:p w:rsidR="0058052B" w:rsidRDefault="0009789D">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52B" w:rsidRDefault="0058052B">
    <w:pPr>
      <w:pStyle w:val="Footer"/>
      <w:tabs>
        <w:tab w:val="clear" w:pos="4153"/>
        <w:tab w:val="right" w:pos="7088"/>
      </w:tabs>
      <w:rPr>
        <w:rStyle w:val="PageNumber"/>
      </w:rPr>
    </w:pPr>
  </w:p>
  <w:p w:rsidR="0058052B" w:rsidRDefault="0009789D">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6551CE">
      <w:rPr>
        <w:rFonts w:ascii="Arial" w:hAnsi="Arial" w:cs="Arial"/>
        <w:sz w:val="20"/>
        <w:lang w:val="en-US"/>
      </w:rPr>
      <w:t>00-b0-05</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6551CE">
      <w:rPr>
        <w:rFonts w:ascii="Arial" w:hAnsi="Arial" w:cs="Arial"/>
        <w:sz w:val="20"/>
        <w:lang w:val="en-US"/>
      </w:rPr>
      <w:t>09 May 2003</w:t>
    </w:r>
    <w:r>
      <w:rPr>
        <w:rFonts w:ascii="Arial" w:hAnsi="Arial" w:cs="Arial"/>
        <w:sz w:val="20"/>
        <w:lang w:val="en-US"/>
      </w:rPr>
      <w:fldChar w:fldCharType="end"/>
    </w:r>
  </w:p>
  <w:p w:rsidR="0058052B" w:rsidRDefault="0009789D">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52B" w:rsidRDefault="0058052B">
    <w:pPr>
      <w:pStyle w:val="Footer"/>
      <w:tabs>
        <w:tab w:val="clear" w:pos="4153"/>
        <w:tab w:val="right" w:pos="7088"/>
      </w:tabs>
      <w:rPr>
        <w:rStyle w:val="PageNumber"/>
      </w:rPr>
    </w:pPr>
  </w:p>
  <w:p w:rsidR="0058052B" w:rsidRDefault="0009789D">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6551CE">
      <w:rPr>
        <w:rFonts w:ascii="Arial" w:hAnsi="Arial" w:cs="Arial"/>
        <w:sz w:val="20"/>
        <w:lang w:val="en-US"/>
      </w:rPr>
      <w:t>09 May 2003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6551CE">
      <w:rPr>
        <w:rFonts w:ascii="Arial" w:hAnsi="Arial" w:cs="Arial"/>
        <w:sz w:val="20"/>
        <w:lang w:val="en-US"/>
      </w:rPr>
      <w:t>00-b0-05</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w:t>
    </w:r>
    <w:r>
      <w:rPr>
        <w:rStyle w:val="PageNumber"/>
        <w:rFonts w:ascii="Arial" w:hAnsi="Arial" w:cs="Arial"/>
      </w:rPr>
      <w:fldChar w:fldCharType="end"/>
    </w:r>
  </w:p>
  <w:p w:rsidR="0058052B" w:rsidRDefault="0009789D">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52B" w:rsidRDefault="0058052B">
    <w:pPr>
      <w:pStyle w:val="Footer"/>
      <w:tabs>
        <w:tab w:val="clear" w:pos="4153"/>
        <w:tab w:val="right" w:pos="7088"/>
      </w:tabs>
      <w:rPr>
        <w:rStyle w:val="PageNumber"/>
      </w:rPr>
    </w:pPr>
  </w:p>
  <w:p w:rsidR="0058052B" w:rsidRDefault="0009789D">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6551CE">
      <w:rPr>
        <w:rFonts w:ascii="Arial" w:hAnsi="Arial" w:cs="Arial"/>
        <w:sz w:val="20"/>
        <w:lang w:val="en-US"/>
      </w:rPr>
      <w:t>09 May 2003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6551CE">
      <w:rPr>
        <w:rFonts w:ascii="Arial" w:hAnsi="Arial" w:cs="Arial"/>
        <w:sz w:val="20"/>
        <w:lang w:val="en-US"/>
      </w:rPr>
      <w:t>00-b0-05</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6551CE">
      <w:rPr>
        <w:rStyle w:val="PageNumber"/>
        <w:rFonts w:ascii="Arial" w:hAnsi="Arial" w:cs="Arial"/>
        <w:noProof/>
      </w:rPr>
      <w:t>i</w:t>
    </w:r>
    <w:r>
      <w:rPr>
        <w:rStyle w:val="PageNumber"/>
        <w:rFonts w:ascii="Arial" w:hAnsi="Arial" w:cs="Arial"/>
      </w:rPr>
      <w:fldChar w:fldCharType="end"/>
    </w:r>
  </w:p>
  <w:p w:rsidR="0058052B" w:rsidRDefault="0009789D">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52B" w:rsidRDefault="0058052B">
    <w:pPr>
      <w:pStyle w:val="Footer"/>
      <w:tabs>
        <w:tab w:val="clear" w:pos="4153"/>
        <w:tab w:val="right" w:pos="7088"/>
      </w:tabs>
      <w:rPr>
        <w:rStyle w:val="PageNumber"/>
      </w:rPr>
    </w:pPr>
  </w:p>
  <w:p w:rsidR="0058052B" w:rsidRDefault="0009789D">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6551CE">
      <w:rPr>
        <w:rStyle w:val="CharPageNo"/>
        <w:rFonts w:ascii="Arial" w:hAnsi="Arial"/>
        <w:noProof/>
      </w:rPr>
      <w:t>2</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6551CE">
      <w:rPr>
        <w:rFonts w:ascii="Arial" w:hAnsi="Arial" w:cs="Arial"/>
        <w:sz w:val="20"/>
        <w:lang w:val="en-US"/>
      </w:rPr>
      <w:t>00-b0-05</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6551CE">
      <w:rPr>
        <w:rFonts w:ascii="Arial" w:hAnsi="Arial" w:cs="Arial"/>
        <w:sz w:val="20"/>
        <w:lang w:val="en-US"/>
      </w:rPr>
      <w:t>09 May 2003</w:t>
    </w:r>
    <w:r>
      <w:rPr>
        <w:rFonts w:ascii="Arial" w:hAnsi="Arial" w:cs="Arial"/>
        <w:sz w:val="20"/>
        <w:lang w:val="en-US"/>
      </w:rPr>
      <w:fldChar w:fldCharType="end"/>
    </w:r>
    <w:r>
      <w:rPr>
        <w:rFonts w:ascii="Arial" w:hAnsi="Arial" w:cs="Arial"/>
        <w:sz w:val="20"/>
        <w:lang w:val="en-US"/>
      </w:rPr>
      <w:t xml:space="preserve"> </w:t>
    </w:r>
  </w:p>
  <w:p w:rsidR="0058052B" w:rsidRDefault="0009789D">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52B" w:rsidRDefault="0058052B">
    <w:pPr>
      <w:pStyle w:val="Footer"/>
      <w:tabs>
        <w:tab w:val="clear" w:pos="4153"/>
        <w:tab w:val="right" w:pos="7088"/>
      </w:tabs>
      <w:rPr>
        <w:rStyle w:val="PageNumber"/>
      </w:rPr>
    </w:pPr>
  </w:p>
  <w:p w:rsidR="0058052B" w:rsidRDefault="0009789D">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6551CE">
      <w:rPr>
        <w:rFonts w:ascii="Arial" w:hAnsi="Arial" w:cs="Arial"/>
        <w:sz w:val="20"/>
        <w:lang w:val="en-US"/>
      </w:rPr>
      <w:t>09 May 2003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6551CE">
      <w:rPr>
        <w:rFonts w:ascii="Arial" w:hAnsi="Arial" w:cs="Arial"/>
        <w:sz w:val="20"/>
        <w:lang w:val="en-US"/>
      </w:rPr>
      <w:t>00-b0-05</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w:t>
    </w:r>
    <w:r>
      <w:rPr>
        <w:rStyle w:val="CharPageNo"/>
        <w:rFonts w:ascii="Arial" w:hAnsi="Arial"/>
      </w:rPr>
      <w:fldChar w:fldCharType="end"/>
    </w:r>
  </w:p>
  <w:p w:rsidR="0058052B" w:rsidRDefault="0009789D">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52B" w:rsidRDefault="0058052B">
    <w:pPr>
      <w:pStyle w:val="Footer"/>
      <w:tabs>
        <w:tab w:val="clear" w:pos="4153"/>
        <w:tab w:val="right" w:pos="7088"/>
      </w:tabs>
      <w:rPr>
        <w:rStyle w:val="PageNumber"/>
      </w:rPr>
    </w:pPr>
  </w:p>
  <w:p w:rsidR="0058052B" w:rsidRDefault="0009789D">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6551CE">
      <w:rPr>
        <w:rFonts w:ascii="Arial" w:hAnsi="Arial" w:cs="Arial"/>
        <w:sz w:val="20"/>
        <w:lang w:val="en-US"/>
      </w:rPr>
      <w:t>09 May 2003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6551CE">
      <w:rPr>
        <w:rFonts w:ascii="Arial" w:hAnsi="Arial" w:cs="Arial"/>
        <w:sz w:val="20"/>
        <w:lang w:val="en-US"/>
      </w:rPr>
      <w:t>00-b0-05</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6551CE">
      <w:rPr>
        <w:rStyle w:val="CharPageNo"/>
        <w:rFonts w:ascii="Arial" w:hAnsi="Arial"/>
        <w:noProof/>
      </w:rPr>
      <w:t>1</w:t>
    </w:r>
    <w:r>
      <w:rPr>
        <w:rStyle w:val="CharPageNo"/>
        <w:rFonts w:ascii="Arial" w:hAnsi="Arial"/>
      </w:rPr>
      <w:fldChar w:fldCharType="end"/>
    </w:r>
  </w:p>
  <w:p w:rsidR="0058052B" w:rsidRDefault="0009789D">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052B" w:rsidRDefault="0009789D">
      <w:r>
        <w:separator/>
      </w:r>
    </w:p>
  </w:footnote>
  <w:footnote w:type="continuationSeparator" w:id="0">
    <w:p w:rsidR="0058052B" w:rsidRDefault="000978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52B" w:rsidRDefault="0009789D">
    <w:pPr>
      <w:pStyle w:val="headerpartodd"/>
      <w:ind w:left="0" w:firstLine="0"/>
      <w:rPr>
        <w:i/>
      </w:rPr>
    </w:pPr>
    <w:r>
      <w:rPr>
        <w:i/>
      </w:rPr>
      <w:fldChar w:fldCharType="begin"/>
    </w:r>
    <w:r>
      <w:rPr>
        <w:i/>
      </w:rPr>
      <w:instrText xml:space="preserve"> Styleref "Name of Act/Reg" </w:instrText>
    </w:r>
    <w:r>
      <w:rPr>
        <w:i/>
      </w:rPr>
      <w:fldChar w:fldCharType="separate"/>
    </w:r>
    <w:r w:rsidR="006551CE">
      <w:rPr>
        <w:i/>
        <w:noProof/>
      </w:rPr>
      <w:t>Employers' Indemnity Supplementation Fund Regulations 2001</w:t>
    </w:r>
    <w:r>
      <w:rPr>
        <w:i/>
      </w:rPr>
      <w:fldChar w:fldCharType="end"/>
    </w:r>
  </w:p>
  <w:p w:rsidR="0058052B" w:rsidRDefault="0009789D">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rsidR="0058052B" w:rsidRDefault="0009789D">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rsidR="0058052B" w:rsidRDefault="0058052B">
    <w:pPr>
      <w:pStyle w:val="headerpart"/>
    </w:pPr>
  </w:p>
  <w:p w:rsidR="0058052B" w:rsidRDefault="0058052B">
    <w:pPr>
      <w:pBdr>
        <w:bottom w:val="single" w:sz="6" w:space="1" w:color="auto"/>
      </w:pBdr>
      <w:rPr>
        <w:b/>
      </w:rPr>
    </w:pPr>
  </w:p>
  <w:p w:rsidR="0058052B" w:rsidRDefault="0058052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52B" w:rsidRDefault="0058052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52B" w:rsidRDefault="005805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1CE" w:rsidRDefault="006551C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1CE" w:rsidRDefault="006551C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58052B">
      <w:trPr>
        <w:cantSplit/>
      </w:trPr>
      <w:tc>
        <w:tcPr>
          <w:tcW w:w="7258" w:type="dxa"/>
          <w:gridSpan w:val="2"/>
        </w:tcPr>
        <w:p w:rsidR="0058052B" w:rsidRDefault="0009789D">
          <w:pPr>
            <w:pStyle w:val="HeaderActNameLeft"/>
          </w:pPr>
          <w:fldSimple w:instr=" Styleref &quot;Name of Act/Reg&quot; ">
            <w:r w:rsidR="006551CE">
              <w:rPr>
                <w:noProof/>
              </w:rPr>
              <w:t>Employers' Indemnity Supplementation Fund Regulations 2001</w:t>
            </w:r>
          </w:fldSimple>
        </w:p>
      </w:tc>
    </w:tr>
    <w:tr w:rsidR="0058052B">
      <w:tc>
        <w:tcPr>
          <w:tcW w:w="1548" w:type="dxa"/>
        </w:tcPr>
        <w:p w:rsidR="0058052B" w:rsidRDefault="0058052B">
          <w:pPr>
            <w:pStyle w:val="HeaderNumberLeft"/>
          </w:pPr>
        </w:p>
      </w:tc>
      <w:tc>
        <w:tcPr>
          <w:tcW w:w="5715" w:type="dxa"/>
        </w:tcPr>
        <w:p w:rsidR="0058052B" w:rsidRDefault="0058052B">
          <w:pPr>
            <w:pStyle w:val="HeaderTextLeft"/>
          </w:pPr>
        </w:p>
      </w:tc>
    </w:tr>
    <w:tr w:rsidR="0058052B">
      <w:tc>
        <w:tcPr>
          <w:tcW w:w="1548" w:type="dxa"/>
        </w:tcPr>
        <w:p w:rsidR="0058052B" w:rsidRDefault="0058052B">
          <w:pPr>
            <w:pStyle w:val="HeaderNumberLeft"/>
          </w:pPr>
        </w:p>
      </w:tc>
      <w:tc>
        <w:tcPr>
          <w:tcW w:w="5715" w:type="dxa"/>
        </w:tcPr>
        <w:p w:rsidR="0058052B" w:rsidRDefault="0058052B">
          <w:pPr>
            <w:pStyle w:val="HeaderTextLeft"/>
          </w:pPr>
        </w:p>
      </w:tc>
    </w:tr>
    <w:tr w:rsidR="0058052B">
      <w:trPr>
        <w:cantSplit/>
      </w:trPr>
      <w:tc>
        <w:tcPr>
          <w:tcW w:w="7258" w:type="dxa"/>
          <w:gridSpan w:val="2"/>
        </w:tcPr>
        <w:p w:rsidR="0058052B" w:rsidRDefault="0009789D">
          <w:pPr>
            <w:pStyle w:val="HeaderSectionLeft"/>
            <w:rPr>
              <w:b w:val="0"/>
            </w:rPr>
          </w:pPr>
          <w:r>
            <w:rPr>
              <w:b w:val="0"/>
            </w:rPr>
            <w:t>Contents</w:t>
          </w:r>
        </w:p>
      </w:tc>
    </w:tr>
  </w:tbl>
  <w:p w:rsidR="0058052B" w:rsidRDefault="0058052B">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rsidR="0058052B">
      <w:trPr>
        <w:cantSplit/>
      </w:trPr>
      <w:tc>
        <w:tcPr>
          <w:tcW w:w="7258" w:type="dxa"/>
          <w:gridSpan w:val="2"/>
        </w:tcPr>
        <w:p w:rsidR="0058052B" w:rsidRDefault="0009789D">
          <w:pPr>
            <w:pStyle w:val="HeaderActNameRight"/>
            <w:ind w:right="17"/>
          </w:pPr>
          <w:fldSimple w:instr=" Styleref &quot;Name of Act/Reg&quot; ">
            <w:r w:rsidR="006551CE">
              <w:rPr>
                <w:noProof/>
              </w:rPr>
              <w:t>Employers' Indemnity Supplementation Fund Regulations 2001</w:t>
            </w:r>
          </w:fldSimple>
        </w:p>
      </w:tc>
    </w:tr>
    <w:tr w:rsidR="0058052B">
      <w:tc>
        <w:tcPr>
          <w:tcW w:w="5715" w:type="dxa"/>
        </w:tcPr>
        <w:p w:rsidR="0058052B" w:rsidRDefault="0058052B">
          <w:pPr>
            <w:pStyle w:val="HeaderTextRight"/>
          </w:pPr>
        </w:p>
      </w:tc>
      <w:tc>
        <w:tcPr>
          <w:tcW w:w="1548" w:type="dxa"/>
        </w:tcPr>
        <w:p w:rsidR="0058052B" w:rsidRDefault="0058052B">
          <w:pPr>
            <w:pStyle w:val="HeaderNumberRight"/>
            <w:ind w:right="17"/>
          </w:pPr>
        </w:p>
      </w:tc>
    </w:tr>
    <w:tr w:rsidR="0058052B">
      <w:tc>
        <w:tcPr>
          <w:tcW w:w="5715" w:type="dxa"/>
        </w:tcPr>
        <w:p w:rsidR="0058052B" w:rsidRDefault="0058052B">
          <w:pPr>
            <w:pStyle w:val="HeaderTextRight"/>
          </w:pPr>
        </w:p>
      </w:tc>
      <w:tc>
        <w:tcPr>
          <w:tcW w:w="1548" w:type="dxa"/>
        </w:tcPr>
        <w:p w:rsidR="0058052B" w:rsidRDefault="0058052B">
          <w:pPr>
            <w:pStyle w:val="HeaderNumberRight"/>
            <w:ind w:right="17"/>
          </w:pPr>
        </w:p>
      </w:tc>
    </w:tr>
    <w:tr w:rsidR="0058052B">
      <w:trPr>
        <w:cantSplit/>
      </w:trPr>
      <w:tc>
        <w:tcPr>
          <w:tcW w:w="7258" w:type="dxa"/>
          <w:gridSpan w:val="2"/>
        </w:tcPr>
        <w:p w:rsidR="0058052B" w:rsidRDefault="0009789D">
          <w:pPr>
            <w:pStyle w:val="HeaderSectionRight"/>
            <w:ind w:right="17"/>
            <w:rPr>
              <w:b w:val="0"/>
            </w:rPr>
          </w:pPr>
          <w:r>
            <w:rPr>
              <w:b w:val="0"/>
            </w:rPr>
            <w:t>Contents</w:t>
          </w:r>
        </w:p>
      </w:tc>
    </w:tr>
  </w:tbl>
  <w:p w:rsidR="0058052B" w:rsidRDefault="0058052B">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58052B">
      <w:trPr>
        <w:cantSplit/>
      </w:trPr>
      <w:tc>
        <w:tcPr>
          <w:tcW w:w="7258" w:type="dxa"/>
          <w:gridSpan w:val="2"/>
        </w:tcPr>
        <w:p w:rsidR="0058052B" w:rsidRDefault="0009789D">
          <w:pPr>
            <w:pStyle w:val="HeaderActNameLeft"/>
          </w:pPr>
          <w:fldSimple w:instr=" Styleref &quot;Name of Act/Reg&quot; ">
            <w:r w:rsidR="006551CE">
              <w:rPr>
                <w:noProof/>
              </w:rPr>
              <w:t>Employers' Indemnity Supplementation Fund Regulations 2001</w:t>
            </w:r>
          </w:fldSimple>
        </w:p>
      </w:tc>
    </w:tr>
    <w:tr w:rsidR="0058052B">
      <w:tc>
        <w:tcPr>
          <w:tcW w:w="1548" w:type="dxa"/>
        </w:tcPr>
        <w:p w:rsidR="0058052B" w:rsidRDefault="0009789D">
          <w:pPr>
            <w:pStyle w:val="HeaderNumberLeft"/>
          </w:pPr>
          <w:r>
            <w:fldChar w:fldCharType="begin"/>
          </w:r>
          <w:r>
            <w:instrText xml:space="preserve"> styleref CharPartNo </w:instrText>
          </w:r>
          <w:r>
            <w:fldChar w:fldCharType="end"/>
          </w:r>
        </w:p>
      </w:tc>
      <w:tc>
        <w:tcPr>
          <w:tcW w:w="5715" w:type="dxa"/>
          <w:vAlign w:val="bottom"/>
        </w:tcPr>
        <w:p w:rsidR="0058052B" w:rsidRDefault="0009789D">
          <w:pPr>
            <w:pStyle w:val="HeaderTextLeft"/>
          </w:pPr>
          <w:r>
            <w:fldChar w:fldCharType="begin"/>
          </w:r>
          <w:r>
            <w:instrText xml:space="preserve"> styleref CharPartText </w:instrText>
          </w:r>
          <w:r>
            <w:fldChar w:fldCharType="end"/>
          </w:r>
        </w:p>
      </w:tc>
    </w:tr>
    <w:tr w:rsidR="0058052B">
      <w:tc>
        <w:tcPr>
          <w:tcW w:w="1548" w:type="dxa"/>
        </w:tcPr>
        <w:p w:rsidR="0058052B" w:rsidRDefault="0009789D">
          <w:pPr>
            <w:pStyle w:val="HeaderNumberLeft"/>
          </w:pPr>
          <w:r>
            <w:fldChar w:fldCharType="begin"/>
          </w:r>
          <w:r>
            <w:instrText xml:space="preserve"> styleref CharDivNo </w:instrText>
          </w:r>
          <w:r>
            <w:fldChar w:fldCharType="end"/>
          </w:r>
        </w:p>
      </w:tc>
      <w:tc>
        <w:tcPr>
          <w:tcW w:w="5715" w:type="dxa"/>
        </w:tcPr>
        <w:p w:rsidR="0058052B" w:rsidRDefault="0009789D">
          <w:pPr>
            <w:pStyle w:val="HeaderTextLeft"/>
          </w:pPr>
          <w:r>
            <w:fldChar w:fldCharType="begin"/>
          </w:r>
          <w:r>
            <w:instrText xml:space="preserve"> styleref CharDivText </w:instrText>
          </w:r>
          <w:r>
            <w:fldChar w:fldCharType="end"/>
          </w:r>
        </w:p>
      </w:tc>
    </w:tr>
    <w:tr w:rsidR="0058052B">
      <w:trPr>
        <w:cantSplit/>
      </w:trPr>
      <w:tc>
        <w:tcPr>
          <w:tcW w:w="7258" w:type="dxa"/>
          <w:gridSpan w:val="2"/>
        </w:tcPr>
        <w:p w:rsidR="0058052B" w:rsidRDefault="0009789D">
          <w:pPr>
            <w:pStyle w:val="HeaderSectionLeft"/>
          </w:pPr>
          <w:r>
            <w:t xml:space="preserve">r. </w:t>
          </w:r>
          <w:fldSimple w:instr=" styleref CharSectno ">
            <w:r w:rsidR="006551CE">
              <w:rPr>
                <w:noProof/>
              </w:rPr>
              <w:t>1</w:t>
            </w:r>
          </w:fldSimple>
        </w:p>
      </w:tc>
    </w:tr>
  </w:tbl>
  <w:p w:rsidR="0058052B" w:rsidRDefault="0058052B">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rsidR="0058052B">
      <w:trPr>
        <w:cantSplit/>
      </w:trPr>
      <w:tc>
        <w:tcPr>
          <w:tcW w:w="7258" w:type="dxa"/>
          <w:gridSpan w:val="2"/>
        </w:tcPr>
        <w:p w:rsidR="0058052B" w:rsidRDefault="0009789D">
          <w:pPr>
            <w:pStyle w:val="HeaderActNameRight"/>
            <w:ind w:right="17"/>
          </w:pPr>
          <w:fldSimple w:instr=" Styleref &quot;Name of Act/Reg&quot; ">
            <w:r w:rsidR="006551CE">
              <w:rPr>
                <w:noProof/>
              </w:rPr>
              <w:t>Employers' Indemnity Supplementation Fund Regulations 2001</w:t>
            </w:r>
          </w:fldSimple>
        </w:p>
      </w:tc>
    </w:tr>
    <w:tr w:rsidR="0058052B">
      <w:tc>
        <w:tcPr>
          <w:tcW w:w="5715" w:type="dxa"/>
        </w:tcPr>
        <w:p w:rsidR="0058052B" w:rsidRDefault="0009789D">
          <w:pPr>
            <w:pStyle w:val="HeaderTextRight"/>
          </w:pPr>
          <w:r>
            <w:fldChar w:fldCharType="begin"/>
          </w:r>
          <w:r>
            <w:instrText xml:space="preserve"> styleref CharPartText </w:instrText>
          </w:r>
          <w:r>
            <w:fldChar w:fldCharType="end"/>
          </w:r>
        </w:p>
      </w:tc>
      <w:tc>
        <w:tcPr>
          <w:tcW w:w="1548" w:type="dxa"/>
        </w:tcPr>
        <w:p w:rsidR="0058052B" w:rsidRDefault="0009789D">
          <w:pPr>
            <w:pStyle w:val="HeaderNumberRight"/>
            <w:ind w:right="17"/>
          </w:pPr>
          <w:r>
            <w:fldChar w:fldCharType="begin"/>
          </w:r>
          <w:r>
            <w:instrText xml:space="preserve"> styleref CharPartNo </w:instrText>
          </w:r>
          <w:r>
            <w:fldChar w:fldCharType="end"/>
          </w:r>
        </w:p>
      </w:tc>
    </w:tr>
    <w:tr w:rsidR="0058052B">
      <w:tc>
        <w:tcPr>
          <w:tcW w:w="5715" w:type="dxa"/>
        </w:tcPr>
        <w:p w:rsidR="0058052B" w:rsidRDefault="0009789D">
          <w:pPr>
            <w:pStyle w:val="HeaderTextRight"/>
          </w:pPr>
          <w:r>
            <w:fldChar w:fldCharType="begin"/>
          </w:r>
          <w:r>
            <w:instrText xml:space="preserve"> styleref CharDivText </w:instrText>
          </w:r>
          <w:r>
            <w:fldChar w:fldCharType="end"/>
          </w:r>
        </w:p>
      </w:tc>
      <w:tc>
        <w:tcPr>
          <w:tcW w:w="1548" w:type="dxa"/>
        </w:tcPr>
        <w:p w:rsidR="0058052B" w:rsidRDefault="0009789D">
          <w:pPr>
            <w:pStyle w:val="HeaderNumberRight"/>
            <w:ind w:right="17"/>
          </w:pPr>
          <w:r>
            <w:fldChar w:fldCharType="begin"/>
          </w:r>
          <w:r>
            <w:instrText xml:space="preserve"> styleref CharDivNo </w:instrText>
          </w:r>
          <w:r>
            <w:fldChar w:fldCharType="end"/>
          </w:r>
        </w:p>
      </w:tc>
    </w:tr>
    <w:tr w:rsidR="0058052B">
      <w:trPr>
        <w:cantSplit/>
      </w:trPr>
      <w:tc>
        <w:tcPr>
          <w:tcW w:w="7258" w:type="dxa"/>
          <w:gridSpan w:val="2"/>
        </w:tcPr>
        <w:p w:rsidR="0058052B" w:rsidRDefault="0009789D">
          <w:pPr>
            <w:pStyle w:val="HeaderSectionRight"/>
            <w:ind w:right="17"/>
          </w:pPr>
          <w:r>
            <w:t xml:space="preserve">r. </w:t>
          </w:r>
          <w:fldSimple w:instr=" styleref CharSectno ">
            <w:r w:rsidR="006551CE">
              <w:rPr>
                <w:noProof/>
              </w:rPr>
              <w:t>1</w:t>
            </w:r>
          </w:fldSimple>
        </w:p>
      </w:tc>
    </w:tr>
  </w:tbl>
  <w:p w:rsidR="0058052B" w:rsidRDefault="0058052B">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rsidR="0058052B">
      <w:trPr>
        <w:cantSplit/>
      </w:trPr>
      <w:tc>
        <w:tcPr>
          <w:tcW w:w="7312" w:type="dxa"/>
          <w:gridSpan w:val="2"/>
        </w:tcPr>
        <w:p w:rsidR="0058052B" w:rsidRDefault="0009789D">
          <w:pPr>
            <w:pStyle w:val="HeaderActNameLeft"/>
          </w:pPr>
          <w:fldSimple w:instr=" Styleref &quot;Name of Act/Reg&quot; ">
            <w:r w:rsidR="006551CE">
              <w:rPr>
                <w:noProof/>
              </w:rPr>
              <w:t>Employers' Indemnity Supplementation Fund Regulations 2001</w:t>
            </w:r>
          </w:fldSimple>
        </w:p>
      </w:tc>
    </w:tr>
    <w:tr w:rsidR="0058052B">
      <w:tc>
        <w:tcPr>
          <w:tcW w:w="1548" w:type="dxa"/>
        </w:tcPr>
        <w:p w:rsidR="0058052B" w:rsidRDefault="0058052B">
          <w:pPr>
            <w:pStyle w:val="HeaderNumberLeft"/>
          </w:pPr>
        </w:p>
      </w:tc>
      <w:tc>
        <w:tcPr>
          <w:tcW w:w="5764" w:type="dxa"/>
        </w:tcPr>
        <w:p w:rsidR="0058052B" w:rsidRDefault="0058052B">
          <w:pPr>
            <w:pStyle w:val="HeaderTextLeft"/>
          </w:pPr>
        </w:p>
      </w:tc>
    </w:tr>
    <w:tr w:rsidR="0058052B">
      <w:tc>
        <w:tcPr>
          <w:tcW w:w="1548" w:type="dxa"/>
        </w:tcPr>
        <w:p w:rsidR="0058052B" w:rsidRDefault="0058052B">
          <w:pPr>
            <w:pStyle w:val="HeaderNumberLeft"/>
          </w:pPr>
        </w:p>
      </w:tc>
      <w:tc>
        <w:tcPr>
          <w:tcW w:w="5764" w:type="dxa"/>
        </w:tcPr>
        <w:p w:rsidR="0058052B" w:rsidRDefault="0058052B">
          <w:pPr>
            <w:pStyle w:val="HeaderTextLeft"/>
          </w:pPr>
        </w:p>
      </w:tc>
    </w:tr>
    <w:tr w:rsidR="0058052B">
      <w:trPr>
        <w:cantSplit/>
      </w:trPr>
      <w:tc>
        <w:tcPr>
          <w:tcW w:w="7312" w:type="dxa"/>
          <w:gridSpan w:val="2"/>
        </w:tcPr>
        <w:p w:rsidR="0058052B" w:rsidRDefault="0058052B">
          <w:pPr>
            <w:pStyle w:val="HeaderSectionLeft"/>
          </w:pPr>
        </w:p>
      </w:tc>
    </w:tr>
  </w:tbl>
  <w:p w:rsidR="0058052B" w:rsidRDefault="0058052B">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rsidR="0058052B">
      <w:trPr>
        <w:cantSplit/>
      </w:trPr>
      <w:tc>
        <w:tcPr>
          <w:tcW w:w="7312" w:type="dxa"/>
          <w:gridSpan w:val="2"/>
        </w:tcPr>
        <w:p w:rsidR="0058052B" w:rsidRDefault="0009789D">
          <w:pPr>
            <w:pStyle w:val="HeaderActNameRight"/>
          </w:pPr>
          <w:fldSimple w:instr=" Styleref &quot;Name of Act/Reg&quot; ">
            <w:r w:rsidR="006551CE">
              <w:rPr>
                <w:noProof/>
              </w:rPr>
              <w:t>Employers' Indemnity Supplementation Fund Regulations 2001</w:t>
            </w:r>
          </w:fldSimple>
        </w:p>
      </w:tc>
    </w:tr>
    <w:tr w:rsidR="0058052B">
      <w:tc>
        <w:tcPr>
          <w:tcW w:w="5760" w:type="dxa"/>
        </w:tcPr>
        <w:p w:rsidR="0058052B" w:rsidRDefault="0058052B">
          <w:pPr>
            <w:pStyle w:val="HeaderTextRight"/>
          </w:pPr>
        </w:p>
      </w:tc>
      <w:tc>
        <w:tcPr>
          <w:tcW w:w="1552" w:type="dxa"/>
        </w:tcPr>
        <w:p w:rsidR="0058052B" w:rsidRDefault="0058052B">
          <w:pPr>
            <w:pStyle w:val="HeaderNumberRight"/>
          </w:pPr>
        </w:p>
      </w:tc>
    </w:tr>
    <w:tr w:rsidR="0058052B">
      <w:tc>
        <w:tcPr>
          <w:tcW w:w="5760" w:type="dxa"/>
        </w:tcPr>
        <w:p w:rsidR="0058052B" w:rsidRDefault="0058052B">
          <w:pPr>
            <w:pStyle w:val="HeaderTextRight"/>
          </w:pPr>
        </w:p>
      </w:tc>
      <w:tc>
        <w:tcPr>
          <w:tcW w:w="1552" w:type="dxa"/>
        </w:tcPr>
        <w:p w:rsidR="0058052B" w:rsidRDefault="0058052B">
          <w:pPr>
            <w:pStyle w:val="HeaderNumberRight"/>
          </w:pPr>
        </w:p>
      </w:tc>
    </w:tr>
    <w:tr w:rsidR="0058052B">
      <w:trPr>
        <w:cantSplit/>
      </w:trPr>
      <w:tc>
        <w:tcPr>
          <w:tcW w:w="7312" w:type="dxa"/>
          <w:gridSpan w:val="2"/>
        </w:tcPr>
        <w:p w:rsidR="0058052B" w:rsidRDefault="0058052B">
          <w:pPr>
            <w:pStyle w:val="HeaderSectionRight"/>
          </w:pPr>
        </w:p>
      </w:tc>
    </w:tr>
  </w:tbl>
  <w:p w:rsidR="0058052B" w:rsidRDefault="0058052B">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1FE9080"/>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43CA18F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A4164DE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97869DE4"/>
    <w:lvl w:ilvl="0">
      <w:start w:val="1"/>
      <w:numFmt w:val="decimal"/>
      <w:pStyle w:val="ListNumber2"/>
      <w:lvlText w:val="%1."/>
      <w:lvlJc w:val="left"/>
      <w:pPr>
        <w:tabs>
          <w:tab w:val="num" w:pos="720"/>
        </w:tabs>
        <w:ind w:left="720" w:hanging="360"/>
      </w:pPr>
    </w:lvl>
  </w:abstractNum>
  <w:abstractNum w:abstractNumId="4">
    <w:nsid w:val="FFFFFF80"/>
    <w:multiLevelType w:val="singleLevel"/>
    <w:tmpl w:val="F896259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0C01DD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C9B255A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42F2941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CECAAD22"/>
    <w:lvl w:ilvl="0">
      <w:start w:val="1"/>
      <w:numFmt w:val="decimal"/>
      <w:pStyle w:val="ListNumber"/>
      <w:lvlText w:val="%1."/>
      <w:lvlJc w:val="left"/>
      <w:pPr>
        <w:tabs>
          <w:tab w:val="num" w:pos="360"/>
        </w:tabs>
        <w:ind w:left="360" w:hanging="360"/>
      </w:pPr>
    </w:lvl>
  </w:abstractNum>
  <w:abstractNum w:abstractNumId="9">
    <w:nsid w:val="FFFFFF89"/>
    <w:multiLevelType w:val="singleLevel"/>
    <w:tmpl w:val="955A0B0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BB370D7"/>
    <w:multiLevelType w:val="multilevel"/>
    <w:tmpl w:val="B9D6DF1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F3C3412"/>
    <w:multiLevelType w:val="multilevel"/>
    <w:tmpl w:val="4968A1EE"/>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4">
    <w:nsid w:val="138B63E2"/>
    <w:multiLevelType w:val="multilevel"/>
    <w:tmpl w:val="3B4E73C2"/>
    <w:name w:val="SectionNumbers"/>
    <w:lvl w:ilvl="0">
      <w:start w:val="1"/>
      <w:numFmt w:val="decimal"/>
      <w:lvlRestart w:val="0"/>
      <w:pStyle w:val="DefinitionNumbers"/>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16880C58"/>
    <w:multiLevelType w:val="multilevel"/>
    <w:tmpl w:val="7226A03A"/>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2FF52EB"/>
    <w:multiLevelType w:val="multilevel"/>
    <w:tmpl w:val="033A45D2"/>
    <w:name w:val="DefinitionNumbers"/>
    <w:lvl w:ilvl="0">
      <w:start w:val="1"/>
      <w:numFmt w:val="none"/>
      <w:lvlRestart w:val="0"/>
      <w:pStyle w:val="Mai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7">
    <w:nsid w:val="310F4753"/>
    <w:multiLevelType w:val="multilevel"/>
    <w:tmpl w:val="4F04CBB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3A396798"/>
    <w:multiLevelType w:val="multilevel"/>
    <w:tmpl w:val="0B425D62"/>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0">
    <w:nsid w:val="3C2808C0"/>
    <w:multiLevelType w:val="singleLevel"/>
    <w:tmpl w:val="BDD2BB06"/>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3">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4">
    <w:nsid w:val="69F82C98"/>
    <w:multiLevelType w:val="multilevel"/>
    <w:tmpl w:val="70E21894"/>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6"/>
  </w:num>
  <w:num w:numId="13">
    <w:abstractNumId w:val="7"/>
  </w:num>
  <w:num w:numId="14">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50"/>
  <w:embedTrueTypeFonts/>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789D"/>
    <w:rsid w:val="0009789D"/>
    <w:rsid w:val="0058052B"/>
    <w:rsid w:val="006551CE"/>
    <w:rsid w:val="006C00AF"/>
    <w:rsid w:val="00F424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quationCaption">
    <w:name w:val="_Equation Caption"/>
    <w:rPr>
      <w:rFonts w:ascii="Times New Roman" w:hAnsi="Times New Roman"/>
      <w:noProof w:val="0"/>
      <w:sz w:val="24"/>
      <w:lang w:val="en-AU"/>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Actno">
    <w:name w:val="Actno"/>
    <w:basedOn w:val="NameofActReg"/>
    <w:next w:val="Normal"/>
    <w:autoRedefine/>
    <w:pPr>
      <w:spacing w:before="500"/>
    </w:pPr>
    <w:rPr>
      <w:sz w:val="26"/>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AssentNote">
    <w:name w:val="Assent Note"/>
    <w:pPr>
      <w:keepLines/>
      <w:spacing w:before="160" w:after="240"/>
      <w:jc w:val="right"/>
    </w:pPr>
    <w:rPr>
      <w:i/>
      <w:snapToGrid w:val="0"/>
      <w:sz w:val="24"/>
      <w:lang w:eastAsia="en-US"/>
    </w:r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lang w:eastAsia="en-US"/>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rPr>
      <w:lang w:eastAsia="en-US"/>
    </w:rPr>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geNo">
    <w:name w:val="CharPageNo"/>
    <w:rPr>
      <w:noProof w:val="0"/>
      <w:sz w:val="2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character" w:customStyle="1" w:styleId="CharSectno">
    <w:name w:val="CharSect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1"/>
      </w:numPr>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120" w:line="260" w:lineRule="atLeast"/>
      <w:ind w:left="3053" w:hanging="3053"/>
    </w:pPr>
    <w:rPr>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160" w:line="260" w:lineRule="atLeast"/>
      <w:ind w:left="2333" w:hanging="2333"/>
    </w:pPr>
    <w:rPr>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right" w:pos="605"/>
        <w:tab w:val="left" w:pos="893"/>
      </w:tabs>
      <w:spacing w:before="220" w:line="260" w:lineRule="atLeast"/>
      <w:ind w:left="893" w:hanging="893"/>
      <w:outlineLvl w:val="4"/>
    </w:pPr>
    <w:rPr>
      <w:i/>
      <w:snapToGrid w:val="0"/>
      <w:sz w:val="24"/>
      <w:lang w:eastAsia="en-US"/>
    </w:rPr>
  </w:style>
  <w:style w:type="paragraph" w:customStyle="1" w:styleId="Ednotesubitem">
    <w:name w:val="Ednote(subitem)"/>
    <w:pPr>
      <w:tabs>
        <w:tab w:val="right" w:pos="3485"/>
        <w:tab w:val="left" w:pos="3773"/>
      </w:tabs>
      <w:spacing w:before="160" w:line="260" w:lineRule="atLeast"/>
      <w:ind w:left="3773" w:hanging="3773"/>
    </w:pPr>
    <w:rPr>
      <w:sz w:val="24"/>
      <w:lang w:eastAsia="en-US"/>
    </w:rPr>
  </w:style>
  <w:style w:type="paragraph" w:customStyle="1" w:styleId="Ednotesubsection">
    <w:name w:val="Ednote(subsection)"/>
    <w:basedOn w:val="Ednotesection"/>
    <w:pPr>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lang w:eastAsia="en-US"/>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paragraph" w:customStyle="1" w:styleId="Equation">
    <w:name w:val="Equation"/>
    <w:rPr>
      <w:noProof/>
      <w:sz w:val="24"/>
      <w:lang w:eastAsia="en-US"/>
    </w:rPr>
  </w:style>
  <w:style w:type="character" w:styleId="FollowedHyperlink">
    <w:name w:val="FollowedHyperlink"/>
    <w:basedOn w:val="DefaultParagraphFont"/>
    <w:semiHidden/>
    <w:rPr>
      <w:color w:val="800080"/>
      <w:sz w:val="24"/>
      <w:u w:val="single"/>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spacing w:before="120" w:line="260" w:lineRule="atLeast"/>
    </w:pPr>
    <w:rPr>
      <w:i/>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customStyle="1" w:styleId="Graphics">
    <w:name w:val="Graphics"/>
    <w:basedOn w:val="Equation"/>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semiHidden/>
    <w:rPr>
      <w:rFonts w:ascii="Times" w:hAnsi="Times"/>
      <w:sz w:val="18"/>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customStyle="1" w:styleId="LongTitle">
    <w:name w:val="Long Title"/>
    <w:rPr>
      <w:b/>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MadeBy">
    <w:name w:val="MadeBy"/>
    <w:pPr>
      <w:spacing w:before="600"/>
    </w:pPr>
    <w:rPr>
      <w:sz w:val="24"/>
      <w:lang w:eastAsia="en-US"/>
    </w:rPr>
  </w:style>
  <w:style w:type="paragraph" w:customStyle="1" w:styleId="Mainnumbers">
    <w:name w:val="Mainnumbers"/>
    <w:basedOn w:val="Normal"/>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ind w:left="3050" w:hanging="3050"/>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before="80" w:line="240" w:lineRule="auto"/>
      <w:ind w:left="2330" w:hanging="2330"/>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Defpara"/>
    <w:pPr>
      <w:shd w:val="clear" w:color="808080" w:fill="auto"/>
      <w:tabs>
        <w:tab w:val="clear" w:pos="1616"/>
        <w:tab w:val="clear" w:pos="1899"/>
        <w:tab w:val="right" w:pos="2155"/>
        <w:tab w:val="left" w:pos="2438"/>
      </w:tabs>
      <w:ind w:left="2438" w:right="284" w:hanging="1106"/>
    </w:pPr>
  </w:style>
  <w:style w:type="paragraph" w:customStyle="1" w:styleId="nzDefpara">
    <w:name w:val="nzDefpara"/>
    <w:basedOn w:val="zDefpara"/>
    <w:pPr>
      <w:spacing w:before="40" w:line="240" w:lineRule="auto"/>
    </w:pPr>
    <w:rPr>
      <w:sz w:val="20"/>
    </w:rPr>
  </w:style>
  <w:style w:type="paragraph" w:customStyle="1" w:styleId="zDefstart">
    <w:name w:val="zDefstart"/>
    <w:basedOn w:val="Defstart"/>
    <w:pPr>
      <w:shd w:val="clear" w:color="808080" w:fill="auto"/>
      <w:tabs>
        <w:tab w:val="clear" w:pos="879"/>
        <w:tab w:val="left" w:pos="1446"/>
      </w:tabs>
      <w:ind w:left="1882" w:right="284" w:hanging="748"/>
    </w:p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Defsubpara"/>
    <w:pPr>
      <w:shd w:val="clear" w:color="808080" w:fill="auto"/>
      <w:tabs>
        <w:tab w:val="clear" w:pos="2325"/>
        <w:tab w:val="right" w:pos="2608"/>
        <w:tab w:val="left" w:pos="2892"/>
      </w:tabs>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hd w:val="clear" w:color="808080" w:fill="auto"/>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shd w:val="clear" w:color="808080" w:fill="auto"/>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shd w:val="clear" w:color="808080" w:fill="auto"/>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shd w:val="clear" w:color="808080" w:fill="auto"/>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Indenta"/>
    <w:pPr>
      <w:shd w:val="clear" w:color="808080" w:fill="auto"/>
      <w:tabs>
        <w:tab w:val="clear" w:pos="1332"/>
        <w:tab w:val="clear" w:pos="1616"/>
        <w:tab w:val="right" w:pos="1899"/>
        <w:tab w:val="left" w:pos="2183"/>
      </w:tabs>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IndentA0"/>
    <w:pPr>
      <w:shd w:val="clear" w:color="808080" w:fill="auto"/>
      <w:tabs>
        <w:tab w:val="clear" w:pos="3686"/>
        <w:tab w:val="clear" w:pos="3969"/>
        <w:tab w:val="right" w:pos="4253"/>
        <w:tab w:val="left" w:pos="4536"/>
      </w:tabs>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Indenti"/>
    <w:pPr>
      <w:shd w:val="clear" w:color="808080" w:fill="auto"/>
      <w:tabs>
        <w:tab w:val="clear" w:pos="2041"/>
        <w:tab w:val="clear" w:pos="2325"/>
        <w:tab w:val="right" w:pos="2608"/>
        <w:tab w:val="left" w:pos="2892"/>
      </w:tabs>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IndentI0"/>
    <w:pPr>
      <w:shd w:val="clear" w:color="808080" w:fill="auto"/>
      <w:tabs>
        <w:tab w:val="clear" w:pos="2892"/>
        <w:tab w:val="clear" w:pos="3204"/>
        <w:tab w:val="right" w:pos="3459"/>
        <w:tab w:val="left" w:pos="3771"/>
      </w:tabs>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Penpara"/>
    <w:pPr>
      <w:shd w:val="clear" w:color="808080" w:fill="auto"/>
      <w:tabs>
        <w:tab w:val="clear" w:pos="1616"/>
        <w:tab w:val="right" w:pos="1899"/>
        <w:tab w:val="left" w:pos="2183"/>
      </w:tabs>
      <w:ind w:left="2183" w:right="284" w:hanging="851"/>
    </w:pPr>
  </w:style>
  <w:style w:type="paragraph" w:customStyle="1" w:styleId="nzPenpara">
    <w:name w:val="nzPenpara"/>
    <w:basedOn w:val="zPenpara"/>
    <w:pPr>
      <w:spacing w:before="40" w:line="240" w:lineRule="auto"/>
    </w:pPr>
    <w:rPr>
      <w:sz w:val="20"/>
    </w:rPr>
  </w:style>
  <w:style w:type="paragraph" w:customStyle="1" w:styleId="zPenstart">
    <w:name w:val="zPenstart"/>
    <w:basedOn w:val="Penstart"/>
    <w:pPr>
      <w:shd w:val="clear" w:color="808080" w:fill="auto"/>
      <w:tabs>
        <w:tab w:val="clear" w:pos="879"/>
        <w:tab w:val="left" w:pos="1446"/>
      </w:tabs>
      <w:ind w:left="2155"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Subsection"/>
    <w:pPr>
      <w:shd w:val="clear" w:color="808080" w:fill="auto"/>
      <w:tabs>
        <w:tab w:val="clear" w:pos="595"/>
        <w:tab w:val="clear" w:pos="879"/>
        <w:tab w:val="right" w:pos="1162"/>
        <w:tab w:val="left" w:pos="1446"/>
      </w:tabs>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pPr>
      <w:shd w:val="clear" w:color="808080" w:fill="auto"/>
    </w:pPr>
    <w:rPr>
      <w:sz w:val="20"/>
    </w:rPr>
  </w:style>
  <w:style w:type="character" w:styleId="PageNumber">
    <w:name w:val="page number"/>
    <w:basedOn w:val="DefaultParagraphFont"/>
    <w:semiHidden/>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reamble">
    <w:name w:val="Preamble"/>
    <w:pPr>
      <w:tabs>
        <w:tab w:val="left" w:pos="567"/>
      </w:tabs>
      <w:spacing w:before="160" w:line="260" w:lineRule="atLeast"/>
      <w:ind w:left="567" w:hanging="567"/>
    </w:pPr>
    <w:rPr>
      <w:sz w:val="24"/>
      <w:lang w:eastAsia="en-US"/>
    </w:rPr>
  </w:style>
  <w:style w:type="paragraph" w:customStyle="1" w:styleId="PrincipalActReg">
    <w:name w:val="PrincipalAct_Reg"/>
    <w:pPr>
      <w:spacing w:after="480"/>
      <w:jc w:val="center"/>
    </w:pPr>
    <w:rPr>
      <w:sz w:val="24"/>
      <w:lang w:eastAsia="en-US"/>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720"/>
        <w:tab w:val="right" w:pos="1152"/>
      </w:tabs>
      <w:spacing w:line="260" w:lineRule="atLeast"/>
      <w:ind w:left="720" w:hanging="360"/>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semiHidden/>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autoRedefine/>
    <w:semiHidden/>
    <w:pPr>
      <w:keepNext w:val="0"/>
      <w:keepLines w:val="0"/>
      <w:pageBreakBefore w:val="0"/>
      <w:spacing w:before="120" w:after="120"/>
      <w:jc w:val="left"/>
      <w:outlineLvl w:val="9"/>
    </w:pPr>
    <w:rPr>
      <w:caps/>
      <w:kern w:val="0"/>
      <w:sz w:val="20"/>
    </w:rPr>
  </w:style>
  <w:style w:type="paragraph" w:styleId="TOC2">
    <w:name w:val="toc 2"/>
    <w:basedOn w:val="Heading2"/>
    <w:next w:val="Normal"/>
    <w:autoRedefine/>
    <w:semiHidden/>
    <w:pPr>
      <w:keepNext w:val="0"/>
      <w:pageBreakBefore w:val="0"/>
      <w:spacing w:before="120" w:after="60" w:line="240" w:lineRule="auto"/>
      <w:ind w:left="1701" w:right="1134" w:hanging="567"/>
      <w:jc w:val="left"/>
      <w:outlineLvl w:val="9"/>
    </w:pPr>
    <w:rPr>
      <w:snapToGrid/>
      <w:sz w:val="28"/>
    </w:rPr>
  </w:style>
  <w:style w:type="paragraph" w:styleId="TOC3">
    <w:name w:val="toc 3"/>
    <w:basedOn w:val="TOC4"/>
    <w:next w:val="Normal"/>
    <w:autoRedefine/>
    <w:semiHidden/>
    <w:pPr>
      <w:spacing w:before="60" w:after="20"/>
      <w:ind w:left="1701" w:hanging="567"/>
    </w:pPr>
    <w:rPr>
      <w:b/>
    </w:rPr>
  </w:style>
  <w:style w:type="paragraph" w:styleId="TOC4">
    <w:name w:val="toc 4"/>
    <w:basedOn w:val="Heading4"/>
    <w:next w:val="Normal"/>
    <w:autoRedefine/>
    <w:semiHidden/>
    <w:pPr>
      <w:keepNext w:val="0"/>
      <w:tabs>
        <w:tab w:val="left" w:pos="1134"/>
        <w:tab w:val="right" w:pos="6804"/>
      </w:tabs>
      <w:spacing w:before="0"/>
      <w:ind w:left="1135" w:right="1134" w:hanging="851"/>
      <w:jc w:val="left"/>
      <w:outlineLvl w:val="9"/>
    </w:pPr>
    <w:rPr>
      <w:b w:val="0"/>
      <w:sz w:val="22"/>
    </w:rPr>
  </w:style>
  <w:style w:type="paragraph" w:styleId="TOC5">
    <w:name w:val="toc 5"/>
    <w:basedOn w:val="TOC4"/>
    <w:next w:val="Normal"/>
    <w:autoRedefine/>
    <w:semiHidden/>
    <w:pPr>
      <w:tabs>
        <w:tab w:val="left" w:pos="851"/>
        <w:tab w:val="right" w:pos="7088"/>
      </w:tabs>
      <w:spacing w:before="120" w:after="60"/>
      <w:ind w:left="1701" w:hanging="567"/>
    </w:pPr>
    <w:rPr>
      <w:b/>
      <w:sz w:val="28"/>
    </w:rPr>
  </w:style>
  <w:style w:type="paragraph" w:styleId="TOC6">
    <w:name w:val="toc 6"/>
    <w:basedOn w:val="TOC4"/>
    <w:next w:val="Normal"/>
    <w:autoRedefine/>
    <w:semiHidden/>
    <w:pPr>
      <w:spacing w:before="60" w:after="20"/>
      <w:ind w:left="1701" w:hanging="567"/>
    </w:pPr>
    <w:rPr>
      <w:b/>
    </w:rPr>
  </w:style>
  <w:style w:type="paragraph" w:styleId="TOC7">
    <w:name w:val="toc 7"/>
    <w:basedOn w:val="TOC4"/>
    <w:next w:val="Normal"/>
    <w:autoRedefine/>
    <w:semiHidden/>
    <w:pPr>
      <w:spacing w:before="60" w:after="20"/>
      <w:ind w:left="1701" w:hanging="567"/>
    </w:pPr>
  </w:style>
  <w:style w:type="paragraph" w:styleId="TOC8">
    <w:name w:val="toc 8"/>
    <w:basedOn w:val="Normal"/>
    <w:next w:val="Normal"/>
    <w:autoRedefine/>
    <w:semiHidden/>
    <w:pPr>
      <w:ind w:left="1400"/>
    </w:pPr>
    <w:rPr>
      <w:i/>
      <w:sz w:val="18"/>
    </w:rPr>
  </w:style>
  <w:style w:type="paragraph" w:styleId="TOC9">
    <w:name w:val="toc 9"/>
    <w:basedOn w:val="Heading9"/>
    <w:next w:val="Normal"/>
    <w:autoRedefine/>
    <w:semiHidden/>
    <w:pPr>
      <w:keepLines w:val="0"/>
      <w:pageBreakBefore w:val="0"/>
      <w:spacing w:before="0"/>
      <w:ind w:left="1600"/>
      <w:jc w:val="left"/>
      <w:outlineLvl w:val="9"/>
    </w:pPr>
    <w:rPr>
      <w:b w:val="0"/>
      <w:i w:val="0"/>
      <w:kern w:val="0"/>
      <w:sz w:val="18"/>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ind w:left="3050" w:hanging="3050"/>
    </w:pPr>
    <w:rPr>
      <w:sz w:val="22"/>
    </w:rPr>
  </w:style>
  <w:style w:type="paragraph" w:customStyle="1" w:styleId="yEdnotepara">
    <w:name w:val="yEdnote(para)"/>
    <w:basedOn w:val="Ednotepara"/>
    <w:pPr>
      <w:spacing w:line="240" w:lineRule="auto"/>
      <w:ind w:left="1610" w:hanging="1610"/>
    </w:pPr>
    <w:rPr>
      <w:sz w:val="22"/>
    </w:rPr>
  </w:style>
  <w:style w:type="paragraph" w:customStyle="1" w:styleId="yEdnotesection">
    <w:name w:val="yEdnote(section)"/>
    <w:basedOn w:val="Ednotesection"/>
    <w:pPr>
      <w:spacing w:line="240" w:lineRule="auto"/>
      <w:ind w:left="890" w:hanging="890"/>
      <w:outlineLvl w:val="9"/>
    </w:pPr>
    <w:rPr>
      <w:sz w:val="22"/>
    </w:rPr>
  </w:style>
  <w:style w:type="paragraph" w:customStyle="1" w:styleId="yEdnotesubitem">
    <w:name w:val="yEdnote(subitem)"/>
    <w:basedOn w:val="Ednotesubitem"/>
    <w:pPr>
      <w:spacing w:line="240" w:lineRule="auto"/>
      <w:ind w:left="3771" w:hanging="3771"/>
    </w:pPr>
  </w:style>
  <w:style w:type="paragraph" w:customStyle="1" w:styleId="yEdnotesubpara">
    <w:name w:val="yEdnote(subpara)"/>
    <w:basedOn w:val="Ednotesubpara"/>
    <w:pPr>
      <w:spacing w:line="240" w:lineRule="auto"/>
      <w:ind w:left="2330" w:hanging="2330"/>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Defitem"/>
    <w:pPr>
      <w:shd w:val="clear" w:color="808080" w:fill="auto"/>
      <w:tabs>
        <w:tab w:val="clear" w:pos="3119"/>
        <w:tab w:val="right" w:pos="3402"/>
        <w:tab w:val="left" w:pos="3686"/>
      </w:tabs>
      <w:ind w:left="3686" w:right="284" w:hanging="851"/>
    </w:pPr>
  </w:style>
  <w:style w:type="paragraph" w:customStyle="1" w:styleId="zHeading1">
    <w:name w:val="zHeading 1"/>
    <w:basedOn w:val="Heading1"/>
    <w:pPr>
      <w:shd w:val="clear" w:color="808080" w:fill="auto"/>
      <w:ind w:left="567" w:right="284"/>
      <w:outlineLvl w:val="9"/>
    </w:pPr>
  </w:style>
  <w:style w:type="paragraph" w:customStyle="1" w:styleId="zMiscellaneousBody">
    <w:name w:val="zMiscellaneousBody"/>
    <w:basedOn w:val="MiscellaneousBody"/>
    <w:pPr>
      <w:shd w:val="clear" w:color="808080" w:fill="auto"/>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Penitem"/>
    <w:pPr>
      <w:shd w:val="clear" w:color="808080" w:fill="auto"/>
      <w:tabs>
        <w:tab w:val="clear" w:pos="3119"/>
        <w:tab w:val="right" w:pos="3402"/>
        <w:tab w:val="left" w:pos="3686"/>
      </w:tabs>
      <w:ind w:left="3686" w:right="284" w:hanging="851"/>
    </w:pPr>
  </w:style>
  <w:style w:type="paragraph" w:customStyle="1" w:styleId="zPensubpara">
    <w:name w:val="zPensubpara"/>
    <w:basedOn w:val="Pensubpara"/>
    <w:pPr>
      <w:shd w:val="clear" w:color="808080" w:fill="auto"/>
      <w:tabs>
        <w:tab w:val="clear" w:pos="2325"/>
        <w:tab w:val="right" w:pos="2608"/>
        <w:tab w:val="left" w:pos="2892"/>
      </w:tabs>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lang w:val="en-AU"/>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4"/>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SignatureText">
    <w:name w:val="SignatureText"/>
    <w:basedOn w:val="Normal"/>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quationCaption">
    <w:name w:val="_Equation Caption"/>
    <w:rPr>
      <w:rFonts w:ascii="Times New Roman" w:hAnsi="Times New Roman"/>
      <w:noProof w:val="0"/>
      <w:sz w:val="24"/>
      <w:lang w:val="en-AU"/>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Actno">
    <w:name w:val="Actno"/>
    <w:basedOn w:val="NameofActReg"/>
    <w:next w:val="Normal"/>
    <w:autoRedefine/>
    <w:pPr>
      <w:spacing w:before="500"/>
    </w:pPr>
    <w:rPr>
      <w:sz w:val="26"/>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AssentNote">
    <w:name w:val="Assent Note"/>
    <w:pPr>
      <w:keepLines/>
      <w:spacing w:before="160" w:after="240"/>
      <w:jc w:val="right"/>
    </w:pPr>
    <w:rPr>
      <w:i/>
      <w:snapToGrid w:val="0"/>
      <w:sz w:val="24"/>
      <w:lang w:eastAsia="en-US"/>
    </w:r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lang w:eastAsia="en-US"/>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rPr>
      <w:lang w:eastAsia="en-US"/>
    </w:rPr>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geNo">
    <w:name w:val="CharPageNo"/>
    <w:rPr>
      <w:noProof w:val="0"/>
      <w:sz w:val="2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character" w:customStyle="1" w:styleId="CharSectno">
    <w:name w:val="CharSect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1"/>
      </w:numPr>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120" w:line="260" w:lineRule="atLeast"/>
      <w:ind w:left="3053" w:hanging="3053"/>
    </w:pPr>
    <w:rPr>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160" w:line="260" w:lineRule="atLeast"/>
      <w:ind w:left="2333" w:hanging="2333"/>
    </w:pPr>
    <w:rPr>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right" w:pos="605"/>
        <w:tab w:val="left" w:pos="893"/>
      </w:tabs>
      <w:spacing w:before="220" w:line="260" w:lineRule="atLeast"/>
      <w:ind w:left="893" w:hanging="893"/>
      <w:outlineLvl w:val="4"/>
    </w:pPr>
    <w:rPr>
      <w:i/>
      <w:snapToGrid w:val="0"/>
      <w:sz w:val="24"/>
      <w:lang w:eastAsia="en-US"/>
    </w:rPr>
  </w:style>
  <w:style w:type="paragraph" w:customStyle="1" w:styleId="Ednotesubitem">
    <w:name w:val="Ednote(subitem)"/>
    <w:pPr>
      <w:tabs>
        <w:tab w:val="right" w:pos="3485"/>
        <w:tab w:val="left" w:pos="3773"/>
      </w:tabs>
      <w:spacing w:before="160" w:line="260" w:lineRule="atLeast"/>
      <w:ind w:left="3773" w:hanging="3773"/>
    </w:pPr>
    <w:rPr>
      <w:sz w:val="24"/>
      <w:lang w:eastAsia="en-US"/>
    </w:rPr>
  </w:style>
  <w:style w:type="paragraph" w:customStyle="1" w:styleId="Ednotesubsection">
    <w:name w:val="Ednote(subsection)"/>
    <w:basedOn w:val="Ednotesection"/>
    <w:pPr>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lang w:eastAsia="en-US"/>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paragraph" w:customStyle="1" w:styleId="Equation">
    <w:name w:val="Equation"/>
    <w:rPr>
      <w:noProof/>
      <w:sz w:val="24"/>
      <w:lang w:eastAsia="en-US"/>
    </w:rPr>
  </w:style>
  <w:style w:type="character" w:styleId="FollowedHyperlink">
    <w:name w:val="FollowedHyperlink"/>
    <w:basedOn w:val="DefaultParagraphFont"/>
    <w:semiHidden/>
    <w:rPr>
      <w:color w:val="800080"/>
      <w:sz w:val="24"/>
      <w:u w:val="single"/>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spacing w:before="120" w:line="260" w:lineRule="atLeast"/>
    </w:pPr>
    <w:rPr>
      <w:i/>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customStyle="1" w:styleId="Graphics">
    <w:name w:val="Graphics"/>
    <w:basedOn w:val="Equation"/>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semiHidden/>
    <w:rPr>
      <w:rFonts w:ascii="Times" w:hAnsi="Times"/>
      <w:sz w:val="18"/>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customStyle="1" w:styleId="LongTitle">
    <w:name w:val="Long Title"/>
    <w:rPr>
      <w:b/>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MadeBy">
    <w:name w:val="MadeBy"/>
    <w:pPr>
      <w:spacing w:before="600"/>
    </w:pPr>
    <w:rPr>
      <w:sz w:val="24"/>
      <w:lang w:eastAsia="en-US"/>
    </w:rPr>
  </w:style>
  <w:style w:type="paragraph" w:customStyle="1" w:styleId="Mainnumbers">
    <w:name w:val="Mainnumbers"/>
    <w:basedOn w:val="Normal"/>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ind w:left="3050" w:hanging="3050"/>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before="80" w:line="240" w:lineRule="auto"/>
      <w:ind w:left="2330" w:hanging="2330"/>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Defpara"/>
    <w:pPr>
      <w:shd w:val="clear" w:color="808080" w:fill="auto"/>
      <w:tabs>
        <w:tab w:val="clear" w:pos="1616"/>
        <w:tab w:val="clear" w:pos="1899"/>
        <w:tab w:val="right" w:pos="2155"/>
        <w:tab w:val="left" w:pos="2438"/>
      </w:tabs>
      <w:ind w:left="2438" w:right="284" w:hanging="1106"/>
    </w:pPr>
  </w:style>
  <w:style w:type="paragraph" w:customStyle="1" w:styleId="nzDefpara">
    <w:name w:val="nzDefpara"/>
    <w:basedOn w:val="zDefpara"/>
    <w:pPr>
      <w:spacing w:before="40" w:line="240" w:lineRule="auto"/>
    </w:pPr>
    <w:rPr>
      <w:sz w:val="20"/>
    </w:rPr>
  </w:style>
  <w:style w:type="paragraph" w:customStyle="1" w:styleId="zDefstart">
    <w:name w:val="zDefstart"/>
    <w:basedOn w:val="Defstart"/>
    <w:pPr>
      <w:shd w:val="clear" w:color="808080" w:fill="auto"/>
      <w:tabs>
        <w:tab w:val="clear" w:pos="879"/>
        <w:tab w:val="left" w:pos="1446"/>
      </w:tabs>
      <w:ind w:left="1882" w:right="284" w:hanging="748"/>
    </w:p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Defsubpara"/>
    <w:pPr>
      <w:shd w:val="clear" w:color="808080" w:fill="auto"/>
      <w:tabs>
        <w:tab w:val="clear" w:pos="2325"/>
        <w:tab w:val="right" w:pos="2608"/>
        <w:tab w:val="left" w:pos="2892"/>
      </w:tabs>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hd w:val="clear" w:color="808080" w:fill="auto"/>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shd w:val="clear" w:color="808080" w:fill="auto"/>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shd w:val="clear" w:color="808080" w:fill="auto"/>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shd w:val="clear" w:color="808080" w:fill="auto"/>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Indenta"/>
    <w:pPr>
      <w:shd w:val="clear" w:color="808080" w:fill="auto"/>
      <w:tabs>
        <w:tab w:val="clear" w:pos="1332"/>
        <w:tab w:val="clear" w:pos="1616"/>
        <w:tab w:val="right" w:pos="1899"/>
        <w:tab w:val="left" w:pos="2183"/>
      </w:tabs>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IndentA0"/>
    <w:pPr>
      <w:shd w:val="clear" w:color="808080" w:fill="auto"/>
      <w:tabs>
        <w:tab w:val="clear" w:pos="3686"/>
        <w:tab w:val="clear" w:pos="3969"/>
        <w:tab w:val="right" w:pos="4253"/>
        <w:tab w:val="left" w:pos="4536"/>
      </w:tabs>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Indenti"/>
    <w:pPr>
      <w:shd w:val="clear" w:color="808080" w:fill="auto"/>
      <w:tabs>
        <w:tab w:val="clear" w:pos="2041"/>
        <w:tab w:val="clear" w:pos="2325"/>
        <w:tab w:val="right" w:pos="2608"/>
        <w:tab w:val="left" w:pos="2892"/>
      </w:tabs>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IndentI0"/>
    <w:pPr>
      <w:shd w:val="clear" w:color="808080" w:fill="auto"/>
      <w:tabs>
        <w:tab w:val="clear" w:pos="2892"/>
        <w:tab w:val="clear" w:pos="3204"/>
        <w:tab w:val="right" w:pos="3459"/>
        <w:tab w:val="left" w:pos="3771"/>
      </w:tabs>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Penpara"/>
    <w:pPr>
      <w:shd w:val="clear" w:color="808080" w:fill="auto"/>
      <w:tabs>
        <w:tab w:val="clear" w:pos="1616"/>
        <w:tab w:val="right" w:pos="1899"/>
        <w:tab w:val="left" w:pos="2183"/>
      </w:tabs>
      <w:ind w:left="2183" w:right="284" w:hanging="851"/>
    </w:pPr>
  </w:style>
  <w:style w:type="paragraph" w:customStyle="1" w:styleId="nzPenpara">
    <w:name w:val="nzPenpara"/>
    <w:basedOn w:val="zPenpara"/>
    <w:pPr>
      <w:spacing w:before="40" w:line="240" w:lineRule="auto"/>
    </w:pPr>
    <w:rPr>
      <w:sz w:val="20"/>
    </w:rPr>
  </w:style>
  <w:style w:type="paragraph" w:customStyle="1" w:styleId="zPenstart">
    <w:name w:val="zPenstart"/>
    <w:basedOn w:val="Penstart"/>
    <w:pPr>
      <w:shd w:val="clear" w:color="808080" w:fill="auto"/>
      <w:tabs>
        <w:tab w:val="clear" w:pos="879"/>
        <w:tab w:val="left" w:pos="1446"/>
      </w:tabs>
      <w:ind w:left="2155"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Subsection"/>
    <w:pPr>
      <w:shd w:val="clear" w:color="808080" w:fill="auto"/>
      <w:tabs>
        <w:tab w:val="clear" w:pos="595"/>
        <w:tab w:val="clear" w:pos="879"/>
        <w:tab w:val="right" w:pos="1162"/>
        <w:tab w:val="left" w:pos="1446"/>
      </w:tabs>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pPr>
      <w:shd w:val="clear" w:color="808080" w:fill="auto"/>
    </w:pPr>
    <w:rPr>
      <w:sz w:val="20"/>
    </w:rPr>
  </w:style>
  <w:style w:type="character" w:styleId="PageNumber">
    <w:name w:val="page number"/>
    <w:basedOn w:val="DefaultParagraphFont"/>
    <w:semiHidden/>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reamble">
    <w:name w:val="Preamble"/>
    <w:pPr>
      <w:tabs>
        <w:tab w:val="left" w:pos="567"/>
      </w:tabs>
      <w:spacing w:before="160" w:line="260" w:lineRule="atLeast"/>
      <w:ind w:left="567" w:hanging="567"/>
    </w:pPr>
    <w:rPr>
      <w:sz w:val="24"/>
      <w:lang w:eastAsia="en-US"/>
    </w:rPr>
  </w:style>
  <w:style w:type="paragraph" w:customStyle="1" w:styleId="PrincipalActReg">
    <w:name w:val="PrincipalAct_Reg"/>
    <w:pPr>
      <w:spacing w:after="480"/>
      <w:jc w:val="center"/>
    </w:pPr>
    <w:rPr>
      <w:sz w:val="24"/>
      <w:lang w:eastAsia="en-US"/>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720"/>
        <w:tab w:val="right" w:pos="1152"/>
      </w:tabs>
      <w:spacing w:line="260" w:lineRule="atLeast"/>
      <w:ind w:left="720" w:hanging="360"/>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semiHidden/>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autoRedefine/>
    <w:semiHidden/>
    <w:pPr>
      <w:keepNext w:val="0"/>
      <w:keepLines w:val="0"/>
      <w:pageBreakBefore w:val="0"/>
      <w:spacing w:before="120" w:after="120"/>
      <w:jc w:val="left"/>
      <w:outlineLvl w:val="9"/>
    </w:pPr>
    <w:rPr>
      <w:caps/>
      <w:kern w:val="0"/>
      <w:sz w:val="20"/>
    </w:rPr>
  </w:style>
  <w:style w:type="paragraph" w:styleId="TOC2">
    <w:name w:val="toc 2"/>
    <w:basedOn w:val="Heading2"/>
    <w:next w:val="Normal"/>
    <w:autoRedefine/>
    <w:semiHidden/>
    <w:pPr>
      <w:keepNext w:val="0"/>
      <w:pageBreakBefore w:val="0"/>
      <w:spacing w:before="120" w:after="60" w:line="240" w:lineRule="auto"/>
      <w:ind w:left="1701" w:right="1134" w:hanging="567"/>
      <w:jc w:val="left"/>
      <w:outlineLvl w:val="9"/>
    </w:pPr>
    <w:rPr>
      <w:snapToGrid/>
      <w:sz w:val="28"/>
    </w:rPr>
  </w:style>
  <w:style w:type="paragraph" w:styleId="TOC3">
    <w:name w:val="toc 3"/>
    <w:basedOn w:val="TOC4"/>
    <w:next w:val="Normal"/>
    <w:autoRedefine/>
    <w:semiHidden/>
    <w:pPr>
      <w:spacing w:before="60" w:after="20"/>
      <w:ind w:left="1701" w:hanging="567"/>
    </w:pPr>
    <w:rPr>
      <w:b/>
    </w:rPr>
  </w:style>
  <w:style w:type="paragraph" w:styleId="TOC4">
    <w:name w:val="toc 4"/>
    <w:basedOn w:val="Heading4"/>
    <w:next w:val="Normal"/>
    <w:autoRedefine/>
    <w:semiHidden/>
    <w:pPr>
      <w:keepNext w:val="0"/>
      <w:tabs>
        <w:tab w:val="left" w:pos="1134"/>
        <w:tab w:val="right" w:pos="6804"/>
      </w:tabs>
      <w:spacing w:before="0"/>
      <w:ind w:left="1135" w:right="1134" w:hanging="851"/>
      <w:jc w:val="left"/>
      <w:outlineLvl w:val="9"/>
    </w:pPr>
    <w:rPr>
      <w:b w:val="0"/>
      <w:sz w:val="22"/>
    </w:rPr>
  </w:style>
  <w:style w:type="paragraph" w:styleId="TOC5">
    <w:name w:val="toc 5"/>
    <w:basedOn w:val="TOC4"/>
    <w:next w:val="Normal"/>
    <w:autoRedefine/>
    <w:semiHidden/>
    <w:pPr>
      <w:tabs>
        <w:tab w:val="left" w:pos="851"/>
        <w:tab w:val="right" w:pos="7088"/>
      </w:tabs>
      <w:spacing w:before="120" w:after="60"/>
      <w:ind w:left="1701" w:hanging="567"/>
    </w:pPr>
    <w:rPr>
      <w:b/>
      <w:sz w:val="28"/>
    </w:rPr>
  </w:style>
  <w:style w:type="paragraph" w:styleId="TOC6">
    <w:name w:val="toc 6"/>
    <w:basedOn w:val="TOC4"/>
    <w:next w:val="Normal"/>
    <w:autoRedefine/>
    <w:semiHidden/>
    <w:pPr>
      <w:spacing w:before="60" w:after="20"/>
      <w:ind w:left="1701" w:hanging="567"/>
    </w:pPr>
    <w:rPr>
      <w:b/>
    </w:rPr>
  </w:style>
  <w:style w:type="paragraph" w:styleId="TOC7">
    <w:name w:val="toc 7"/>
    <w:basedOn w:val="TOC4"/>
    <w:next w:val="Normal"/>
    <w:autoRedefine/>
    <w:semiHidden/>
    <w:pPr>
      <w:spacing w:before="60" w:after="20"/>
      <w:ind w:left="1701" w:hanging="567"/>
    </w:pPr>
  </w:style>
  <w:style w:type="paragraph" w:styleId="TOC8">
    <w:name w:val="toc 8"/>
    <w:basedOn w:val="Normal"/>
    <w:next w:val="Normal"/>
    <w:autoRedefine/>
    <w:semiHidden/>
    <w:pPr>
      <w:ind w:left="1400"/>
    </w:pPr>
    <w:rPr>
      <w:i/>
      <w:sz w:val="18"/>
    </w:rPr>
  </w:style>
  <w:style w:type="paragraph" w:styleId="TOC9">
    <w:name w:val="toc 9"/>
    <w:basedOn w:val="Heading9"/>
    <w:next w:val="Normal"/>
    <w:autoRedefine/>
    <w:semiHidden/>
    <w:pPr>
      <w:keepLines w:val="0"/>
      <w:pageBreakBefore w:val="0"/>
      <w:spacing w:before="0"/>
      <w:ind w:left="1600"/>
      <w:jc w:val="left"/>
      <w:outlineLvl w:val="9"/>
    </w:pPr>
    <w:rPr>
      <w:b w:val="0"/>
      <w:i w:val="0"/>
      <w:kern w:val="0"/>
      <w:sz w:val="18"/>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ind w:left="3050" w:hanging="3050"/>
    </w:pPr>
    <w:rPr>
      <w:sz w:val="22"/>
    </w:rPr>
  </w:style>
  <w:style w:type="paragraph" w:customStyle="1" w:styleId="yEdnotepara">
    <w:name w:val="yEdnote(para)"/>
    <w:basedOn w:val="Ednotepara"/>
    <w:pPr>
      <w:spacing w:line="240" w:lineRule="auto"/>
      <w:ind w:left="1610" w:hanging="1610"/>
    </w:pPr>
    <w:rPr>
      <w:sz w:val="22"/>
    </w:rPr>
  </w:style>
  <w:style w:type="paragraph" w:customStyle="1" w:styleId="yEdnotesection">
    <w:name w:val="yEdnote(section)"/>
    <w:basedOn w:val="Ednotesection"/>
    <w:pPr>
      <w:spacing w:line="240" w:lineRule="auto"/>
      <w:ind w:left="890" w:hanging="890"/>
      <w:outlineLvl w:val="9"/>
    </w:pPr>
    <w:rPr>
      <w:sz w:val="22"/>
    </w:rPr>
  </w:style>
  <w:style w:type="paragraph" w:customStyle="1" w:styleId="yEdnotesubitem">
    <w:name w:val="yEdnote(subitem)"/>
    <w:basedOn w:val="Ednotesubitem"/>
    <w:pPr>
      <w:spacing w:line="240" w:lineRule="auto"/>
      <w:ind w:left="3771" w:hanging="3771"/>
    </w:pPr>
  </w:style>
  <w:style w:type="paragraph" w:customStyle="1" w:styleId="yEdnotesubpara">
    <w:name w:val="yEdnote(subpara)"/>
    <w:basedOn w:val="Ednotesubpara"/>
    <w:pPr>
      <w:spacing w:line="240" w:lineRule="auto"/>
      <w:ind w:left="2330" w:hanging="2330"/>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Defitem"/>
    <w:pPr>
      <w:shd w:val="clear" w:color="808080" w:fill="auto"/>
      <w:tabs>
        <w:tab w:val="clear" w:pos="3119"/>
        <w:tab w:val="right" w:pos="3402"/>
        <w:tab w:val="left" w:pos="3686"/>
      </w:tabs>
      <w:ind w:left="3686" w:right="284" w:hanging="851"/>
    </w:pPr>
  </w:style>
  <w:style w:type="paragraph" w:customStyle="1" w:styleId="zHeading1">
    <w:name w:val="zHeading 1"/>
    <w:basedOn w:val="Heading1"/>
    <w:pPr>
      <w:shd w:val="clear" w:color="808080" w:fill="auto"/>
      <w:ind w:left="567" w:right="284"/>
      <w:outlineLvl w:val="9"/>
    </w:pPr>
  </w:style>
  <w:style w:type="paragraph" w:customStyle="1" w:styleId="zMiscellaneousBody">
    <w:name w:val="zMiscellaneousBody"/>
    <w:basedOn w:val="MiscellaneousBody"/>
    <w:pPr>
      <w:shd w:val="clear" w:color="808080" w:fill="auto"/>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Penitem"/>
    <w:pPr>
      <w:shd w:val="clear" w:color="808080" w:fill="auto"/>
      <w:tabs>
        <w:tab w:val="clear" w:pos="3119"/>
        <w:tab w:val="right" w:pos="3402"/>
        <w:tab w:val="left" w:pos="3686"/>
      </w:tabs>
      <w:ind w:left="3686" w:right="284" w:hanging="851"/>
    </w:pPr>
  </w:style>
  <w:style w:type="paragraph" w:customStyle="1" w:styleId="zPensubpara">
    <w:name w:val="zPensubpara"/>
    <w:basedOn w:val="Pensubpara"/>
    <w:pPr>
      <w:shd w:val="clear" w:color="808080" w:fill="auto"/>
      <w:tabs>
        <w:tab w:val="clear" w:pos="2325"/>
        <w:tab w:val="right" w:pos="2608"/>
        <w:tab w:val="left" w:pos="2892"/>
      </w:tabs>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lang w:val="en-AU"/>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4"/>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SignatureText">
    <w:name w:val="SignatureText"/>
    <w:basedOn w:val="Normal"/>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10.xml"/><Relationship Id="rId3" Type="http://schemas.microsoft.com/office/2007/relationships/stylesWithEffects" Target="stylesWithEffect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9.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9.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1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332</Words>
  <Characters>1803</Characters>
  <Application>Microsoft Office Word</Application>
  <DocSecurity>0</DocSecurity>
  <Lines>78</Lines>
  <Paragraphs>52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Drafting Template</vt:lpstr>
      <vt:lpstr>    Notes</vt:lpstr>
    </vt:vector>
  </TitlesOfParts>
  <Company>Parliamentary Counsel's Office</Company>
  <LinksUpToDate>false</LinksUpToDate>
  <CharactersWithSpaces>2083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Employers' Indemnity Supplementation Fund Regulations 2001 - 00-b0-05</dc:title>
  <dc:subject/>
  <dc:creator>svcMRProcess</dc:creator>
  <cp:keywords/>
  <dc:description/>
  <cp:lastModifiedBy>svcMRProcess</cp:lastModifiedBy>
  <cp:revision>4</cp:revision>
  <cp:lastPrinted>2001-06-14T04:17:00Z</cp:lastPrinted>
  <dcterms:created xsi:type="dcterms:W3CDTF">2013-02-14T07:04:00Z</dcterms:created>
  <dcterms:modified xsi:type="dcterms:W3CDTF">2013-02-14T07:04:00Z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15 June 2001 p. 2977</vt:lpwstr>
  </property>
  <property fmtid="{D5CDD505-2E9C-101B-9397-08002B2CF9AE}" pid="3" name="CommencementDate">
    <vt:lpwstr>20030509</vt:lpwstr>
  </property>
  <property fmtid="{D5CDD505-2E9C-101B-9397-08002B2CF9AE}" pid="4" name="DocumentType">
    <vt:lpwstr>Reg</vt:lpwstr>
  </property>
  <property fmtid="{D5CDD505-2E9C-101B-9397-08002B2CF9AE}" pid="5" name="AsAtDate">
    <vt:lpwstr>09 May 2003</vt:lpwstr>
  </property>
  <property fmtid="{D5CDD505-2E9C-101B-9397-08002B2CF9AE}" pid="6" name="Suffix">
    <vt:lpwstr>00-b0-05</vt:lpwstr>
  </property>
</Properties>
</file>