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Employers' Indemnity Supplementation Fund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Employers' Indemnity Supplementation Fund Regulations 2001</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_Toc138820922 \h </w:instrText>
      </w:r>
      <w:r>
        <w:fldChar w:fldCharType="separate"/>
      </w:r>
      <w:r>
        <w:t>1</w:t>
      </w:r>
      <w:r>
        <w:fldChar w:fldCharType="end"/>
      </w:r>
    </w:p>
    <w:p>
      <w:pPr>
        <w:pStyle w:val="TOC8"/>
        <w:rPr>
          <w:sz w:val="24"/>
          <w:szCs w:val="24"/>
        </w:rPr>
      </w:pPr>
      <w:r>
        <w:rPr>
          <w:szCs w:val="24"/>
        </w:rPr>
        <w:t>2.</w:t>
      </w:r>
      <w:r>
        <w:rPr>
          <w:szCs w:val="24"/>
        </w:rPr>
        <w:tab/>
        <w:t>Surcharge period</w:t>
      </w:r>
      <w:r>
        <w:tab/>
      </w:r>
      <w:r>
        <w:fldChar w:fldCharType="begin"/>
      </w:r>
      <w:r>
        <w:instrText xml:space="preserve"> PAGEREF _Toc138820923 \h </w:instrText>
      </w:r>
      <w:r>
        <w:fldChar w:fldCharType="separate"/>
      </w:r>
      <w:r>
        <w:t>1</w:t>
      </w:r>
      <w:r>
        <w:fldChar w:fldCharType="end"/>
      </w:r>
    </w:p>
    <w:p>
      <w:pPr>
        <w:pStyle w:val="TOC8"/>
        <w:rPr>
          <w:sz w:val="24"/>
          <w:szCs w:val="24"/>
        </w:rPr>
      </w:pPr>
      <w:r>
        <w:rPr>
          <w:szCs w:val="24"/>
        </w:rPr>
        <w:t>3.</w:t>
      </w:r>
      <w:r>
        <w:rPr>
          <w:szCs w:val="24"/>
        </w:rPr>
        <w:tab/>
        <w:t>Percentages for appropriate surcharge during different parts of surcharge period</w:t>
      </w:r>
      <w:r>
        <w:tab/>
      </w:r>
      <w:r>
        <w:fldChar w:fldCharType="begin"/>
      </w:r>
      <w:r>
        <w:instrText xml:space="preserve"> PAGEREF _Toc138820924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_Toc138820926 \h </w:instrText>
      </w:r>
      <w:r>
        <w:fldChar w:fldCharType="separate"/>
      </w:r>
      <w:r>
        <w:t>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Employers' Indemnity Supplementation Fund Act 1980</w:t>
      </w:r>
    </w:p>
    <w:p>
      <w:pPr>
        <w:pStyle w:val="NameofActReg"/>
      </w:pPr>
      <w:r>
        <w:t>Employers' Indemnity Supplementation Fund Regulations 2001</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698281"/>
      <w:bookmarkStart w:id="8" w:name="_Toc138749699"/>
      <w:bookmarkStart w:id="9" w:name="_Toc138820922"/>
      <w:r>
        <w:rPr>
          <w:rStyle w:val="CharSectno"/>
        </w:rPr>
        <w:t>1</w:t>
      </w:r>
      <w:r>
        <w:t>.</w:t>
      </w:r>
      <w:r>
        <w:tab/>
        <w:t>Citation</w:t>
      </w:r>
      <w:bookmarkEnd w:id="1"/>
      <w:bookmarkEnd w:id="2"/>
      <w:bookmarkEnd w:id="3"/>
      <w:bookmarkEnd w:id="4"/>
      <w:bookmarkEnd w:id="5"/>
      <w:bookmarkEnd w:id="6"/>
      <w:bookmarkEnd w:id="7"/>
      <w:bookmarkEnd w:id="8"/>
      <w:bookmarkEnd w:id="9"/>
    </w:p>
    <w:p>
      <w:pPr>
        <w:pStyle w:val="Subsection"/>
      </w:pPr>
      <w:r>
        <w:tab/>
      </w:r>
      <w:r>
        <w:tab/>
        <w:t xml:space="preserve">These </w:t>
      </w:r>
      <w:r>
        <w:rPr>
          <w:spacing w:val="-2"/>
        </w:rPr>
        <w:t>regulations</w:t>
      </w:r>
      <w:r>
        <w:t xml:space="preserve"> may be cited as the </w:t>
      </w:r>
      <w:r>
        <w:rPr>
          <w:i/>
        </w:rPr>
        <w:t>Employers' Indemnity Supplementation Fund Regulations 2001</w:t>
      </w:r>
      <w:r>
        <w:t>.</w:t>
      </w:r>
    </w:p>
    <w:p>
      <w:pPr>
        <w:pStyle w:val="Heading5"/>
      </w:pPr>
      <w:bookmarkStart w:id="10" w:name="_Toc5698282"/>
      <w:bookmarkStart w:id="11" w:name="_Toc138749700"/>
      <w:bookmarkStart w:id="12" w:name="_Toc138820923"/>
      <w:r>
        <w:rPr>
          <w:rStyle w:val="CharSectno"/>
        </w:rPr>
        <w:t>2</w:t>
      </w:r>
      <w:r>
        <w:t>.</w:t>
      </w:r>
      <w:r>
        <w:tab/>
        <w:t>Surcharge period</w:t>
      </w:r>
      <w:bookmarkEnd w:id="10"/>
      <w:bookmarkEnd w:id="11"/>
      <w:bookmarkEnd w:id="12"/>
    </w:p>
    <w:p>
      <w:pPr>
        <w:pStyle w:val="Subsection"/>
      </w:pPr>
      <w:r>
        <w:tab/>
      </w:r>
      <w:r>
        <w:tab/>
        <w:t>The period commencing at 4.00 p.m. on 25 June 2001 and expiring at 4.00 p.m. on 25 June 2009 is a surcharge period for the purposes of the Act.</w:t>
      </w:r>
    </w:p>
    <w:p>
      <w:pPr>
        <w:pStyle w:val="Footnotesection"/>
      </w:pPr>
      <w:r>
        <w:tab/>
        <w:t>[Regulation 2 amended in Gazette 23 Jun 2006 p. 2231.]</w:t>
      </w:r>
    </w:p>
    <w:p>
      <w:pPr>
        <w:pStyle w:val="Heading5"/>
      </w:pPr>
      <w:bookmarkStart w:id="13" w:name="_Toc138749701"/>
      <w:bookmarkStart w:id="14" w:name="_Toc138820924"/>
      <w:r>
        <w:rPr>
          <w:rStyle w:val="CharSectno"/>
        </w:rPr>
        <w:t>3</w:t>
      </w:r>
      <w:r>
        <w:t>.</w:t>
      </w:r>
      <w:r>
        <w:tab/>
        <w:t>Percentages for appropriate surcharge during different parts of surcharge period</w:t>
      </w:r>
      <w:bookmarkEnd w:id="13"/>
      <w:bookmarkEnd w:id="14"/>
    </w:p>
    <w:p>
      <w:pPr>
        <w:pStyle w:val="Subsection"/>
      </w:pPr>
      <w:r>
        <w:tab/>
        <w:t>(1)</w:t>
      </w:r>
      <w:r>
        <w:tab/>
        <w:t>The percentage for the purposes of section 14(2) of the Act for the part of the surcharge period commencing at 4.00 p.m. on 25 June 2002 and expiring at 4.00 p.m. on 25 June 2003 is 3%.</w:t>
      </w:r>
    </w:p>
    <w:p>
      <w:pPr>
        <w:pStyle w:val="Subsection"/>
      </w:pPr>
      <w:r>
        <w:tab/>
        <w:t>(2)</w:t>
      </w:r>
      <w:r>
        <w:tab/>
        <w:t>The percentage for the purposes of section 14(2) of the Act for the part of the surcharge period commencing at 4.00 p.m. on 25 June 2003 is 1%.</w:t>
      </w:r>
    </w:p>
    <w:p>
      <w:pPr>
        <w:pStyle w:val="Footnotesection"/>
      </w:pPr>
      <w:r>
        <w:tab/>
        <w:t>[Regulation 3 inserted in Gazette 9 May 2003 p. 1625.]</w:t>
      </w:r>
    </w:p>
    <w:p>
      <w:pPr>
        <w:sectPr>
          <w:headerReference w:type="even" r:id="rId19"/>
          <w:headerReference w:type="default" r:id="rId20"/>
          <w:footerReference w:type="even" r:id="rId21"/>
          <w:footerReference w:type="default" r:id="rId22"/>
          <w:footerReference w:type="first" r:id="rId23"/>
          <w:pgSz w:w="11906" w:h="16838" w:code="9"/>
          <w:pgMar w:top="2381" w:right="2410" w:bottom="3544" w:left="2410" w:header="720" w:footer="3380" w:gutter="0"/>
          <w:pgNumType w:start="1"/>
          <w:cols w:space="720"/>
          <w:noEndnote/>
          <w:titlePg/>
          <w:docGrid w:linePitch="326"/>
        </w:sectPr>
      </w:pPr>
    </w:p>
    <w:p>
      <w:pPr>
        <w:pStyle w:val="nHeading2"/>
      </w:pPr>
      <w:bookmarkStart w:id="15" w:name="_Toc138749702"/>
      <w:bookmarkStart w:id="16" w:name="_Toc138749754"/>
      <w:bookmarkStart w:id="17" w:name="_Toc138749771"/>
      <w:bookmarkStart w:id="18" w:name="_Toc138820925"/>
      <w:r>
        <w:lastRenderedPageBreak/>
        <w:t>Notes</w:t>
      </w:r>
      <w:bookmarkEnd w:id="15"/>
      <w:bookmarkEnd w:id="16"/>
      <w:bookmarkEnd w:id="17"/>
      <w:bookmarkEnd w:id="18"/>
    </w:p>
    <w:p>
      <w:pPr>
        <w:pStyle w:val="nSubsection"/>
        <w:rPr>
          <w:snapToGrid w:val="0"/>
        </w:rPr>
      </w:pPr>
      <w:bookmarkStart w:id="19" w:name="_Toc5698284"/>
      <w:r>
        <w:rPr>
          <w:snapToGrid w:val="0"/>
          <w:vertAlign w:val="superscript"/>
        </w:rPr>
        <w:t>1</w:t>
      </w:r>
      <w:r>
        <w:rPr>
          <w:snapToGrid w:val="0"/>
        </w:rPr>
        <w:tab/>
        <w:t xml:space="preserve">This is a compilation of the </w:t>
      </w:r>
      <w:r>
        <w:rPr>
          <w:i/>
          <w:noProof/>
          <w:snapToGrid w:val="0"/>
        </w:rPr>
        <w:t>Employers' Indemnity Supplementation Fund Regulations 2001</w:t>
      </w:r>
      <w:r>
        <w:rPr>
          <w:snapToGrid w:val="0"/>
        </w:rPr>
        <w:t xml:space="preserve"> and includes the amendments made by the other written laws referred to in the following table.</w:t>
      </w:r>
    </w:p>
    <w:p>
      <w:pPr>
        <w:pStyle w:val="nHeading3"/>
        <w:rPr>
          <w:snapToGrid w:val="0"/>
        </w:rPr>
      </w:pPr>
      <w:bookmarkStart w:id="20" w:name="_Toc138749703"/>
      <w:bookmarkStart w:id="21" w:name="_Toc138820926"/>
      <w:r>
        <w:rPr>
          <w:snapToGrid w:val="0"/>
        </w:rPr>
        <w:t>Compilation table</w:t>
      </w:r>
      <w:bookmarkEnd w:id="19"/>
      <w:bookmarkEnd w:id="20"/>
      <w:bookmarkEnd w:id="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rPr>
                <w:b/>
              </w:rPr>
            </w:pPr>
            <w:r>
              <w:rPr>
                <w:b/>
              </w:rPr>
              <w:t>Citation</w:t>
            </w:r>
          </w:p>
        </w:tc>
        <w:tc>
          <w:tcPr>
            <w:tcW w:w="1276" w:type="dxa"/>
            <w:tcBorders>
              <w:top w:val="single" w:sz="4" w:space="0" w:color="auto"/>
            </w:tcBorders>
          </w:tcPr>
          <w:p>
            <w:pPr>
              <w:pStyle w:val="nTable"/>
              <w:rPr>
                <w:b/>
              </w:rPr>
            </w:pPr>
            <w:r>
              <w:rPr>
                <w:b/>
              </w:rPr>
              <w:t>Gazettal</w:t>
            </w:r>
          </w:p>
        </w:tc>
        <w:tc>
          <w:tcPr>
            <w:tcW w:w="2693" w:type="dxa"/>
            <w:tcBorders>
              <w:top w:val="single" w:sz="4" w:space="0" w:color="auto"/>
            </w:tcBorders>
          </w:tcPr>
          <w:p>
            <w:pPr>
              <w:pStyle w:val="nTable"/>
              <w:rPr>
                <w:b/>
              </w:rPr>
            </w:pPr>
            <w:r>
              <w:rPr>
                <w:b/>
              </w:rPr>
              <w:t>Commencement</w:t>
            </w:r>
          </w:p>
        </w:tc>
      </w:tr>
      <w:tr>
        <w:tc>
          <w:tcPr>
            <w:tcW w:w="3119" w:type="dxa"/>
            <w:tcBorders>
              <w:top w:val="single" w:sz="4" w:space="0" w:color="auto"/>
            </w:tcBorders>
          </w:tcPr>
          <w:p>
            <w:pPr>
              <w:pStyle w:val="nTable"/>
              <w:spacing w:before="100"/>
            </w:pPr>
            <w:r>
              <w:rPr>
                <w:i/>
              </w:rPr>
              <w:t>Employers' Indemnity Supplementation Fund Regulations 2001</w:t>
            </w:r>
          </w:p>
        </w:tc>
        <w:tc>
          <w:tcPr>
            <w:tcW w:w="1276" w:type="dxa"/>
            <w:tcBorders>
              <w:top w:val="single" w:sz="4" w:space="0" w:color="auto"/>
            </w:tcBorders>
          </w:tcPr>
          <w:p>
            <w:pPr>
              <w:pStyle w:val="nTable"/>
              <w:spacing w:before="100"/>
            </w:pPr>
            <w:r>
              <w:t>15 Jun 2001 p. 2977</w:t>
            </w:r>
          </w:p>
        </w:tc>
        <w:tc>
          <w:tcPr>
            <w:tcW w:w="2693" w:type="dxa"/>
            <w:tcBorders>
              <w:top w:val="single" w:sz="4" w:space="0" w:color="auto"/>
            </w:tcBorders>
          </w:tcPr>
          <w:p>
            <w:pPr>
              <w:pStyle w:val="nTable"/>
              <w:spacing w:before="100"/>
            </w:pPr>
            <w:r>
              <w:t>15 Jun 2001</w:t>
            </w:r>
          </w:p>
        </w:tc>
      </w:tr>
      <w:tr>
        <w:tc>
          <w:tcPr>
            <w:tcW w:w="3119" w:type="dxa"/>
          </w:tcPr>
          <w:p>
            <w:pPr>
              <w:pStyle w:val="nTable"/>
              <w:spacing w:before="100"/>
              <w:rPr>
                <w:i/>
              </w:rPr>
            </w:pPr>
            <w:r>
              <w:rPr>
                <w:i/>
              </w:rPr>
              <w:t>Employers' Indemnity Supplementation Fund Amendment Regulations 2002</w:t>
            </w:r>
          </w:p>
        </w:tc>
        <w:tc>
          <w:tcPr>
            <w:tcW w:w="1276" w:type="dxa"/>
          </w:tcPr>
          <w:p>
            <w:pPr>
              <w:pStyle w:val="nTable"/>
              <w:spacing w:before="100"/>
            </w:pPr>
            <w:r>
              <w:t>5 Apr 2002 p. 1834-5</w:t>
            </w:r>
          </w:p>
        </w:tc>
        <w:tc>
          <w:tcPr>
            <w:tcW w:w="2693" w:type="dxa"/>
          </w:tcPr>
          <w:p>
            <w:pPr>
              <w:pStyle w:val="nTable"/>
              <w:spacing w:before="100"/>
            </w:pPr>
            <w:r>
              <w:t>5 Apr 2002</w:t>
            </w:r>
          </w:p>
        </w:tc>
      </w:tr>
      <w:tr>
        <w:tc>
          <w:tcPr>
            <w:tcW w:w="3119" w:type="dxa"/>
          </w:tcPr>
          <w:p>
            <w:pPr>
              <w:pStyle w:val="nTable"/>
              <w:spacing w:before="100"/>
              <w:rPr>
                <w:i/>
              </w:rPr>
            </w:pPr>
            <w:r>
              <w:rPr>
                <w:i/>
              </w:rPr>
              <w:t>Employers' Indemnity Supplementation Fund Amendment Regulations 2003</w:t>
            </w:r>
          </w:p>
        </w:tc>
        <w:tc>
          <w:tcPr>
            <w:tcW w:w="1276" w:type="dxa"/>
          </w:tcPr>
          <w:p>
            <w:pPr>
              <w:pStyle w:val="nTable"/>
              <w:spacing w:before="100"/>
            </w:pPr>
            <w:r>
              <w:t>9 May 2003 p. 1625</w:t>
            </w:r>
          </w:p>
        </w:tc>
        <w:tc>
          <w:tcPr>
            <w:tcW w:w="2693" w:type="dxa"/>
          </w:tcPr>
          <w:p>
            <w:pPr>
              <w:pStyle w:val="nTable"/>
              <w:spacing w:before="100"/>
            </w:pPr>
            <w:r>
              <w:t>9 May 2003</w:t>
            </w:r>
          </w:p>
        </w:tc>
      </w:tr>
      <w:tr>
        <w:tc>
          <w:tcPr>
            <w:tcW w:w="3119" w:type="dxa"/>
            <w:tcBorders>
              <w:bottom w:val="single" w:sz="4" w:space="0" w:color="auto"/>
            </w:tcBorders>
          </w:tcPr>
          <w:p>
            <w:pPr>
              <w:pStyle w:val="nTable"/>
              <w:spacing w:before="100"/>
              <w:rPr>
                <w:i/>
              </w:rPr>
            </w:pPr>
            <w:r>
              <w:rPr>
                <w:i/>
              </w:rPr>
              <w:t>Employers' Indemnity Supplementation Fund Amendment Regulations 2006</w:t>
            </w:r>
          </w:p>
        </w:tc>
        <w:tc>
          <w:tcPr>
            <w:tcW w:w="1276" w:type="dxa"/>
            <w:tcBorders>
              <w:bottom w:val="single" w:sz="4" w:space="0" w:color="auto"/>
            </w:tcBorders>
          </w:tcPr>
          <w:p>
            <w:pPr>
              <w:pStyle w:val="nTable"/>
              <w:spacing w:before="100"/>
            </w:pPr>
            <w:r>
              <w:t>23 Jun 2006 p. 2231</w:t>
            </w:r>
          </w:p>
        </w:tc>
        <w:tc>
          <w:tcPr>
            <w:tcW w:w="2693" w:type="dxa"/>
            <w:tcBorders>
              <w:bottom w:val="single" w:sz="4" w:space="0" w:color="auto"/>
            </w:tcBorders>
          </w:tcPr>
          <w:p>
            <w:pPr>
              <w:pStyle w:val="nTable"/>
              <w:spacing w:before="100"/>
            </w:pPr>
            <w:r>
              <w:t>23 Jun 2006</w:t>
            </w:r>
          </w:p>
        </w:tc>
      </w:tr>
    </w:tbl>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Employers' Indemnity Supplementation Fund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Employers' Indemnity Supplementation Fund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Employers' Indemnity Supplementation Fund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Employers' Indemnity Supplementation Fund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Employers' Indemnity Supplementation Fund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Employers' Indemnity Supplementation Fund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Employers' Indemnity Supplementation Fund Regulations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ECA4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D025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9A2D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E0F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F4D5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3A39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C40FF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0AA4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91A69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98435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19647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2AFED23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841"/>
    <w:docVar w:name="WAFER_20151207122841" w:val="RemoveTrackChanges"/>
    <w:docVar w:name="WAFER_20151207122841_GUID" w:val="7427ee08-869c-4a96-8136-c7e8dfb9bf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375</Words>
  <Characters>2028</Characters>
  <Application>Microsoft Office Word</Application>
  <DocSecurity>0</DocSecurity>
  <Lines>92</Lines>
  <Paragraphs>60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Indemnity Supplementation Fund Regulations 2001 - 00-c0-04</dc:title>
  <dc:subject/>
  <dc:creator/>
  <cp:keywords/>
  <dc:description/>
  <cp:lastModifiedBy>svcMRProcess</cp:lastModifiedBy>
  <cp:revision>4</cp:revision>
  <cp:lastPrinted>2001-06-14T04:17:00Z</cp:lastPrinted>
  <dcterms:created xsi:type="dcterms:W3CDTF">2015-12-08T20:48:00Z</dcterms:created>
  <dcterms:modified xsi:type="dcterms:W3CDTF">2015-12-08T20:48:00Z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June 2001 p. 2977</vt:lpwstr>
  </property>
  <property fmtid="{D5CDD505-2E9C-101B-9397-08002B2CF9AE}" pid="3" name="CommencementDate">
    <vt:lpwstr>20060623</vt:lpwstr>
  </property>
  <property fmtid="{D5CDD505-2E9C-101B-9397-08002B2CF9AE}" pid="4" name="DocumentType">
    <vt:lpwstr>Reg</vt:lpwstr>
  </property>
  <property fmtid="{D5CDD505-2E9C-101B-9397-08002B2CF9AE}" pid="5" name="OwlsUID">
    <vt:i4>2997</vt:i4>
  </property>
  <property fmtid="{D5CDD505-2E9C-101B-9397-08002B2CF9AE}" pid="6" name="AsAtDate">
    <vt:lpwstr>23 Jun 2006</vt:lpwstr>
  </property>
  <property fmtid="{D5CDD505-2E9C-101B-9397-08002B2CF9AE}" pid="7" name="Suffix">
    <vt:lpwstr>00-c0-04</vt:lpwstr>
  </property>
</Properties>
</file>