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_Toc152669100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_Toc152669101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_Toc152669102 \h </w:instrText>
      </w:r>
      <w:r>
        <w:fldChar w:fldCharType="separate"/>
      </w:r>
      <w:r>
        <w:t>1</w:t>
      </w:r>
      <w:r>
        <w:fldChar w:fldCharType="end"/>
      </w:r>
    </w:p>
    <w:p>
      <w:pPr>
        <w:pStyle w:val="TOC8"/>
        <w:rPr>
          <w:sz w:val="24"/>
          <w:szCs w:val="24"/>
        </w:rPr>
      </w:pPr>
      <w:r>
        <w:rPr>
          <w:szCs w:val="24"/>
        </w:rPr>
        <w:t>3A.</w:t>
      </w:r>
      <w:r>
        <w:rPr>
          <w:szCs w:val="24"/>
        </w:rPr>
        <w:tab/>
        <w:t>Construction of references to time</w:t>
      </w:r>
      <w:r>
        <w:tab/>
      </w:r>
      <w:r>
        <w:fldChar w:fldCharType="begin"/>
      </w:r>
      <w:r>
        <w:instrText xml:space="preserve"> PAGEREF _Toc152669103 \h </w:instrText>
      </w:r>
      <w:r>
        <w:fldChar w:fldCharType="separate"/>
      </w:r>
      <w:r>
        <w:t>2</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_Toc152669104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_Toc152669105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_Toc152669106 \h </w:instrText>
      </w:r>
      <w:r>
        <w:fldChar w:fldCharType="separate"/>
      </w:r>
      <w:r>
        <w:t>3</w:t>
      </w:r>
      <w:r>
        <w:fldChar w:fldCharType="end"/>
      </w:r>
    </w:p>
    <w:p>
      <w:pPr>
        <w:pStyle w:val="TOC8"/>
        <w:rPr>
          <w:sz w:val="24"/>
          <w:szCs w:val="24"/>
        </w:rPr>
      </w:pPr>
      <w:r>
        <w:rPr>
          <w:szCs w:val="24"/>
        </w:rPr>
        <w:t>7.</w:t>
      </w:r>
      <w:r>
        <w:rPr>
          <w:szCs w:val="24"/>
        </w:rPr>
        <w:tab/>
        <w:t>Fees</w:t>
      </w:r>
      <w:r>
        <w:tab/>
      </w:r>
      <w:r>
        <w:fldChar w:fldCharType="begin"/>
      </w:r>
      <w:r>
        <w:instrText xml:space="preserve"> PAGEREF _Toc152669107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_Toc152669108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_Toc152669109 \h </w:instrText>
      </w:r>
      <w:r>
        <w:fldChar w:fldCharType="separate"/>
      </w:r>
      <w:r>
        <w:t>4</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_Toc152669110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_Toc152669111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rate of interest under the Act section 62(16)</w:t>
      </w:r>
      <w:r>
        <w:tab/>
      </w:r>
      <w:r>
        <w:fldChar w:fldCharType="begin"/>
      </w:r>
      <w:r>
        <w:instrText xml:space="preserve"> PAGEREF _Toc152669112 \h </w:instrText>
      </w:r>
      <w:r>
        <w:fldChar w:fldCharType="separate"/>
      </w:r>
      <w:r>
        <w:t>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Tariff L1 (general supply — low/medium voltage tariff)</w:t>
      </w:r>
      <w:r>
        <w:tab/>
      </w:r>
      <w:r>
        <w:fldChar w:fldCharType="begin"/>
      </w:r>
      <w:r>
        <w:instrText xml:space="preserve"> PAGEREF _Toc152669114 \h </w:instrText>
      </w:r>
      <w:r>
        <w:fldChar w:fldCharType="separate"/>
      </w:r>
      <w:r>
        <w:t>7</w:t>
      </w:r>
      <w:r>
        <w:fldChar w:fldCharType="end"/>
      </w:r>
    </w:p>
    <w:p>
      <w:pPr>
        <w:pStyle w:val="TOC8"/>
        <w:rPr>
          <w:sz w:val="24"/>
          <w:szCs w:val="24"/>
        </w:rPr>
      </w:pPr>
      <w:r>
        <w:rPr>
          <w:szCs w:val="22"/>
        </w:rPr>
        <w:t>2.</w:t>
      </w:r>
      <w:r>
        <w:rPr>
          <w:szCs w:val="22"/>
        </w:rPr>
        <w:tab/>
        <w:t>Tariff</w:t>
      </w:r>
      <w:r>
        <w:rPr>
          <w:snapToGrid w:val="0"/>
          <w:szCs w:val="22"/>
        </w:rPr>
        <w:t xml:space="preserve"> M1 (general supply — high voltage tariff)</w:t>
      </w:r>
      <w:r>
        <w:tab/>
      </w:r>
      <w:r>
        <w:fldChar w:fldCharType="begin"/>
      </w:r>
      <w:r>
        <w:instrText xml:space="preserve"> PAGEREF _Toc152669115 \h </w:instrText>
      </w:r>
      <w:r>
        <w:fldChar w:fldCharType="separate"/>
      </w:r>
      <w:r>
        <w:t>7</w:t>
      </w:r>
      <w:r>
        <w:fldChar w:fldCharType="end"/>
      </w:r>
    </w:p>
    <w:p>
      <w:pPr>
        <w:pStyle w:val="TOC8"/>
        <w:rPr>
          <w:sz w:val="24"/>
          <w:szCs w:val="24"/>
        </w:rPr>
      </w:pPr>
      <w:r>
        <w:rPr>
          <w:szCs w:val="22"/>
        </w:rPr>
        <w:t>3.</w:t>
      </w:r>
      <w:r>
        <w:rPr>
          <w:szCs w:val="22"/>
        </w:rPr>
        <w:tab/>
        <w:t>Tariff</w:t>
      </w:r>
      <w:r>
        <w:rPr>
          <w:snapToGrid w:val="0"/>
          <w:szCs w:val="22"/>
        </w:rPr>
        <w:t xml:space="preserve"> R1 (time of use tariff)</w:t>
      </w:r>
      <w:r>
        <w:tab/>
      </w:r>
      <w:r>
        <w:fldChar w:fldCharType="begin"/>
      </w:r>
      <w:r>
        <w:instrText xml:space="preserve"> PAGEREF _Toc152669116 \h </w:instrText>
      </w:r>
      <w:r>
        <w:fldChar w:fldCharType="separate"/>
      </w:r>
      <w:r>
        <w:t>7</w:t>
      </w:r>
      <w:r>
        <w:fldChar w:fldCharType="end"/>
      </w:r>
    </w:p>
    <w:p>
      <w:pPr>
        <w:pStyle w:val="TOC8"/>
        <w:rPr>
          <w:sz w:val="24"/>
          <w:szCs w:val="24"/>
        </w:rPr>
      </w:pPr>
      <w:r>
        <w:rPr>
          <w:szCs w:val="22"/>
        </w:rPr>
        <w:t>4.</w:t>
      </w:r>
      <w:r>
        <w:rPr>
          <w:szCs w:val="22"/>
        </w:rPr>
        <w:tab/>
        <w:t xml:space="preserve">Tariff </w:t>
      </w:r>
      <w:r>
        <w:rPr>
          <w:snapToGrid w:val="0"/>
          <w:szCs w:val="22"/>
        </w:rPr>
        <w:t>S1 (low/medium voltage time based demand and energy Tariff)</w:t>
      </w:r>
      <w:r>
        <w:tab/>
      </w:r>
      <w:r>
        <w:fldChar w:fldCharType="begin"/>
      </w:r>
      <w:r>
        <w:instrText xml:space="preserve"> PAGEREF _Toc152669117 \h </w:instrText>
      </w:r>
      <w:r>
        <w:fldChar w:fldCharType="separate"/>
      </w:r>
      <w:r>
        <w:t>8</w:t>
      </w:r>
      <w:r>
        <w:fldChar w:fldCharType="end"/>
      </w:r>
    </w:p>
    <w:p>
      <w:pPr>
        <w:pStyle w:val="TOC8"/>
        <w:rPr>
          <w:sz w:val="24"/>
          <w:szCs w:val="24"/>
        </w:rPr>
      </w:pPr>
      <w:r>
        <w:rPr>
          <w:szCs w:val="22"/>
        </w:rPr>
        <w:t>5.</w:t>
      </w:r>
      <w:r>
        <w:rPr>
          <w:szCs w:val="22"/>
        </w:rPr>
        <w:tab/>
        <w:t>Tariff</w:t>
      </w:r>
      <w:r>
        <w:rPr>
          <w:snapToGrid w:val="0"/>
          <w:szCs w:val="22"/>
        </w:rPr>
        <w:t xml:space="preserve"> T1 (high voltage time based demand and energy tariff)</w:t>
      </w:r>
      <w:r>
        <w:tab/>
      </w:r>
      <w:r>
        <w:fldChar w:fldCharType="begin"/>
      </w:r>
      <w:r>
        <w:instrText xml:space="preserve"> PAGEREF _Toc152669118 \h </w:instrText>
      </w:r>
      <w:r>
        <w:fldChar w:fldCharType="separate"/>
      </w:r>
      <w:r>
        <w:t>8</w:t>
      </w:r>
      <w:r>
        <w:fldChar w:fldCharType="end"/>
      </w:r>
    </w:p>
    <w:p>
      <w:pPr>
        <w:pStyle w:val="TOC8"/>
        <w:rPr>
          <w:sz w:val="24"/>
          <w:szCs w:val="24"/>
        </w:rPr>
      </w:pPr>
      <w:r>
        <w:rPr>
          <w:szCs w:val="22"/>
        </w:rPr>
        <w:t>6.</w:t>
      </w:r>
      <w:r>
        <w:rPr>
          <w:szCs w:val="22"/>
        </w:rPr>
        <w:tab/>
        <w:t>Standby charges</w:t>
      </w:r>
      <w:r>
        <w:tab/>
      </w:r>
      <w:r>
        <w:fldChar w:fldCharType="begin"/>
      </w:r>
      <w:r>
        <w:instrText xml:space="preserve"> PAGEREF _Toc152669119 \h </w:instrText>
      </w:r>
      <w:r>
        <w:fldChar w:fldCharType="separate"/>
      </w:r>
      <w:r>
        <w:t>9</w:t>
      </w:r>
      <w:r>
        <w:fldChar w:fldCharType="end"/>
      </w:r>
    </w:p>
    <w:p>
      <w:pPr>
        <w:pStyle w:val="TOC8"/>
        <w:rPr>
          <w:sz w:val="24"/>
          <w:szCs w:val="24"/>
        </w:rPr>
      </w:pPr>
      <w:r>
        <w:rPr>
          <w:szCs w:val="22"/>
        </w:rPr>
        <w:t>7.</w:t>
      </w:r>
      <w:r>
        <w:rPr>
          <w:szCs w:val="22"/>
        </w:rPr>
        <w:tab/>
        <w:t>Tariff</w:t>
      </w:r>
      <w:r>
        <w:rPr>
          <w:snapToGrid w:val="0"/>
          <w:szCs w:val="22"/>
        </w:rPr>
        <w:t xml:space="preserve"> A1 (residential tariff)</w:t>
      </w:r>
      <w:r>
        <w:tab/>
      </w:r>
      <w:r>
        <w:fldChar w:fldCharType="begin"/>
      </w:r>
      <w:r>
        <w:instrText xml:space="preserve"> PAGEREF _Toc152669120 \h </w:instrText>
      </w:r>
      <w:r>
        <w:fldChar w:fldCharType="separate"/>
      </w:r>
      <w:r>
        <w:t>11</w:t>
      </w:r>
      <w:r>
        <w:fldChar w:fldCharType="end"/>
      </w:r>
    </w:p>
    <w:p>
      <w:pPr>
        <w:pStyle w:val="TOC8"/>
        <w:rPr>
          <w:sz w:val="24"/>
          <w:szCs w:val="24"/>
        </w:rPr>
      </w:pPr>
      <w:r>
        <w:rPr>
          <w:szCs w:val="22"/>
        </w:rPr>
        <w:lastRenderedPageBreak/>
        <w:t>8.</w:t>
      </w:r>
      <w:r>
        <w:rPr>
          <w:szCs w:val="22"/>
        </w:rPr>
        <w:tab/>
        <w:t>Tariff</w:t>
      </w:r>
      <w:r>
        <w:rPr>
          <w:snapToGrid w:val="0"/>
          <w:szCs w:val="22"/>
        </w:rPr>
        <w:t xml:space="preserve"> B1 (residential water heating tariff)</w:t>
      </w:r>
      <w:r>
        <w:tab/>
      </w:r>
      <w:r>
        <w:fldChar w:fldCharType="begin"/>
      </w:r>
      <w:r>
        <w:instrText xml:space="preserve"> PAGEREF _Toc152669121 \h </w:instrText>
      </w:r>
      <w:r>
        <w:fldChar w:fldCharType="separate"/>
      </w:r>
      <w:r>
        <w:t>11</w:t>
      </w:r>
      <w:r>
        <w:fldChar w:fldCharType="end"/>
      </w:r>
    </w:p>
    <w:p>
      <w:pPr>
        <w:pStyle w:val="TOC8"/>
        <w:rPr>
          <w:sz w:val="24"/>
          <w:szCs w:val="24"/>
        </w:rPr>
      </w:pPr>
      <w:r>
        <w:rPr>
          <w:szCs w:val="22"/>
        </w:rPr>
        <w:t>9.</w:t>
      </w:r>
      <w:r>
        <w:rPr>
          <w:szCs w:val="22"/>
        </w:rPr>
        <w:tab/>
        <w:t>Tariff</w:t>
      </w:r>
      <w:r>
        <w:rPr>
          <w:snapToGrid w:val="0"/>
          <w:szCs w:val="22"/>
        </w:rPr>
        <w:t xml:space="preserve"> C1 (special community service tariff)</w:t>
      </w:r>
      <w:r>
        <w:tab/>
      </w:r>
      <w:r>
        <w:fldChar w:fldCharType="begin"/>
      </w:r>
      <w:r>
        <w:instrText xml:space="preserve"> PAGEREF _Toc152669122 \h </w:instrText>
      </w:r>
      <w:r>
        <w:fldChar w:fldCharType="separate"/>
      </w:r>
      <w:r>
        <w:t>12</w:t>
      </w:r>
      <w:r>
        <w:fldChar w:fldCharType="end"/>
      </w:r>
    </w:p>
    <w:p>
      <w:pPr>
        <w:pStyle w:val="TOC8"/>
        <w:rPr>
          <w:sz w:val="24"/>
          <w:szCs w:val="24"/>
        </w:rPr>
      </w:pPr>
      <w:r>
        <w:rPr>
          <w:szCs w:val="22"/>
        </w:rPr>
        <w:t>10.</w:t>
      </w:r>
      <w:r>
        <w:rPr>
          <w:szCs w:val="22"/>
        </w:rPr>
        <w:tab/>
        <w:t xml:space="preserve">Tariff </w:t>
      </w:r>
      <w:r>
        <w:rPr>
          <w:snapToGrid w:val="0"/>
          <w:szCs w:val="22"/>
        </w:rPr>
        <w:t>D1 (special tariff for certain premises)</w:t>
      </w:r>
      <w:r>
        <w:tab/>
      </w:r>
      <w:r>
        <w:fldChar w:fldCharType="begin"/>
      </w:r>
      <w:r>
        <w:instrText xml:space="preserve"> PAGEREF _Toc152669123 \h </w:instrText>
      </w:r>
      <w:r>
        <w:fldChar w:fldCharType="separate"/>
      </w:r>
      <w:r>
        <w:t>12</w:t>
      </w:r>
      <w:r>
        <w:fldChar w:fldCharType="end"/>
      </w:r>
    </w:p>
    <w:p>
      <w:pPr>
        <w:pStyle w:val="TOC8"/>
        <w:rPr>
          <w:sz w:val="24"/>
          <w:szCs w:val="24"/>
        </w:rPr>
      </w:pPr>
      <w:r>
        <w:rPr>
          <w:szCs w:val="22"/>
        </w:rPr>
        <w:t>11.</w:t>
      </w:r>
      <w:r>
        <w:rPr>
          <w:szCs w:val="22"/>
        </w:rPr>
        <w:tab/>
        <w:t>Tariff</w:t>
      </w:r>
      <w:r>
        <w:rPr>
          <w:snapToGrid w:val="0"/>
          <w:szCs w:val="22"/>
        </w:rPr>
        <w:t xml:space="preserve"> K1 (general supply with residential tariff)</w:t>
      </w:r>
      <w:r>
        <w:tab/>
      </w:r>
      <w:r>
        <w:fldChar w:fldCharType="begin"/>
      </w:r>
      <w:r>
        <w:instrText xml:space="preserve"> PAGEREF _Toc152669124 \h </w:instrText>
      </w:r>
      <w:r>
        <w:fldChar w:fldCharType="separate"/>
      </w:r>
      <w:r>
        <w:t>13</w:t>
      </w:r>
      <w:r>
        <w:fldChar w:fldCharType="end"/>
      </w:r>
    </w:p>
    <w:p>
      <w:pPr>
        <w:pStyle w:val="TOC8"/>
        <w:rPr>
          <w:sz w:val="24"/>
          <w:szCs w:val="24"/>
        </w:rPr>
      </w:pPr>
      <w:r>
        <w:rPr>
          <w:szCs w:val="22"/>
        </w:rPr>
        <w:t>12.</w:t>
      </w:r>
      <w:r>
        <w:rPr>
          <w:szCs w:val="22"/>
        </w:rPr>
        <w:tab/>
        <w:t>Tariff</w:t>
      </w:r>
      <w:r>
        <w:rPr>
          <w:snapToGrid w:val="0"/>
          <w:szCs w:val="22"/>
        </w:rPr>
        <w:t xml:space="preserve"> W1 (t</w:t>
      </w:r>
      <w:r>
        <w:rPr>
          <w:bCs/>
          <w:iCs/>
          <w:snapToGrid w:val="0"/>
          <w:szCs w:val="22"/>
        </w:rPr>
        <w:t>raffic light installations)</w:t>
      </w:r>
      <w:r>
        <w:tab/>
      </w:r>
      <w:r>
        <w:fldChar w:fldCharType="begin"/>
      </w:r>
      <w:r>
        <w:instrText xml:space="preserve"> PAGEREF _Toc152669125 \h </w:instrText>
      </w:r>
      <w:r>
        <w:fldChar w:fldCharType="separate"/>
      </w:r>
      <w:r>
        <w:t>13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_Toc152669130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15266910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15266910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152669102"/>
      <w:r>
        <w:rPr>
          <w:rStyle w:val="CharSectno"/>
        </w:rPr>
        <w:t>3</w:t>
      </w:r>
      <w:r>
        <w:t>.</w:t>
      </w:r>
      <w:r>
        <w:tab/>
      </w:r>
      <w:bookmarkEnd w:id="19"/>
      <w:bookmarkEnd w:id="20"/>
      <w:bookmarkEnd w:id="21"/>
      <w:bookmarkEnd w:id="22"/>
      <w:bookmarkEnd w:id="23"/>
      <w:bookmarkEnd w:id="24"/>
      <w:bookmarkEnd w:id="25"/>
      <w:r>
        <w:rPr>
          <w:snapToGrid w:val="0"/>
        </w:rPr>
        <w:t>Terms used in these by</w:t>
      </w:r>
      <w:r>
        <w:rPr>
          <w:snapToGrid w:val="0"/>
        </w:rPr>
        <w:noBreakHyphen/>
        <w:t>laws</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t>“</w:t>
      </w:r>
      <w:r>
        <w:rPr>
          <w:rStyle w:val="CharDefText"/>
        </w:rPr>
        <w:t>corporation</w:t>
      </w:r>
      <w:r>
        <w:rPr>
          <w:b/>
        </w:rPr>
        <w:t>”</w:t>
      </w:r>
      <w:r>
        <w:t xml:space="preserve"> means the body established by the </w:t>
      </w:r>
      <w:r>
        <w:rPr>
          <w:i/>
        </w:rPr>
        <w:t>Electricity Corporations Act 2005</w:t>
      </w:r>
      <w:r>
        <w:t xml:space="preserve"> section 4(1)(c);</w:t>
      </w:r>
    </w:p>
    <w:p>
      <w:pPr>
        <w:pStyle w:val="Defstart"/>
      </w:pPr>
      <w:r>
        <w:rPr>
          <w:b/>
        </w:rPr>
        <w:tab/>
        <w:t>“</w:t>
      </w:r>
      <w:r>
        <w:rPr>
          <w:rStyle w:val="CharDefText"/>
        </w:rPr>
        <w:t>dwelling</w:t>
      </w:r>
      <w:r>
        <w:rPr>
          <w:b/>
        </w:rPr>
        <w:t>”</w:t>
      </w:r>
      <w:r>
        <w:t xml:space="preserve"> means a house, flat, home unit or other place of residence used solely for residential purposes;</w:t>
      </w:r>
    </w:p>
    <w:p>
      <w:pPr>
        <w:pStyle w:val="Defstart"/>
      </w:pPr>
      <w:r>
        <w:rPr>
          <w:b/>
        </w:rPr>
        <w:tab/>
        <w:t>“</w:t>
      </w:r>
      <w:r>
        <w:rPr>
          <w:rStyle w:val="CharDefText"/>
        </w:rPr>
        <w:t>half</w:t>
      </w:r>
      <w:r>
        <w:rPr>
          <w:rStyle w:val="CharDefText"/>
        </w:rPr>
        <w:noBreakHyphen/>
        <w:t>hourly maximum demand</w:t>
      </w:r>
      <w:r>
        <w:rPr>
          <w:b/>
        </w:rPr>
        <w:t>”</w:t>
      </w:r>
      <w:r>
        <w:t xml:space="preserve"> means the maximum demand in kilowatts recorded during the accounting period concerned in any period of half an hour;</w:t>
      </w:r>
    </w:p>
    <w:p>
      <w:pPr>
        <w:pStyle w:val="Defstart"/>
      </w:pPr>
      <w:r>
        <w:rPr>
          <w:b/>
        </w:rPr>
        <w:tab/>
        <w:t>“</w:t>
      </w:r>
      <w:r>
        <w:rPr>
          <w:rStyle w:val="CharDefText"/>
        </w:rPr>
        <w:t>off peak</w:t>
      </w:r>
      <w:r>
        <w:rPr>
          <w:b/>
        </w:rPr>
        <w:t>”</w:t>
      </w:r>
      <w:r>
        <w:t xml:space="preserve"> means any period other than on peak;</w:t>
      </w:r>
    </w:p>
    <w:p>
      <w:pPr>
        <w:pStyle w:val="Defstart"/>
      </w:pPr>
      <w:r>
        <w:rPr>
          <w:b/>
        </w:rPr>
        <w:tab/>
        <w:t>“</w:t>
      </w:r>
      <w:r>
        <w:rPr>
          <w:rStyle w:val="CharDefText"/>
        </w:rPr>
        <w:t>on peak</w:t>
      </w:r>
      <w:r>
        <w:rPr>
          <w:b/>
        </w:rPr>
        <w:t>”</w:t>
      </w:r>
      <w:r>
        <w:t xml:space="preserve"> means the periods between 8.00 a.m. and 10.00 p.m. Monday to Friday;</w:t>
      </w:r>
    </w:p>
    <w:p>
      <w:pPr>
        <w:pStyle w:val="Defstart"/>
      </w:pPr>
      <w:r>
        <w:rPr>
          <w:b/>
        </w:rPr>
        <w:tab/>
        <w:t>“</w:t>
      </w:r>
      <w:r>
        <w:rPr>
          <w:rStyle w:val="CharDefText"/>
        </w:rPr>
        <w:t>residential tarif</w:t>
      </w:r>
      <w:r>
        <w:rPr>
          <w:rStyle w:val="CharDefText"/>
          <w:rFonts w:ascii="Times" w:hAnsi="Times"/>
          <w:spacing w:val="40"/>
        </w:rPr>
        <w:t>f</w:t>
      </w:r>
      <w:r>
        <w:rPr>
          <w:b/>
        </w:rPr>
        <w:t>”</w:t>
      </w:r>
      <w:r>
        <w:t xml:space="preserve"> means Tariff A1 or B1;</w:t>
      </w:r>
    </w:p>
    <w:p>
      <w:pPr>
        <w:pStyle w:val="Defstart"/>
      </w:pPr>
      <w:r>
        <w:rPr>
          <w:b/>
        </w:rPr>
        <w:tab/>
        <w:t>“</w:t>
      </w:r>
      <w:r>
        <w:rPr>
          <w:rStyle w:val="CharDefText"/>
        </w:rPr>
        <w:t>Tarif</w:t>
      </w:r>
      <w:r>
        <w:rPr>
          <w:rStyle w:val="CharDefText"/>
          <w:rFonts w:ascii="Times" w:hAnsi="Times"/>
          <w:spacing w:val="40"/>
        </w:rPr>
        <w:t>f</w:t>
      </w:r>
      <w:r>
        <w:rPr>
          <w:b/>
        </w:rPr>
        <w:t>”</w:t>
      </w:r>
      <w:r>
        <w:t xml:space="preserve"> followed by a designation means the tariff so designated in Schedule 1;</w:t>
      </w:r>
    </w:p>
    <w:p>
      <w:pPr>
        <w:pStyle w:val="Defstart"/>
      </w:pPr>
      <w:r>
        <w:rPr>
          <w:b/>
        </w:rPr>
        <w:tab/>
        <w:t>“</w:t>
      </w:r>
      <w:r>
        <w:rPr>
          <w:rStyle w:val="CharDefText"/>
        </w:rPr>
        <w:t>unit</w:t>
      </w:r>
      <w:r>
        <w:rPr>
          <w:b/>
        </w:rPr>
        <w:t>”</w:t>
      </w:r>
      <w:r>
        <w:t>, in relation to a charge for electricity, means one kilowatt hour.</w:t>
      </w:r>
    </w:p>
    <w:p>
      <w:pPr>
        <w:pStyle w:val="Heading5"/>
      </w:pPr>
      <w:bookmarkStart w:id="28" w:name="_Toc152669103"/>
      <w:bookmarkStart w:id="29" w:name="_Toc486232664"/>
      <w:bookmarkStart w:id="30" w:name="_Toc509735409"/>
      <w:bookmarkStart w:id="31" w:name="_Toc511625641"/>
      <w:bookmarkStart w:id="32" w:name="_Toc512237523"/>
      <w:bookmarkStart w:id="33" w:name="_Toc512935995"/>
      <w:bookmarkStart w:id="34" w:name="_Toc44470744"/>
      <w:bookmarkStart w:id="35" w:name="_Toc63831848"/>
      <w:bookmarkStart w:id="36" w:name="_Toc128282856"/>
      <w:r>
        <w:rPr>
          <w:rStyle w:val="CharSectno"/>
        </w:rPr>
        <w:t>3A</w:t>
      </w:r>
      <w:r>
        <w:t>.</w:t>
      </w:r>
      <w:r>
        <w:tab/>
        <w:t>Construction of references to time</w:t>
      </w:r>
      <w:bookmarkEnd w:id="28"/>
    </w:p>
    <w:p>
      <w:pPr>
        <w:pStyle w:val="Subsection"/>
      </w:pPr>
      <w:r>
        <w:tab/>
        <w:t>(1)</w:t>
      </w:r>
      <w:r>
        <w:tab/>
        <w:t>In this by</w:t>
      </w:r>
      <w:r>
        <w:noBreakHyphen/>
        <w:t xml:space="preserve">law — </w:t>
      </w:r>
    </w:p>
    <w:p>
      <w:pPr>
        <w:pStyle w:val="Defstart"/>
      </w:pPr>
      <w:r>
        <w:rPr>
          <w:b/>
        </w:rPr>
        <w:tab/>
        <w:t>“</w:t>
      </w:r>
      <w:r>
        <w:rPr>
          <w:rStyle w:val="CharDefText"/>
        </w:rPr>
        <w:t>standard time</w:t>
      </w:r>
      <w:r>
        <w:rPr>
          <w:b/>
        </w:rPr>
        <w:t>”</w:t>
      </w:r>
      <w:r>
        <w:t xml:space="preserve"> and </w:t>
      </w:r>
      <w:r>
        <w:rPr>
          <w:b/>
        </w:rPr>
        <w:t>“</w:t>
      </w:r>
      <w:r>
        <w:rPr>
          <w:rStyle w:val="CharDefText"/>
        </w:rPr>
        <w:t>summer time</w:t>
      </w:r>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[By-law 3A inserted in Gazette 1 Dec 2006 p. 5349</w:t>
      </w:r>
      <w:r>
        <w:noBreakHyphen/>
        <w:t>50.]</w:t>
      </w:r>
    </w:p>
    <w:p>
      <w:pPr>
        <w:pStyle w:val="Heading5"/>
        <w:rPr>
          <w:snapToGrid w:val="0"/>
        </w:rPr>
      </w:pPr>
      <w:bookmarkStart w:id="37" w:name="_Toc152669104"/>
      <w:r>
        <w:rPr>
          <w:rStyle w:val="CharSectno"/>
        </w:rPr>
        <w:t>4</w:t>
      </w:r>
      <w:r>
        <w:t>.</w:t>
      </w:r>
      <w:r>
        <w:tab/>
      </w:r>
      <w:r>
        <w:rPr>
          <w:snapToGrid w:val="0"/>
        </w:rPr>
        <w:t>Electricity charges</w:t>
      </w:r>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8" w:name="_Toc128282857"/>
      <w:bookmarkStart w:id="39" w:name="_Toc152669105"/>
      <w:r>
        <w:rPr>
          <w:rStyle w:val="CharSectno"/>
        </w:rPr>
        <w:t>5</w:t>
      </w:r>
      <w:r>
        <w:t>.</w:t>
      </w:r>
      <w:r>
        <w:tab/>
        <w:t>Application of residential tariffs</w:t>
      </w:r>
      <w:bookmarkEnd w:id="38"/>
      <w:bookmarkEnd w:id="3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40" w:name="_Toc128282858"/>
      <w:bookmarkStart w:id="41" w:name="_Toc152669106"/>
      <w:r>
        <w:rPr>
          <w:rStyle w:val="CharSectno"/>
        </w:rPr>
        <w:t>6</w:t>
      </w:r>
      <w:r>
        <w:t>.</w:t>
      </w:r>
      <w:r>
        <w:tab/>
        <w:t>Meter rental</w:t>
      </w:r>
      <w:bookmarkEnd w:id="40"/>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2" w:name="_Toc128282859"/>
      <w:bookmarkStart w:id="43" w:name="_Toc152669107"/>
      <w:r>
        <w:rPr>
          <w:rStyle w:val="CharSectno"/>
        </w:rPr>
        <w:t>7</w:t>
      </w:r>
      <w:r>
        <w:t>.</w:t>
      </w:r>
      <w:r>
        <w:tab/>
        <w:t>Fees</w:t>
      </w:r>
      <w:bookmarkEnd w:id="42"/>
      <w:bookmarkEnd w:id="43"/>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4" w:name="_Toc128282860"/>
      <w:bookmarkStart w:id="45" w:name="_Toc152669108"/>
      <w:r>
        <w:rPr>
          <w:rStyle w:val="CharSectno"/>
        </w:rPr>
        <w:t>8</w:t>
      </w:r>
      <w:r>
        <w:t>.</w:t>
      </w:r>
      <w:r>
        <w:tab/>
        <w:t>Payment</w:t>
      </w:r>
      <w:bookmarkEnd w:id="44"/>
      <w:bookmarkEnd w:id="45"/>
    </w:p>
    <w:p>
      <w:pPr>
        <w:pStyle w:val="Subsection"/>
      </w:pPr>
      <w:r>
        <w:tab/>
        <w:t>(1)</w:t>
      </w:r>
      <w:r>
        <w:tab/>
        <w:t>In this by</w:t>
      </w:r>
      <w:r>
        <w:noBreakHyphen/>
        <w:t xml:space="preserve">law — </w:t>
      </w:r>
    </w:p>
    <w:p>
      <w:pPr>
        <w:pStyle w:val="Defstart"/>
      </w:pPr>
      <w:r>
        <w:rPr>
          <w:b/>
        </w:rPr>
        <w:tab/>
        <w:t>“</w:t>
      </w:r>
      <w:r>
        <w:rPr>
          <w:rStyle w:val="CharDefText"/>
        </w:rPr>
        <w:t>relevant period</w:t>
      </w:r>
      <w:r>
        <w:rPr>
          <w:b/>
        </w:rPr>
        <w:t>”</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46" w:name="_Toc128282861"/>
      <w:bookmarkStart w:id="47" w:name="_Toc152669109"/>
      <w:r>
        <w:rPr>
          <w:rStyle w:val="CharSectno"/>
        </w:rPr>
        <w:t>9</w:t>
      </w:r>
      <w:r>
        <w:t>.</w:t>
      </w:r>
      <w:r>
        <w:tab/>
        <w:t>Rebates and reduced fees</w:t>
      </w:r>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t>“</w:t>
      </w:r>
      <w:r>
        <w:rPr>
          <w:rStyle w:val="CharDefText"/>
        </w:rPr>
        <w:t>eligible person</w:t>
      </w:r>
      <w:r>
        <w:rPr>
          <w:b/>
        </w:rPr>
        <w:t>”</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8" w:name="_Toc128282862"/>
      <w:bookmarkStart w:id="49" w:name="_Toc152669110"/>
      <w:r>
        <w:rPr>
          <w:rStyle w:val="CharSectno"/>
        </w:rPr>
        <w:t>10</w:t>
      </w:r>
      <w:r>
        <w:t>.</w:t>
      </w:r>
      <w:r>
        <w:tab/>
        <w:t>Calculation of charges</w:t>
      </w:r>
      <w:bookmarkEnd w:id="48"/>
      <w:bookmarkEnd w:id="4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0" w:name="_Toc128282863"/>
      <w:bookmarkStart w:id="51" w:name="_Toc152669111"/>
      <w:r>
        <w:rPr>
          <w:rStyle w:val="CharSectno"/>
        </w:rPr>
        <w:t>11</w:t>
      </w:r>
      <w:r>
        <w:t>.</w:t>
      </w:r>
      <w:r>
        <w:tab/>
        <w:t>Changes in rates</w:t>
      </w:r>
      <w:bookmarkEnd w:id="50"/>
      <w:bookmarkEnd w:id="5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52" w:name="_Toc486232672"/>
      <w:bookmarkStart w:id="53" w:name="_Toc509735417"/>
      <w:bookmarkStart w:id="54" w:name="_Toc511625649"/>
      <w:bookmarkStart w:id="55" w:name="_Toc512237531"/>
      <w:bookmarkStart w:id="56" w:name="_Toc512936003"/>
      <w:bookmarkStart w:id="57" w:name="_Toc44470752"/>
      <w:bookmarkStart w:id="58" w:name="_Toc63831856"/>
      <w:bookmarkStart w:id="59" w:name="_Toc128282864"/>
      <w:bookmarkStart w:id="60" w:name="_Toc152669112"/>
      <w:r>
        <w:rPr>
          <w:rStyle w:val="CharSectno"/>
        </w:rPr>
        <w:t>12</w:t>
      </w:r>
      <w:r>
        <w:rPr>
          <w:snapToGrid w:val="0"/>
        </w:rPr>
        <w:t>.</w:t>
      </w:r>
      <w:r>
        <w:rPr>
          <w:snapToGrid w:val="0"/>
        </w:rPr>
        <w:tab/>
        <w:t>Prescribed rate of interest under the Act section 62(16)</w:t>
      </w:r>
      <w:bookmarkEnd w:id="52"/>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1" w:name="_Toc123621758"/>
      <w:bookmarkStart w:id="62" w:name="_Toc123621905"/>
      <w:bookmarkStart w:id="63" w:name="_Toc123624865"/>
      <w:bookmarkStart w:id="64" w:name="_Toc123624932"/>
      <w:bookmarkStart w:id="65" w:name="_Toc123626278"/>
      <w:bookmarkStart w:id="66" w:name="_Toc123629882"/>
      <w:bookmarkStart w:id="67" w:name="_Toc124135799"/>
      <w:bookmarkStart w:id="68" w:name="_Toc124137266"/>
      <w:bookmarkStart w:id="69" w:name="_Toc124147434"/>
      <w:bookmarkStart w:id="70" w:name="_Toc124147471"/>
      <w:bookmarkStart w:id="71" w:name="_Toc124158782"/>
      <w:bookmarkStart w:id="72" w:name="_Toc124158889"/>
      <w:bookmarkStart w:id="73" w:name="_Toc124158923"/>
      <w:bookmarkStart w:id="74" w:name="_Toc124216304"/>
      <w:bookmarkStart w:id="75" w:name="_Toc124227057"/>
      <w:bookmarkStart w:id="76" w:name="_Toc124227150"/>
      <w:bookmarkStart w:id="77" w:name="_Toc124234413"/>
      <w:bookmarkStart w:id="78" w:name="_Toc124234762"/>
      <w:bookmarkStart w:id="79" w:name="_Toc124234802"/>
      <w:bookmarkStart w:id="80" w:name="_Toc124934218"/>
      <w:bookmarkStart w:id="81" w:name="_Toc125279668"/>
      <w:bookmarkStart w:id="82" w:name="_Toc127067095"/>
      <w:bookmarkStart w:id="83" w:name="_Toc127076298"/>
      <w:bookmarkStart w:id="84" w:name="_Toc127085631"/>
      <w:bookmarkStart w:id="85" w:name="_Toc127086723"/>
      <w:bookmarkStart w:id="86" w:name="_Toc127671666"/>
      <w:bookmarkStart w:id="87" w:name="_Toc127690043"/>
      <w:bookmarkStart w:id="88" w:name="_Toc127699324"/>
      <w:bookmarkStart w:id="89" w:name="_Toc127760416"/>
      <w:bookmarkStart w:id="90" w:name="_Toc127760444"/>
      <w:bookmarkStart w:id="91" w:name="_Toc127946766"/>
      <w:bookmarkStart w:id="92" w:name="_Toc127960799"/>
      <w:bookmarkStart w:id="93" w:name="_Toc127960827"/>
      <w:bookmarkStart w:id="94" w:name="_Toc128190501"/>
      <w:bookmarkStart w:id="95" w:name="_Toc128196173"/>
      <w:bookmarkStart w:id="96" w:name="_Toc128197592"/>
      <w:bookmarkStart w:id="97" w:name="_Toc128282865"/>
      <w:bookmarkStart w:id="98" w:name="_Toc131490113"/>
      <w:bookmarkStart w:id="99" w:name="_Toc131491073"/>
      <w:bookmarkStart w:id="100" w:name="_Toc152664682"/>
      <w:bookmarkStart w:id="101" w:name="_Toc152669113"/>
      <w:r>
        <w:rPr>
          <w:rStyle w:val="CharSchNo"/>
        </w:rPr>
        <w:t>Schedule 1</w:t>
      </w:r>
      <w:r>
        <w:rPr>
          <w:rStyle w:val="CharSDivNo"/>
        </w:rPr>
        <w:t> </w:t>
      </w:r>
      <w:r>
        <w:t>—</w:t>
      </w:r>
      <w:r>
        <w:rPr>
          <w:rStyle w:val="CharSDivText"/>
        </w:rPr>
        <w:t> </w:t>
      </w:r>
      <w:r>
        <w:rPr>
          <w:rStyle w:val="CharSchText"/>
        </w:rPr>
        <w:t>Supply charges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yShoulderClause"/>
      </w:pPr>
      <w:r>
        <w:t>[bl. 3, 4(1) and 10(1)]</w:t>
      </w:r>
    </w:p>
    <w:p>
      <w:pPr>
        <w:pStyle w:val="yHeading5"/>
      </w:pPr>
      <w:bookmarkStart w:id="102" w:name="_Toc128282866"/>
      <w:bookmarkStart w:id="103" w:name="_Toc152669114"/>
      <w:r>
        <w:rPr>
          <w:rStyle w:val="CharSClsNo"/>
        </w:rPr>
        <w:t>1</w:t>
      </w:r>
      <w:r>
        <w:t>.</w:t>
      </w:r>
      <w:r>
        <w:tab/>
        <w:t>Tariff L1 (general supply — low/medium voltage tariff)</w:t>
      </w:r>
      <w:bookmarkEnd w:id="102"/>
      <w:bookmarkEnd w:id="10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04" w:name="_Toc124224962"/>
      <w:bookmarkStart w:id="105" w:name="_Toc128282867"/>
      <w:bookmarkStart w:id="106" w:name="_Toc152669115"/>
      <w:r>
        <w:rPr>
          <w:rStyle w:val="CharSClsNo"/>
        </w:rPr>
        <w:t>2</w:t>
      </w:r>
      <w:r>
        <w:t>.</w:t>
      </w:r>
      <w:r>
        <w:tab/>
        <w:t>Tariff</w:t>
      </w:r>
      <w:r>
        <w:rPr>
          <w:snapToGrid w:val="0"/>
        </w:rPr>
        <w:t xml:space="preserve"> M1 (general supply — high voltage tariff)</w:t>
      </w:r>
      <w:bookmarkEnd w:id="104"/>
      <w:bookmarkEnd w:id="105"/>
      <w:bookmarkEnd w:id="106"/>
    </w:p>
    <w:p>
      <w:pPr>
        <w:pStyle w:val="ySubsection"/>
      </w:pPr>
      <w:r>
        <w:tab/>
        <w:t>(1)</w:t>
      </w:r>
      <w:r>
        <w:tab/>
        <w:t>Tariff M1 is available for consumers supplied at 6.6kV, 11kV, 22kV or 33kV or such higher voltage as the corporation may approve.</w:t>
      </w:r>
    </w:p>
    <w:p>
      <w:pPr>
        <w:pStyle w:val="ySubsection"/>
      </w:pPr>
      <w:r>
        <w:tab/>
        <w:t>(2)</w:t>
      </w:r>
      <w:r>
        <w:tab/>
        <w:t xml:space="preserve">Tariff M1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rPr>
          <w:snapToGrid w:val="0"/>
        </w:rPr>
      </w:pPr>
      <w:bookmarkStart w:id="107" w:name="_Toc128282868"/>
      <w:bookmarkStart w:id="108" w:name="_Toc152669116"/>
      <w:r>
        <w:rPr>
          <w:rStyle w:val="CharSClsNo"/>
        </w:rPr>
        <w:t>3</w:t>
      </w:r>
      <w:r>
        <w:t>.</w:t>
      </w:r>
      <w:r>
        <w:tab/>
        <w:t>Tariff</w:t>
      </w:r>
      <w:r>
        <w:rPr>
          <w:snapToGrid w:val="0"/>
        </w:rPr>
        <w:t xml:space="preserve"> R1 (time of use tariff)</w:t>
      </w:r>
      <w:bookmarkEnd w:id="107"/>
      <w:bookmarkEnd w:id="108"/>
    </w:p>
    <w:p>
      <w:pPr>
        <w:pStyle w:val="ySubsection"/>
        <w:rPr>
          <w:snapToGrid w:val="0"/>
        </w:rPr>
      </w:pPr>
      <w:r>
        <w:rPr>
          <w:snapToGrid w:val="0"/>
        </w:rPr>
        <w:tab/>
        <w:t>(1)</w:t>
      </w:r>
      <w:r>
        <w:rPr>
          <w:snapToGrid w:val="0"/>
        </w:rPr>
        <w:tab/>
      </w:r>
      <w:r>
        <w:t>Tariff R1 comprises a</w:t>
      </w:r>
      <w:r>
        <w:rPr>
          <w:snapToGrid w:val="0"/>
        </w:rPr>
        <w:t xml:space="preserve"> fixed charge and energy charges dependent on the time of day and day of the week. It is subject to the conditions that the consumer agrees to take the tariff for a minimum of 12 months and pays the Tariff R1 “time</w:t>
      </w:r>
      <w:r>
        <w:rPr>
          <w:snapToGrid w:val="0"/>
        </w:rPr>
        <w:noBreakHyphen/>
        <w:t>of</w:t>
      </w:r>
      <w:r>
        <w:rPr>
          <w:snapToGrid w:val="0"/>
        </w:rPr>
        <w:noBreakHyphen/>
        <w:t>use meter” installation fee set out in Schedule 4.</w:t>
      </w:r>
    </w:p>
    <w:p>
      <w:pPr>
        <w:pStyle w:val="ySubsection"/>
      </w:pPr>
      <w:r>
        <w:rPr>
          <w:snapToGrid w:val="0"/>
        </w:rPr>
        <w:tab/>
        <w:t>(2)</w:t>
      </w:r>
      <w:r>
        <w:rPr>
          <w:snapToGrid w:val="0"/>
        </w:rPr>
        <w:tab/>
      </w:r>
      <w:r>
        <w:t xml:space="preserve">Tariff R1 comprises — </w:t>
      </w:r>
    </w:p>
    <w:p>
      <w:pPr>
        <w:pStyle w:val="yIndenta"/>
        <w:rPr>
          <w:snapToGrid w:val="0"/>
        </w:rPr>
      </w:pPr>
      <w:r>
        <w:rPr>
          <w:snapToGrid w:val="0"/>
        </w:rPr>
        <w:tab/>
        <w:t>(a)</w:t>
      </w:r>
      <w:r>
        <w:rPr>
          <w:snapToGrid w:val="0"/>
        </w:rPr>
        <w:tab/>
      </w:r>
      <w:r>
        <w:t>a fi</w:t>
      </w:r>
      <w:r>
        <w:rPr>
          <w:snapToGrid w:val="0"/>
        </w:rPr>
        <w:t>xed charge at the rate of $1.09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19.13 cents per unit; and</w:t>
      </w:r>
    </w:p>
    <w:p>
      <w:pPr>
        <w:pStyle w:val="yIndenti0"/>
        <w:rPr>
          <w:snapToGrid w:val="0"/>
        </w:rPr>
      </w:pPr>
      <w:r>
        <w:tab/>
        <w:t>(ii)</w:t>
      </w:r>
      <w:r>
        <w:tab/>
        <w:t>an off</w:t>
      </w:r>
      <w:r>
        <w:rPr>
          <w:snapToGrid w:val="0"/>
        </w:rPr>
        <w:t xml:space="preserve"> peak energy charge at the rate of 5.90 cents per unit.</w:t>
      </w:r>
    </w:p>
    <w:p>
      <w:pPr>
        <w:pStyle w:val="yHeading5"/>
        <w:rPr>
          <w:snapToGrid w:val="0"/>
        </w:rPr>
      </w:pPr>
      <w:bookmarkStart w:id="109" w:name="_Toc128282869"/>
      <w:bookmarkStart w:id="110" w:name="_Toc152669117"/>
      <w:r>
        <w:rPr>
          <w:rStyle w:val="CharSClsNo"/>
        </w:rPr>
        <w:t>4</w:t>
      </w:r>
      <w:r>
        <w:t>.</w:t>
      </w:r>
      <w:r>
        <w:tab/>
        <w:t xml:space="preserve">Tariff </w:t>
      </w:r>
      <w:r>
        <w:rPr>
          <w:snapToGrid w:val="0"/>
        </w:rPr>
        <w:t>S1 (low/medium voltage time based demand and energy Tariff)</w:t>
      </w:r>
      <w:bookmarkEnd w:id="109"/>
      <w:bookmarkEnd w:id="110"/>
    </w:p>
    <w:p>
      <w:pPr>
        <w:pStyle w:val="ySubsection"/>
        <w:rPr>
          <w:snapToGrid w:val="0"/>
        </w:rPr>
      </w:pPr>
      <w:r>
        <w:rPr>
          <w:snapToGrid w:val="0"/>
        </w:rPr>
        <w:tab/>
        <w:t>(1)</w:t>
      </w:r>
      <w:r>
        <w:rPr>
          <w:snapToGrid w:val="0"/>
        </w:rPr>
        <w:tab/>
      </w:r>
      <w:r>
        <w:t>Tariff S1</w:t>
      </w:r>
      <w:r>
        <w:rPr>
          <w:snapToGrid w:val="0"/>
        </w:rPr>
        <w:t xml:space="preserve"> is available for low/medium voltage supply.</w:t>
      </w:r>
    </w:p>
    <w:p>
      <w:pPr>
        <w:pStyle w:val="ySubsection"/>
        <w:rPr>
          <w:snapToGrid w:val="0"/>
        </w:rPr>
      </w:pPr>
      <w:r>
        <w:rPr>
          <w:snapToGrid w:val="0"/>
        </w:rPr>
        <w:tab/>
        <w:t>(2)</w:t>
      </w:r>
      <w:r>
        <w:rPr>
          <w:snapToGrid w:val="0"/>
        </w:rPr>
        <w:tab/>
        <w:t xml:space="preserve">Tariff S1 comprises — </w:t>
      </w:r>
    </w:p>
    <w:p>
      <w:pPr>
        <w:pStyle w:val="yIndenta"/>
        <w:rPr>
          <w:snapToGrid w:val="0"/>
        </w:rPr>
      </w:pPr>
      <w:r>
        <w:tab/>
        <w:t>(a)</w:t>
      </w:r>
      <w:r>
        <w:tab/>
        <w:t>a m</w:t>
      </w:r>
      <w:r>
        <w:rPr>
          <w:snapToGrid w:val="0"/>
        </w:rPr>
        <w:t>inimum charge at the rate of $229.53 per day;</w:t>
      </w:r>
    </w:p>
    <w:p>
      <w:pPr>
        <w:pStyle w:val="yIndenta"/>
        <w:rPr>
          <w:snapToGrid w:val="0"/>
        </w:rPr>
      </w:pPr>
      <w:r>
        <w:rPr>
          <w:snapToGrid w:val="0"/>
        </w:rPr>
        <w:tab/>
        <w:t>(b)</w:t>
      </w:r>
      <w:r>
        <w:rPr>
          <w:snapToGrid w:val="0"/>
        </w:rPr>
        <w:tab/>
      </w:r>
      <w:r>
        <w:t>a d</w:t>
      </w:r>
      <w:r>
        <w:rPr>
          <w:snapToGrid w:val="0"/>
        </w:rPr>
        <w:t>emand charge at the rate of 58.31 cents per day multiplied by — </w:t>
      </w:r>
    </w:p>
    <w:p>
      <w:pPr>
        <w:pStyle w:val="yIndenti0"/>
        <w:rPr>
          <w:snapToGrid w:val="0"/>
        </w:rPr>
      </w:pPr>
      <w:r>
        <w:rPr>
          <w:snapToGrid w:val="0"/>
        </w:rPr>
        <w:tab/>
        <w:t>(i)</w:t>
      </w:r>
      <w:r>
        <w:rPr>
          <w:snapToGrid w:val="0"/>
        </w:rPr>
        <w:tab/>
        <w:t>the on peak half</w:t>
      </w:r>
      <w:r>
        <w:rPr>
          <w:snapToGrid w:val="0"/>
        </w:rPr>
        <w:noBreakHyphen/>
        <w:t>hourly maximum demand; or</w:t>
      </w:r>
    </w:p>
    <w:p>
      <w:pPr>
        <w:pStyle w:val="yIndenti0"/>
        <w:rPr>
          <w:snapToGrid w:val="0"/>
        </w:rPr>
      </w:pPr>
      <w:r>
        <w:rPr>
          <w:snapToGrid w:val="0"/>
        </w:rPr>
        <w:tab/>
        <w:t>(ii)</w:t>
      </w:r>
      <w:r>
        <w:rPr>
          <w:snapToGrid w:val="0"/>
        </w:rPr>
        <w:tab/>
        <w:t>30% of the off peak half</w:t>
      </w:r>
      <w:r>
        <w:rPr>
          <w:snapToGrid w:val="0"/>
        </w:rPr>
        <w:noBreakHyphen/>
        <w:t>hourly maximum demand,</w:t>
      </w:r>
    </w:p>
    <w:p>
      <w:pPr>
        <w:pStyle w:val="yIndenta"/>
        <w:rPr>
          <w:snapToGrid w:val="0"/>
        </w:rPr>
      </w:pPr>
      <w:r>
        <w:rPr>
          <w:snapToGrid w:val="0"/>
        </w:rPr>
        <w:tab/>
      </w:r>
      <w:r>
        <w:rPr>
          <w:snapToGrid w:val="0"/>
        </w:rPr>
        <w:tab/>
        <w:t>whichever is the greater; and</w:t>
      </w:r>
    </w:p>
    <w:p>
      <w:pPr>
        <w:pStyle w:val="yIndenta"/>
      </w:pPr>
      <w:r>
        <w:tab/>
        <w:t>(c)</w:t>
      </w:r>
      <w:r>
        <w:tab/>
        <w:t xml:space="preserve">an energy charge consisting of — </w:t>
      </w:r>
    </w:p>
    <w:p>
      <w:pPr>
        <w:pStyle w:val="yIndenti0"/>
        <w:rPr>
          <w:snapToGrid w:val="0"/>
        </w:rPr>
      </w:pPr>
      <w:r>
        <w:rPr>
          <w:snapToGrid w:val="0"/>
        </w:rPr>
        <w:tab/>
        <w:t>(i)</w:t>
      </w:r>
      <w:r>
        <w:rPr>
          <w:snapToGrid w:val="0"/>
        </w:rPr>
        <w:tab/>
      </w:r>
      <w:r>
        <w:t xml:space="preserve">an </w:t>
      </w:r>
      <w:r>
        <w:rPr>
          <w:snapToGrid w:val="0"/>
        </w:rPr>
        <w:t>on peak energy charge at the rate of 8.36 cents per unit; and</w:t>
      </w:r>
    </w:p>
    <w:p>
      <w:pPr>
        <w:pStyle w:val="yIndenti0"/>
        <w:rPr>
          <w:snapToGrid w:val="0"/>
        </w:rPr>
      </w:pPr>
      <w:r>
        <w:rPr>
          <w:snapToGrid w:val="0"/>
        </w:rPr>
        <w:tab/>
        <w:t>(ii)</w:t>
      </w:r>
      <w:r>
        <w:rPr>
          <w:snapToGrid w:val="0"/>
        </w:rPr>
        <w:tab/>
      </w:r>
      <w:r>
        <w:t xml:space="preserve">an </w:t>
      </w:r>
      <w:r>
        <w:rPr>
          <w:snapToGrid w:val="0"/>
        </w:rPr>
        <w:t>off peak energy charge at the rate of 5.29 cents per unit.</w:t>
      </w:r>
    </w:p>
    <w:p>
      <w:pPr>
        <w:pStyle w:val="ySubsection"/>
        <w:rPr>
          <w:snapToGrid w:val="0"/>
        </w:rPr>
      </w:pPr>
      <w:r>
        <w:rPr>
          <w:snapToGrid w:val="0"/>
        </w:rPr>
        <w:tab/>
        <w:t>(3)</w:t>
      </w:r>
      <w:r>
        <w:rPr>
          <w:snapToGrid w:val="0"/>
        </w:rPr>
        <w:tab/>
        <w:t xml:space="preserve">Tariff S1 is subject to the following conditions — </w:t>
      </w:r>
    </w:p>
    <w:p>
      <w:pPr>
        <w:pStyle w:val="yIndenta"/>
        <w:rPr>
          <w:snapToGrid w:val="0"/>
        </w:rPr>
      </w:pPr>
      <w:r>
        <w:rPr>
          <w:snapToGrid w:val="0"/>
        </w:rPr>
        <w:tab/>
        <w:t>(a)</w:t>
      </w:r>
      <w:r>
        <w:rPr>
          <w:snapToGrid w:val="0"/>
        </w:rPr>
        <w:tab/>
      </w:r>
      <w:r>
        <w:t>the c</w:t>
      </w:r>
      <w:r>
        <w:rPr>
          <w:snapToGrid w:val="0"/>
        </w:rPr>
        <w:t>onsumer must 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Indenta"/>
        <w:rPr>
          <w:snapToGrid w:val="0"/>
        </w:rPr>
      </w:pPr>
      <w:r>
        <w:tab/>
        <w:t>(c)</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Heading5"/>
        <w:rPr>
          <w:b w:val="0"/>
          <w:i/>
          <w:snapToGrid w:val="0"/>
        </w:rPr>
      </w:pPr>
      <w:bookmarkStart w:id="111" w:name="_Toc128282870"/>
      <w:bookmarkStart w:id="112" w:name="_Toc152669118"/>
      <w:r>
        <w:rPr>
          <w:rStyle w:val="CharSClsNo"/>
        </w:rPr>
        <w:t>5</w:t>
      </w:r>
      <w:r>
        <w:t>.</w:t>
      </w:r>
      <w:r>
        <w:tab/>
        <w:t>Tariff</w:t>
      </w:r>
      <w:r>
        <w:rPr>
          <w:snapToGrid w:val="0"/>
        </w:rPr>
        <w:t xml:space="preserve"> T1 (high voltage time based demand and energy tariff)</w:t>
      </w:r>
      <w:bookmarkEnd w:id="111"/>
      <w:bookmarkEnd w:id="112"/>
    </w:p>
    <w:p>
      <w:pPr>
        <w:pStyle w:val="ySubsection"/>
        <w:rPr>
          <w:snapToGrid w:val="0"/>
        </w:rPr>
      </w:pPr>
      <w:r>
        <w:rPr>
          <w:snapToGrid w:val="0"/>
        </w:rPr>
        <w:tab/>
        <w:t>(1)</w:t>
      </w:r>
      <w:r>
        <w:rPr>
          <w:snapToGrid w:val="0"/>
        </w:rPr>
        <w:tab/>
        <w:t>Tariff T1 is available to consumers supplied at 6.6kV, 11kV, 22kV or 33kV or such higher voltage as the c</w:t>
      </w:r>
      <w:r>
        <w:t>orporation</w:t>
      </w:r>
      <w:r>
        <w:rPr>
          <w:snapToGrid w:val="0"/>
        </w:rPr>
        <w:t xml:space="preserve"> may approve.</w:t>
      </w:r>
    </w:p>
    <w:p>
      <w:pPr>
        <w:pStyle w:val="ySubsection"/>
        <w:rPr>
          <w:snapToGrid w:val="0"/>
        </w:rPr>
      </w:pPr>
      <w:r>
        <w:rPr>
          <w:snapToGrid w:val="0"/>
        </w:rPr>
        <w:tab/>
        <w:t>(2)</w:t>
      </w:r>
      <w:r>
        <w:rPr>
          <w:snapToGrid w:val="0"/>
        </w:rPr>
        <w:tab/>
        <w:t xml:space="preserve">Tariff T1 comprises — </w:t>
      </w:r>
    </w:p>
    <w:p>
      <w:pPr>
        <w:pStyle w:val="yIndenta"/>
        <w:rPr>
          <w:snapToGrid w:val="0"/>
        </w:rPr>
      </w:pPr>
      <w:r>
        <w:tab/>
        <w:t>(a)</w:t>
      </w:r>
      <w:r>
        <w:tab/>
        <w:t>a m</w:t>
      </w:r>
      <w:r>
        <w:rPr>
          <w:snapToGrid w:val="0"/>
        </w:rPr>
        <w:t>inimum charge at the rate of $295.11 per day;</w:t>
      </w:r>
    </w:p>
    <w:p>
      <w:pPr>
        <w:pStyle w:val="yIndenta"/>
        <w:rPr>
          <w:snapToGrid w:val="0"/>
        </w:rPr>
      </w:pPr>
      <w:r>
        <w:rPr>
          <w:snapToGrid w:val="0"/>
        </w:rPr>
        <w:tab/>
        <w:t>(b)</w:t>
      </w:r>
      <w:r>
        <w:rPr>
          <w:snapToGrid w:val="0"/>
        </w:rPr>
        <w:tab/>
      </w:r>
      <w:r>
        <w:t>a d</w:t>
      </w:r>
      <w:r>
        <w:rPr>
          <w:snapToGrid w:val="0"/>
        </w:rPr>
        <w:t>emand charge at the rate of 52.00 cents per day multiplied by — </w:t>
      </w:r>
    </w:p>
    <w:p>
      <w:pPr>
        <w:pStyle w:val="yIndenti0"/>
        <w:rPr>
          <w:snapToGrid w:val="0"/>
        </w:rPr>
      </w:pPr>
      <w:r>
        <w:rPr>
          <w:snapToGrid w:val="0"/>
        </w:rPr>
        <w:tab/>
        <w:t>(i)</w:t>
      </w:r>
      <w:r>
        <w:rPr>
          <w:snapToGrid w:val="0"/>
        </w:rPr>
        <w:tab/>
        <w:t>the on peak half</w:t>
      </w:r>
      <w:r>
        <w:rPr>
          <w:snapToGrid w:val="0"/>
        </w:rPr>
        <w:noBreakHyphen/>
        <w:t>hourly maximum demand; or</w:t>
      </w:r>
    </w:p>
    <w:p>
      <w:pPr>
        <w:pStyle w:val="yIndenti0"/>
        <w:rPr>
          <w:snapToGrid w:val="0"/>
        </w:rPr>
      </w:pPr>
      <w:r>
        <w:rPr>
          <w:snapToGrid w:val="0"/>
        </w:rPr>
        <w:tab/>
        <w:t>(ii)</w:t>
      </w:r>
      <w:r>
        <w:rPr>
          <w:snapToGrid w:val="0"/>
        </w:rPr>
        <w:tab/>
        <w:t>30% of the off peak half</w:t>
      </w:r>
      <w:r>
        <w:rPr>
          <w:snapToGrid w:val="0"/>
        </w:rPr>
        <w:noBreakHyphen/>
        <w:t>hourly maximum demand,</w:t>
      </w:r>
    </w:p>
    <w:p>
      <w:pPr>
        <w:pStyle w:val="yIndenta"/>
        <w:rPr>
          <w:snapToGrid w:val="0"/>
        </w:rPr>
      </w:pPr>
      <w:r>
        <w:rPr>
          <w:snapToGrid w:val="0"/>
        </w:rPr>
        <w:tab/>
      </w:r>
      <w:r>
        <w:rPr>
          <w:snapToGrid w:val="0"/>
        </w:rPr>
        <w:tab/>
        <w:t>whichever is the greater; and</w:t>
      </w:r>
    </w:p>
    <w:p>
      <w:pPr>
        <w:pStyle w:val="yIndenta"/>
        <w:rPr>
          <w:snapToGrid w:val="0"/>
        </w:rPr>
      </w:pPr>
      <w:r>
        <w:rPr>
          <w:snapToGrid w:val="0"/>
        </w:rPr>
        <w:tab/>
        <w:t>(c)</w:t>
      </w:r>
      <w:r>
        <w:rPr>
          <w:snapToGrid w:val="0"/>
        </w:rPr>
        <w:tab/>
      </w:r>
      <w:r>
        <w:t>an e</w:t>
      </w:r>
      <w:r>
        <w:rPr>
          <w:snapToGrid w:val="0"/>
        </w:rPr>
        <w:t>nergy charge consisting of — </w:t>
      </w:r>
    </w:p>
    <w:p>
      <w:pPr>
        <w:pStyle w:val="yIndenti0"/>
        <w:rPr>
          <w:snapToGrid w:val="0"/>
        </w:rPr>
      </w:pPr>
      <w:r>
        <w:rPr>
          <w:snapToGrid w:val="0"/>
        </w:rPr>
        <w:tab/>
        <w:t>(i)</w:t>
      </w:r>
      <w:r>
        <w:rPr>
          <w:snapToGrid w:val="0"/>
        </w:rPr>
        <w:tab/>
        <w:t>an on peak energy charge of 7.61 cents per unit; and</w:t>
      </w:r>
    </w:p>
    <w:p>
      <w:pPr>
        <w:pStyle w:val="yIndenti0"/>
        <w:rPr>
          <w:snapToGrid w:val="0"/>
        </w:rPr>
      </w:pPr>
      <w:r>
        <w:rPr>
          <w:snapToGrid w:val="0"/>
        </w:rPr>
        <w:tab/>
        <w:t>(ii)</w:t>
      </w:r>
      <w:r>
        <w:rPr>
          <w:snapToGrid w:val="0"/>
        </w:rPr>
        <w:tab/>
      </w:r>
      <w:r>
        <w:t xml:space="preserve">an </w:t>
      </w:r>
      <w:r>
        <w:rPr>
          <w:snapToGrid w:val="0"/>
        </w:rPr>
        <w:t>off peak energy charge of 5.07 cents per unit.</w:t>
      </w:r>
    </w:p>
    <w:p>
      <w:pPr>
        <w:pStyle w:val="ySubsection"/>
        <w:rPr>
          <w:snapToGrid w:val="0"/>
        </w:rPr>
      </w:pPr>
      <w:r>
        <w:rPr>
          <w:snapToGrid w:val="0"/>
        </w:rPr>
        <w:tab/>
        <w:t>(3)</w:t>
      </w:r>
      <w:r>
        <w:rPr>
          <w:snapToGrid w:val="0"/>
        </w:rPr>
        <w:tab/>
        <w:t xml:space="preserve">Tariff T1 is subject to the following conditions — </w:t>
      </w:r>
    </w:p>
    <w:p>
      <w:pPr>
        <w:pStyle w:val="yIndenta"/>
        <w:rPr>
          <w:snapToGrid w:val="0"/>
        </w:rPr>
      </w:pPr>
      <w:r>
        <w:rPr>
          <w:snapToGrid w:val="0"/>
        </w:rPr>
        <w:tab/>
        <w:t>(a)</w:t>
      </w:r>
      <w:r>
        <w:rPr>
          <w:snapToGrid w:val="0"/>
        </w:rPr>
        <w:tab/>
      </w:r>
      <w:r>
        <w:t>the consumer must</w:t>
      </w:r>
      <w:r>
        <w:rPr>
          <w:snapToGrid w:val="0"/>
        </w:rPr>
        <w:t xml:space="preserve"> agree to take the tariff for a minimum period of 12 months;</w:t>
      </w:r>
    </w:p>
    <w:p>
      <w:pPr>
        <w:pStyle w:val="yIndenta"/>
        <w:rPr>
          <w:snapToGrid w:val="0"/>
        </w:rPr>
      </w:pPr>
      <w:r>
        <w:rPr>
          <w:snapToGrid w:val="0"/>
        </w:rPr>
        <w:tab/>
        <w:t>(b)</w:t>
      </w:r>
      <w:r>
        <w:rPr>
          <w:snapToGrid w:val="0"/>
        </w:rPr>
        <w:tab/>
      </w:r>
      <w:r>
        <w:t xml:space="preserve">it </w:t>
      </w:r>
      <w:r>
        <w:rPr>
          <w:snapToGrid w:val="0"/>
        </w:rPr>
        <w:t>applies to a consumer who owns all equipment except tariff metering equipment on the load side of the consumer’s high voltage terminals;</w:t>
      </w:r>
    </w:p>
    <w:p>
      <w:pPr>
        <w:pStyle w:val="yIndenta"/>
        <w:rPr>
          <w:snapToGrid w:val="0"/>
        </w:rPr>
      </w:pPr>
      <w:r>
        <w:rPr>
          <w:snapToGrid w:val="0"/>
        </w:rPr>
        <w:tab/>
        <w:t>(c)</w:t>
      </w:r>
      <w:r>
        <w:rPr>
          <w:snapToGrid w:val="0"/>
        </w:rPr>
        <w:tab/>
      </w:r>
      <w:r>
        <w:t>the p</w:t>
      </w:r>
      <w:r>
        <w:rPr>
          <w:snapToGrid w:val="0"/>
        </w:rPr>
        <w:t>ower factor must be 0.8 or better during the on peak period;</w:t>
      </w:r>
    </w:p>
    <w:p>
      <w:pPr>
        <w:pStyle w:val="yIndenta"/>
        <w:rPr>
          <w:snapToGrid w:val="0"/>
        </w:rPr>
      </w:pPr>
      <w:r>
        <w:rPr>
          <w:snapToGrid w:val="0"/>
        </w:rPr>
        <w:tab/>
        <w:t>(d)</w:t>
      </w:r>
      <w:r>
        <w:rPr>
          <w:snapToGrid w:val="0"/>
        </w:rPr>
        <w:tab/>
      </w:r>
      <w:r>
        <w:t>t</w:t>
      </w:r>
      <w:r>
        <w:rPr>
          <w:snapToGrid w:val="0"/>
        </w:rPr>
        <w:t>he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Heading5"/>
        <w:rPr>
          <w:snapToGrid w:val="0"/>
        </w:rPr>
      </w:pPr>
      <w:bookmarkStart w:id="113" w:name="_Toc128282871"/>
      <w:bookmarkStart w:id="114" w:name="_Toc152669119"/>
      <w:r>
        <w:rPr>
          <w:rStyle w:val="CharSClsNo"/>
        </w:rPr>
        <w:t>6</w:t>
      </w:r>
      <w:r>
        <w:t>.</w:t>
      </w:r>
      <w:r>
        <w:tab/>
        <w:t>Standby charges</w:t>
      </w:r>
      <w:bookmarkEnd w:id="113"/>
      <w:bookmarkEnd w:id="114"/>
    </w:p>
    <w:p>
      <w:pPr>
        <w:pStyle w:val="ySubsection"/>
        <w:rPr>
          <w:snapToGrid w:val="0"/>
        </w:rPr>
      </w:pPr>
      <w:r>
        <w:rPr>
          <w:snapToGrid w:val="0"/>
        </w:rPr>
        <w:tab/>
        <w:t>(1)</w:t>
      </w:r>
      <w:r>
        <w:rPr>
          <w:snapToGrid w:val="0"/>
        </w:rPr>
        <w:tab/>
        <w:t>Standby</w:t>
      </w:r>
      <w:r>
        <w:t xml:space="preserve"> charges are a</w:t>
      </w:r>
      <w:r>
        <w:rPr>
          <w:snapToGrid w:val="0"/>
        </w:rPr>
        <w:t>pplicable to consumers with their own generation and supplied on Tariff L1, R1, S1, M1 or T1 and are payable in addition to those tariffs.</w:t>
      </w:r>
    </w:p>
    <w:p>
      <w:pPr>
        <w:pStyle w:val="ySubsection"/>
        <w:rPr>
          <w:snapToGrid w:val="0"/>
        </w:rPr>
      </w:pPr>
      <w:r>
        <w:rPr>
          <w:snapToGrid w:val="0"/>
        </w:rPr>
        <w:tab/>
        <w:t>(2)</w:t>
      </w:r>
      <w:r>
        <w:rPr>
          <w:snapToGrid w:val="0"/>
        </w:rPr>
        <w:tab/>
        <w:t>In the case of Tariff L1 or R1,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S1, the standby charge is 5.72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(4)</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(5)</w:t>
      </w:r>
      <w:r>
        <w:rPr>
          <w:snapToGrid w:val="0"/>
        </w:rPr>
        <w:tab/>
        <w:t>In the case of Tariff T1, the standby charge is 5.10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(6)</w:t>
      </w:r>
      <w:r>
        <w:rPr>
          <w:snapToGrid w:val="0"/>
        </w:rPr>
        <w:tab/>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Indenta"/>
        <w:rPr>
          <w:snapToGrid w:val="0"/>
        </w:rPr>
      </w:pPr>
      <w:r>
        <w:rPr>
          <w:snapToGrid w:val="0"/>
        </w:rPr>
        <w:tab/>
        <w:t>(d)</w:t>
      </w:r>
      <w:r>
        <w:rPr>
          <w:snapToGrid w:val="0"/>
        </w:rPr>
        <w:tab/>
      </w:r>
      <w:r>
        <w:t>t</w:t>
      </w:r>
      <w:r>
        <w:rPr>
          <w:snapToGrid w:val="0"/>
        </w:rPr>
        <w:t>he normal half</w:t>
      </w:r>
      <w:r>
        <w:rPr>
          <w:snapToGrid w:val="0"/>
        </w:rPr>
        <w:noBreakHyphen/>
        <w:t>hourly maximum demand will be assessed by the c</w:t>
      </w:r>
      <w:r>
        <w:t>orporation</w:t>
      </w:r>
      <w:r>
        <w:rPr>
          <w:snapToGrid w:val="0"/>
        </w:rPr>
        <w:t xml:space="preserve"> and will be based on loading normally supplied from the c</w:t>
      </w:r>
      <w:r>
        <w:t>orporation’s</w:t>
      </w:r>
      <w:r>
        <w:rPr>
          <w:snapToGrid w:val="0"/>
        </w:rPr>
        <w:t xml:space="preserve"> supply;</w:t>
      </w:r>
    </w:p>
    <w:p>
      <w:pPr>
        <w:pStyle w:val="yIndenta"/>
        <w:rPr>
          <w:snapToGrid w:val="0"/>
        </w:rPr>
      </w:pPr>
      <w:r>
        <w:rPr>
          <w:snapToGrid w:val="0"/>
        </w:rPr>
        <w:tab/>
        <w:t>(e)</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spacing w:before="60" w:after="60"/>
        <w:ind w:left="1418"/>
        <w:jc w:val="center"/>
        <w:rPr>
          <w:rFonts w:ascii="Times" w:hAnsi="Times"/>
          <w:snapToGrid w:val="0"/>
          <w:sz w:val="20"/>
        </w:rPr>
      </w:pPr>
      <w:r>
        <w:rPr>
          <w:rFonts w:ascii="Times" w:hAnsi="Times"/>
          <w:position w:val="-26"/>
          <w:sz w:val="20"/>
          <w:lang w:eastAsia="en-AU"/>
        </w:rPr>
        <w:drawing>
          <wp:inline distT="0" distB="0" distL="0" distR="0">
            <wp:extent cx="2921635"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1635" cy="391795"/>
                    </a:xfrm>
                    <a:prstGeom prst="rect">
                      <a:avLst/>
                    </a:prstGeom>
                    <a:noFill/>
                    <a:ln>
                      <a:noFill/>
                    </a:ln>
                  </pic:spPr>
                </pic:pic>
              </a:graphicData>
            </a:graphic>
          </wp:inline>
        </w:drawing>
      </w:r>
    </w:p>
    <w:p>
      <w:pPr>
        <w:pStyle w:val="yIndenta"/>
        <w:rPr>
          <w:snapToGrid w:val="0"/>
        </w:rPr>
      </w:pPr>
      <w:r>
        <w:rPr>
          <w:snapToGrid w:val="0"/>
        </w:rPr>
        <w:tab/>
        <w:t>(f)</w:t>
      </w:r>
      <w:r>
        <w:rPr>
          <w:snapToGrid w:val="0"/>
        </w:rPr>
        <w:tab/>
      </w:r>
      <w:r>
        <w:t>t</w:t>
      </w:r>
      <w:r>
        <w:rPr>
          <w:snapToGrid w:val="0"/>
        </w:rPr>
        <w:t>he total half</w:t>
      </w:r>
      <w:r>
        <w:rPr>
          <w:snapToGrid w:val="0"/>
        </w:rPr>
        <w:noBreakHyphen/>
        <w:t>hourly maximum demand will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Indenta"/>
        <w:rPr>
          <w:snapToGrid w:val="0"/>
        </w:rPr>
      </w:pPr>
      <w:r>
        <w:rPr>
          <w:snapToGrid w:val="0"/>
        </w:rPr>
        <w:tab/>
        <w:t>(g)</w:t>
      </w:r>
      <w:r>
        <w:rPr>
          <w:snapToGrid w:val="0"/>
        </w:rPr>
        <w:tab/>
      </w:r>
      <w:r>
        <w:t>t</w:t>
      </w:r>
      <w:r>
        <w:rPr>
          <w:snapToGrid w:val="0"/>
        </w:rPr>
        <w:t>he difference between total half</w:t>
      </w:r>
      <w:r>
        <w:rPr>
          <w:snapToGrid w:val="0"/>
        </w:rPr>
        <w:noBreakHyphen/>
        <w:t>hourly maximum demand and normal half</w:t>
      </w:r>
      <w:r>
        <w:rPr>
          <w:snapToGrid w:val="0"/>
        </w:rPr>
        <w:noBreakHyphen/>
        <w:t>hourly maximum demand will not exceed — </w:t>
      </w:r>
    </w:p>
    <w:p>
      <w:pPr>
        <w:pStyle w:val="yIndenti0"/>
        <w:rPr>
          <w:snapToGrid w:val="0"/>
        </w:rPr>
      </w:pPr>
      <w:r>
        <w:rPr>
          <w:snapToGrid w:val="0"/>
        </w:rPr>
        <w:tab/>
        <w:t>(i)</w:t>
      </w:r>
      <w:r>
        <w:rPr>
          <w:snapToGrid w:val="0"/>
        </w:rPr>
        <w:tab/>
        <w:t>the capacity of the consumer’s generation equipment; or</w:t>
      </w:r>
    </w:p>
    <w:p>
      <w:pPr>
        <w:pStyle w:val="yIndenti0"/>
        <w:rPr>
          <w:snapToGrid w:val="0"/>
        </w:rPr>
      </w:pPr>
      <w:r>
        <w:rPr>
          <w:snapToGrid w:val="0"/>
        </w:rPr>
        <w:tab/>
        <w:t>(ii)</w:t>
      </w:r>
      <w:r>
        <w:rPr>
          <w:snapToGrid w:val="0"/>
        </w:rPr>
        <w:tab/>
        <w:t>the expected maximum loading of such generation equipment, as assessed by the</w:t>
      </w:r>
      <w:r>
        <w:t xml:space="preserve"> corporation</w:t>
      </w:r>
      <w:r>
        <w:rPr>
          <w:snapToGrid w:val="0"/>
        </w:rPr>
        <w:t>.</w:t>
      </w:r>
    </w:p>
    <w:p>
      <w:pPr>
        <w:pStyle w:val="yHeading5"/>
        <w:rPr>
          <w:snapToGrid w:val="0"/>
        </w:rPr>
      </w:pPr>
      <w:bookmarkStart w:id="115" w:name="_Toc124226015"/>
      <w:bookmarkStart w:id="116" w:name="_Toc128282872"/>
      <w:bookmarkStart w:id="117" w:name="_Toc152669120"/>
      <w:r>
        <w:rPr>
          <w:rStyle w:val="CharSClsNo"/>
        </w:rPr>
        <w:t>7</w:t>
      </w:r>
      <w:r>
        <w:t>.</w:t>
      </w:r>
      <w:r>
        <w:tab/>
        <w:t>Tariff</w:t>
      </w:r>
      <w:r>
        <w:rPr>
          <w:snapToGrid w:val="0"/>
        </w:rPr>
        <w:t xml:space="preserve"> A1 (residential tariff)</w:t>
      </w:r>
      <w:bookmarkEnd w:id="115"/>
      <w:bookmarkEnd w:id="116"/>
      <w:bookmarkEnd w:id="117"/>
    </w:p>
    <w:p>
      <w:pPr>
        <w:pStyle w:val="ySubsection"/>
        <w:rPr>
          <w:snapToGrid w:val="0"/>
        </w:rPr>
      </w:pPr>
      <w:r>
        <w:rPr>
          <w:snapToGrid w:val="0"/>
        </w:rPr>
        <w:tab/>
        <w:t>(1)</w:t>
      </w:r>
      <w:r>
        <w:rPr>
          <w:snapToGrid w:val="0"/>
        </w:rPr>
        <w:tab/>
        <w:t>Tariff A1 is available for residential use only.</w:t>
      </w:r>
    </w:p>
    <w:p>
      <w:pPr>
        <w:pStyle w:val="ySubsection"/>
        <w:rPr>
          <w:snapToGrid w:val="0"/>
        </w:rPr>
      </w:pPr>
      <w:r>
        <w:rPr>
          <w:snapToGrid w:val="0"/>
        </w:rPr>
        <w:tab/>
        <w:t>(2)</w:t>
      </w:r>
      <w:r>
        <w:rPr>
          <w:snapToGrid w:val="0"/>
        </w:rP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118" w:name="_Toc128282873"/>
      <w:bookmarkStart w:id="119" w:name="_Toc152669121"/>
      <w:r>
        <w:rPr>
          <w:rStyle w:val="CharSClsNo"/>
        </w:rPr>
        <w:t>8</w:t>
      </w:r>
      <w:r>
        <w:t>.</w:t>
      </w:r>
      <w:r>
        <w:tab/>
        <w:t>Tariff</w:t>
      </w:r>
      <w:r>
        <w:rPr>
          <w:snapToGrid w:val="0"/>
        </w:rPr>
        <w:t xml:space="preserve"> B1 (residential water heating tariff)</w:t>
      </w:r>
      <w:bookmarkEnd w:id="118"/>
      <w:bookmarkEnd w:id="119"/>
    </w:p>
    <w:p>
      <w:pPr>
        <w:pStyle w:val="ySubsection"/>
        <w:rPr>
          <w:snapToGrid w:val="0"/>
        </w:rPr>
      </w:pPr>
      <w:r>
        <w:rPr>
          <w:snapToGrid w:val="0"/>
        </w:rPr>
        <w:tab/>
        <w:t>(1)</w:t>
      </w:r>
      <w:r>
        <w:rPr>
          <w:snapToGrid w:val="0"/>
        </w:rPr>
        <w:tab/>
      </w:r>
      <w:r>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rPr>
          <w:snapToGrid w:val="0"/>
        </w:rPr>
        <w:tab/>
        <w:t>(2)</w:t>
      </w:r>
      <w:r>
        <w:rPr>
          <w:snapToGrid w:val="0"/>
        </w:rPr>
        <w:tab/>
      </w:r>
      <w:r>
        <w:t xml:space="preserve">Tariff B1 comprises — </w:t>
      </w:r>
    </w:p>
    <w:p>
      <w:pPr>
        <w:pStyle w:val="yIndenta"/>
        <w:rPr>
          <w:snapToGrid w:val="0"/>
        </w:rPr>
      </w:pPr>
      <w:r>
        <w:tab/>
        <w:t>(a)</w:t>
      </w:r>
      <w:r>
        <w:tab/>
        <w:t>a</w:t>
      </w:r>
      <w:r>
        <w:rPr>
          <w:snapToGrid w:val="0"/>
        </w:rPr>
        <w:t xml:space="preserve"> fixed charge at the rate of 12.84 cents per day or, for multiple dwellings supplied through one metered supply point, a fixed charge at the rate of 12.84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7.10 cents per unit.</w:t>
      </w:r>
    </w:p>
    <w:p>
      <w:pPr>
        <w:pStyle w:val="yHeading5"/>
        <w:rPr>
          <w:b w:val="0"/>
          <w:i/>
          <w:snapToGrid w:val="0"/>
        </w:rPr>
      </w:pPr>
      <w:bookmarkStart w:id="120" w:name="_Toc124226016"/>
      <w:bookmarkStart w:id="121" w:name="_Toc128282874"/>
      <w:bookmarkStart w:id="122" w:name="_Toc152669122"/>
      <w:r>
        <w:rPr>
          <w:rStyle w:val="CharSClsNo"/>
        </w:rPr>
        <w:t>9</w:t>
      </w:r>
      <w:r>
        <w:t>.</w:t>
      </w:r>
      <w:r>
        <w:tab/>
        <w:t>Tariff</w:t>
      </w:r>
      <w:r>
        <w:rPr>
          <w:snapToGrid w:val="0"/>
        </w:rPr>
        <w:t xml:space="preserve"> C1 (special community service tariff)</w:t>
      </w:r>
      <w:bookmarkEnd w:id="120"/>
      <w:bookmarkEnd w:id="121"/>
      <w:bookmarkEnd w:id="122"/>
    </w:p>
    <w:p>
      <w:pPr>
        <w:pStyle w:val="ySubsection"/>
        <w:rPr>
          <w:snapToGrid w:val="0"/>
        </w:rPr>
      </w:pPr>
      <w:r>
        <w:rPr>
          <w:snapToGrid w:val="0"/>
        </w:rPr>
        <w:tab/>
        <w:t>(1)</w:t>
      </w:r>
      <w:r>
        <w:rPr>
          <w:snapToGrid w:val="0"/>
        </w:rPr>
        <w:tab/>
        <w:t>Tariff C1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123" w:name="_Toc124226017"/>
      <w:bookmarkStart w:id="124" w:name="_Toc128282875"/>
      <w:bookmarkStart w:id="125" w:name="_Toc152669123"/>
      <w:r>
        <w:rPr>
          <w:rStyle w:val="CharSClsNo"/>
        </w:rPr>
        <w:t>10</w:t>
      </w:r>
      <w:r>
        <w:t>.</w:t>
      </w:r>
      <w:r>
        <w:tab/>
        <w:t xml:space="preserve">Tariff </w:t>
      </w:r>
      <w:r>
        <w:rPr>
          <w:snapToGrid w:val="0"/>
        </w:rPr>
        <w:t>D1 (special tariff for certain premises)</w:t>
      </w:r>
      <w:bookmarkEnd w:id="123"/>
      <w:bookmarkEnd w:id="124"/>
      <w:bookmarkEnd w:id="125"/>
    </w:p>
    <w:p>
      <w:pPr>
        <w:pStyle w:val="ySubsection"/>
        <w:rPr>
          <w:snapToGrid w:val="0"/>
        </w:rPr>
      </w:pPr>
      <w:r>
        <w:rPr>
          <w:snapToGrid w:val="0"/>
        </w:rPr>
        <w:tab/>
        <w:t>(1)</w:t>
      </w:r>
      <w:r>
        <w:rPr>
          <w:snapToGrid w:val="0"/>
        </w:rPr>
        <w:tab/>
      </w:r>
      <w:r>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rPr>
          <w:snapToGrid w:val="0"/>
        </w:rPr>
        <w:tab/>
        <w:t>(2)</w:t>
      </w:r>
      <w:r>
        <w:rPr>
          <w:snapToGrid w:val="0"/>
        </w:rPr>
        <w:tab/>
      </w:r>
      <w:r>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126" w:name="_Toc124226018"/>
      <w:bookmarkStart w:id="127" w:name="_Toc128282876"/>
      <w:bookmarkStart w:id="128" w:name="_Toc152669124"/>
      <w:r>
        <w:rPr>
          <w:rStyle w:val="CharSClsNo"/>
        </w:rPr>
        <w:t>11</w:t>
      </w:r>
      <w:r>
        <w:t>.</w:t>
      </w:r>
      <w:r>
        <w:tab/>
        <w:t>Tariff</w:t>
      </w:r>
      <w:r>
        <w:rPr>
          <w:snapToGrid w:val="0"/>
        </w:rPr>
        <w:t xml:space="preserve"> K1 (general supply with residential tariff)</w:t>
      </w:r>
      <w:bookmarkEnd w:id="126"/>
      <w:bookmarkEnd w:id="127"/>
      <w:bookmarkEnd w:id="128"/>
    </w:p>
    <w:p>
      <w:pPr>
        <w:pStyle w:val="ySubsection"/>
        <w:rPr>
          <w:snapToGrid w:val="0"/>
        </w:rPr>
      </w:pPr>
      <w:r>
        <w:rPr>
          <w:snapToGrid w:val="0"/>
        </w:rPr>
        <w:tab/>
        <w:t>(1)</w:t>
      </w:r>
      <w:r>
        <w:rPr>
          <w:snapToGrid w:val="0"/>
        </w:rPr>
        <w:tab/>
      </w:r>
      <w:r>
        <w:t>Tariff K1</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129" w:name="_Toc124226019"/>
      <w:bookmarkStart w:id="130" w:name="_Toc128282877"/>
      <w:bookmarkStart w:id="131" w:name="_Toc152669125"/>
      <w:r>
        <w:rPr>
          <w:rStyle w:val="CharSClsNo"/>
        </w:rPr>
        <w:t>12</w:t>
      </w:r>
      <w:r>
        <w:t>.</w:t>
      </w:r>
      <w:r>
        <w:tab/>
        <w:t>Tariff</w:t>
      </w:r>
      <w:r>
        <w:rPr>
          <w:snapToGrid w:val="0"/>
        </w:rPr>
        <w:t xml:space="preserve"> W1 (t</w:t>
      </w:r>
      <w:r>
        <w:rPr>
          <w:bCs/>
          <w:iCs/>
          <w:snapToGrid w:val="0"/>
        </w:rPr>
        <w:t>raffic light installations)</w:t>
      </w:r>
      <w:bookmarkEnd w:id="129"/>
      <w:bookmarkEnd w:id="130"/>
      <w:bookmarkEnd w:id="131"/>
    </w:p>
    <w:p>
      <w:pPr>
        <w:pStyle w:val="ySubsection"/>
      </w:pPr>
      <w:r>
        <w:tab/>
      </w:r>
      <w:r>
        <w:tab/>
        <w:t>Tariff W1 comprises a charge of $1.61 per day per kilowatt of the total installed wattage.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132" w:name="_Toc123621759"/>
      <w:bookmarkStart w:id="133" w:name="_Toc123621906"/>
      <w:bookmarkStart w:id="134" w:name="_Toc123624866"/>
      <w:bookmarkStart w:id="135" w:name="_Toc123624933"/>
      <w:bookmarkStart w:id="136" w:name="_Toc123626279"/>
      <w:bookmarkStart w:id="137" w:name="_Toc123629883"/>
      <w:bookmarkStart w:id="138" w:name="_Toc124135800"/>
      <w:bookmarkStart w:id="139" w:name="_Toc124137267"/>
      <w:bookmarkStart w:id="140" w:name="_Toc124147435"/>
      <w:bookmarkStart w:id="141" w:name="_Toc124147472"/>
      <w:bookmarkStart w:id="142" w:name="_Toc124158783"/>
      <w:bookmarkStart w:id="143" w:name="_Toc124158890"/>
      <w:bookmarkStart w:id="144" w:name="_Toc124158924"/>
      <w:bookmarkStart w:id="145" w:name="_Toc124216305"/>
      <w:bookmarkStart w:id="146" w:name="_Toc124227064"/>
      <w:bookmarkStart w:id="147" w:name="_Toc124227157"/>
      <w:bookmarkStart w:id="148" w:name="_Toc124234423"/>
      <w:bookmarkStart w:id="149" w:name="_Toc124234775"/>
      <w:bookmarkStart w:id="150" w:name="_Toc124234815"/>
    </w:p>
    <w:p>
      <w:pPr>
        <w:pStyle w:val="yScheduleHeading"/>
      </w:pPr>
      <w:bookmarkStart w:id="151" w:name="_Toc124934231"/>
      <w:bookmarkStart w:id="152" w:name="_Toc125279681"/>
      <w:bookmarkStart w:id="153" w:name="_Toc127067108"/>
      <w:bookmarkStart w:id="154" w:name="_Toc127076311"/>
      <w:bookmarkStart w:id="155" w:name="_Toc127085644"/>
      <w:bookmarkStart w:id="156" w:name="_Toc127086736"/>
      <w:bookmarkStart w:id="157" w:name="_Toc127671679"/>
      <w:bookmarkStart w:id="158" w:name="_Toc127690056"/>
      <w:bookmarkStart w:id="159" w:name="_Toc127699337"/>
      <w:bookmarkStart w:id="160" w:name="_Toc127760429"/>
      <w:bookmarkStart w:id="161" w:name="_Toc127760457"/>
      <w:bookmarkStart w:id="162" w:name="_Toc127946779"/>
      <w:bookmarkStart w:id="163" w:name="_Toc127960812"/>
      <w:bookmarkStart w:id="164" w:name="_Toc127960840"/>
      <w:bookmarkStart w:id="165" w:name="_Toc128190514"/>
      <w:bookmarkStart w:id="166" w:name="_Toc128196186"/>
      <w:bookmarkStart w:id="167" w:name="_Toc128197605"/>
      <w:bookmarkStart w:id="168" w:name="_Toc128282878"/>
      <w:bookmarkStart w:id="169" w:name="_Toc131490126"/>
      <w:bookmarkStart w:id="170" w:name="_Toc131491086"/>
      <w:bookmarkStart w:id="171" w:name="_Toc152664695"/>
      <w:bookmarkStart w:id="172" w:name="_Toc152669126"/>
      <w:r>
        <w:rPr>
          <w:rStyle w:val="CharSchNo"/>
        </w:rPr>
        <w:t>Schedule 2</w:t>
      </w:r>
      <w:r>
        <w:rPr>
          <w:rStyle w:val="CharSDivNo"/>
        </w:rPr>
        <w:t> </w:t>
      </w:r>
      <w:r>
        <w:t>—</w:t>
      </w:r>
      <w:r>
        <w:rPr>
          <w:rStyle w:val="CharSDivText"/>
        </w:rPr>
        <w:t> </w:t>
      </w:r>
      <w:r>
        <w:rPr>
          <w:rStyle w:val="CharSchText"/>
        </w:rPr>
        <w:t>Street lighting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ubsection"/>
      </w:pPr>
    </w:p>
    <w:p>
      <w:pPr>
        <w:pStyle w:val="yScheduleHeading"/>
      </w:pPr>
      <w:bookmarkStart w:id="173" w:name="_Toc124158784"/>
      <w:bookmarkStart w:id="174" w:name="_Toc124158891"/>
      <w:bookmarkStart w:id="175" w:name="_Toc124158925"/>
      <w:bookmarkStart w:id="176" w:name="_Toc124216306"/>
      <w:bookmarkStart w:id="177" w:name="_Toc124227065"/>
      <w:bookmarkStart w:id="178" w:name="_Toc124227158"/>
      <w:bookmarkStart w:id="179" w:name="_Toc124234424"/>
      <w:bookmarkStart w:id="180" w:name="_Toc124234776"/>
      <w:bookmarkStart w:id="181" w:name="_Toc124234816"/>
      <w:bookmarkStart w:id="182" w:name="_Toc124934232"/>
      <w:bookmarkStart w:id="183" w:name="_Toc125279682"/>
      <w:bookmarkStart w:id="184" w:name="_Toc127067109"/>
      <w:bookmarkStart w:id="185" w:name="_Toc127076312"/>
      <w:bookmarkStart w:id="186" w:name="_Toc127085645"/>
      <w:bookmarkStart w:id="187" w:name="_Toc127086737"/>
      <w:bookmarkStart w:id="188" w:name="_Toc127671680"/>
      <w:bookmarkStart w:id="189" w:name="_Toc127690057"/>
      <w:bookmarkStart w:id="190" w:name="_Toc127699338"/>
      <w:bookmarkStart w:id="191" w:name="_Toc127760430"/>
      <w:bookmarkStart w:id="192" w:name="_Toc127760458"/>
      <w:bookmarkStart w:id="193" w:name="_Toc127946780"/>
      <w:bookmarkStart w:id="194" w:name="_Toc127960813"/>
      <w:bookmarkStart w:id="195" w:name="_Toc127960841"/>
      <w:bookmarkStart w:id="196" w:name="_Toc128190515"/>
      <w:bookmarkStart w:id="197" w:name="_Toc128196187"/>
      <w:bookmarkStart w:id="198" w:name="_Toc128197606"/>
      <w:bookmarkStart w:id="199" w:name="_Toc128282879"/>
      <w:bookmarkStart w:id="200" w:name="_Toc131490127"/>
      <w:bookmarkStart w:id="201" w:name="_Toc131491087"/>
      <w:bookmarkStart w:id="202" w:name="_Toc152664696"/>
      <w:bookmarkStart w:id="203" w:name="_Toc152669127"/>
      <w:bookmarkStart w:id="204" w:name="_Toc123621760"/>
      <w:bookmarkStart w:id="205" w:name="_Toc123621907"/>
      <w:bookmarkStart w:id="206" w:name="_Toc123624867"/>
      <w:bookmarkStart w:id="207" w:name="_Toc123624934"/>
      <w:bookmarkStart w:id="208" w:name="_Toc123626280"/>
      <w:bookmarkStart w:id="209" w:name="_Toc123629884"/>
      <w:bookmarkStart w:id="210" w:name="_Toc124135801"/>
      <w:bookmarkStart w:id="211" w:name="_Toc124137268"/>
      <w:bookmarkStart w:id="212" w:name="_Toc124147436"/>
      <w:bookmarkStart w:id="213" w:name="_Toc124147473"/>
      <w:r>
        <w:rPr>
          <w:rStyle w:val="CharSchNo"/>
        </w:rPr>
        <w:t>Schedule 3</w:t>
      </w:r>
      <w:r>
        <w:rPr>
          <w:rStyle w:val="CharSDivNo"/>
        </w:rPr>
        <w:t> </w:t>
      </w:r>
      <w:r>
        <w:t>—</w:t>
      </w:r>
      <w:r>
        <w:rPr>
          <w:rStyle w:val="CharSDivText"/>
        </w:rPr>
        <w:t> </w:t>
      </w:r>
      <w:r>
        <w:rPr>
          <w:rStyle w:val="CharSchText"/>
        </w:rPr>
        <w:t>Meter rental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bookmarkEnd w:id="204"/>
    <w:bookmarkEnd w:id="205"/>
    <w:bookmarkEnd w:id="206"/>
    <w:bookmarkEnd w:id="207"/>
    <w:bookmarkEnd w:id="208"/>
    <w:bookmarkEnd w:id="209"/>
    <w:bookmarkEnd w:id="210"/>
    <w:bookmarkEnd w:id="211"/>
    <w:bookmarkEnd w:id="212"/>
    <w:bookmarkEnd w:id="213"/>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14" w:name="_Toc123621761"/>
      <w:bookmarkStart w:id="215" w:name="_Toc123621908"/>
      <w:bookmarkStart w:id="216" w:name="_Toc123624868"/>
      <w:bookmarkStart w:id="217" w:name="_Toc123624935"/>
      <w:bookmarkStart w:id="218" w:name="_Toc123626281"/>
      <w:bookmarkStart w:id="219" w:name="_Toc123629885"/>
      <w:bookmarkStart w:id="220" w:name="_Toc124135802"/>
      <w:bookmarkStart w:id="221" w:name="_Toc124137269"/>
      <w:bookmarkStart w:id="222" w:name="_Toc124147437"/>
      <w:bookmarkStart w:id="223" w:name="_Toc124147474"/>
      <w:bookmarkStart w:id="224" w:name="_Toc124158785"/>
      <w:bookmarkStart w:id="225" w:name="_Toc124158892"/>
      <w:bookmarkStart w:id="226" w:name="_Toc124158926"/>
      <w:bookmarkStart w:id="227" w:name="_Toc124216307"/>
      <w:bookmarkStart w:id="228" w:name="_Toc124227066"/>
      <w:bookmarkStart w:id="229" w:name="_Toc124227159"/>
      <w:bookmarkStart w:id="230" w:name="_Toc124234425"/>
      <w:bookmarkStart w:id="231" w:name="_Toc124234777"/>
      <w:bookmarkStart w:id="232" w:name="_Toc124234817"/>
      <w:bookmarkStart w:id="233" w:name="_Toc124934233"/>
      <w:bookmarkStart w:id="234" w:name="_Toc125279683"/>
      <w:bookmarkStart w:id="235" w:name="_Toc127067110"/>
      <w:bookmarkStart w:id="236" w:name="_Toc127076313"/>
      <w:bookmarkStart w:id="237" w:name="_Toc127085646"/>
      <w:bookmarkStart w:id="238" w:name="_Toc127086738"/>
      <w:bookmarkStart w:id="239" w:name="_Toc127671681"/>
      <w:bookmarkStart w:id="240" w:name="_Toc127690058"/>
      <w:bookmarkStart w:id="241" w:name="_Toc127699339"/>
      <w:bookmarkStart w:id="242" w:name="_Toc127760431"/>
      <w:bookmarkStart w:id="243" w:name="_Toc127760459"/>
      <w:bookmarkStart w:id="244" w:name="_Toc127946781"/>
      <w:bookmarkStart w:id="245" w:name="_Toc127960814"/>
      <w:bookmarkStart w:id="246" w:name="_Toc127960842"/>
      <w:bookmarkStart w:id="247" w:name="_Toc128190516"/>
      <w:bookmarkStart w:id="248" w:name="_Toc128196188"/>
      <w:bookmarkStart w:id="249" w:name="_Toc128197607"/>
      <w:bookmarkStart w:id="250" w:name="_Toc128282880"/>
      <w:bookmarkStart w:id="251" w:name="_Toc131490128"/>
      <w:bookmarkStart w:id="252" w:name="_Toc131491088"/>
      <w:bookmarkStart w:id="253" w:name="_Toc152664697"/>
      <w:bookmarkStart w:id="254" w:name="_Toc152669128"/>
      <w:r>
        <w:rPr>
          <w:rStyle w:val="CharSchNo"/>
        </w:rPr>
        <w:t>Schedule 4</w:t>
      </w:r>
      <w:r>
        <w:rPr>
          <w:rStyle w:val="CharSDivNo"/>
        </w:rPr>
        <w:t> </w:t>
      </w:r>
      <w:r>
        <w:t>—</w:t>
      </w:r>
      <w:r>
        <w:rPr>
          <w:rStyle w:val="CharSDivText"/>
        </w:rPr>
        <w:t> </w:t>
      </w:r>
      <w:r>
        <w:rPr>
          <w:rStyle w:val="CharSchText"/>
        </w:rPr>
        <w:t>Fees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rPr>
                <w:b/>
                <w:iCs/>
              </w:rPr>
            </w:pPr>
            <w:r>
              <w:rPr>
                <w:b/>
                <w:iCs/>
              </w:rPr>
              <w:t>Description of fee</w:t>
            </w:r>
          </w:p>
          <w:p>
            <w:pPr>
              <w:pStyle w:val="yTable"/>
              <w:spacing w:before="0"/>
              <w:rPr>
                <w:b/>
                <w:iCs/>
              </w:rPr>
            </w:pPr>
          </w:p>
        </w:tc>
        <w:tc>
          <w:tcPr>
            <w:tcW w:w="1418" w:type="dxa"/>
            <w:tcBorders>
              <w:top w:val="single" w:sz="4" w:space="0" w:color="auto"/>
              <w:bottom w:val="single" w:sz="4" w:space="0" w:color="auto"/>
            </w:tcBorders>
          </w:tcPr>
          <w:p>
            <w:pPr>
              <w:pStyle w:val="yTable"/>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$27.50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$3.80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Tariff R1 “time</w:t>
            </w:r>
            <w:r>
              <w:noBreakHyphen/>
              <w:t>of</w:t>
            </w:r>
            <w:r>
              <w:noBreakHyphen/>
              <w:t>use meter” installation fee ……...</w:t>
            </w:r>
          </w:p>
        </w:tc>
        <w:tc>
          <w:tcPr>
            <w:tcW w:w="1418" w:type="dxa"/>
            <w:tcBorders>
              <w:bottom w:val="single" w:sz="4" w:space="0" w:color="auto"/>
            </w:tcBorders>
          </w:tcPr>
          <w:p>
            <w:pPr>
              <w:pStyle w:val="yTable"/>
              <w:tabs>
                <w:tab w:val="decimal" w:pos="425"/>
              </w:tabs>
              <w:spacing w:before="0"/>
            </w:pPr>
            <w:r>
              <w:t>$709.00</w:t>
            </w:r>
          </w:p>
        </w:tc>
      </w:tr>
    </w:tbl>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55" w:name="_Toc113695922"/>
      <w:bookmarkStart w:id="256" w:name="_Toc131491089"/>
      <w:bookmarkStart w:id="257" w:name="_Toc152664698"/>
      <w:bookmarkStart w:id="258" w:name="_Toc152669129"/>
      <w:r>
        <w:t>Notes</w:t>
      </w:r>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r>
        <w:rPr>
          <w:snapToGrid w:val="0"/>
        </w:rPr>
        <w:t xml:space="preserve"> and includes the amendments made by the other written laws referred to in the following table. </w:t>
      </w:r>
      <w:bookmarkStart w:id="259" w:name="_Toc70311430"/>
      <w:bookmarkStart w:id="260" w:name="_Toc113695923"/>
    </w:p>
    <w:p>
      <w:pPr>
        <w:pStyle w:val="nHeading3"/>
      </w:pPr>
      <w:bookmarkStart w:id="261" w:name="_Toc152669130"/>
      <w:r>
        <w:t>Compilation table</w:t>
      </w:r>
      <w:bookmarkEnd w:id="259"/>
      <w:bookmarkEnd w:id="260"/>
      <w:bookmarkEnd w:id="2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tcBorders>
          </w:tcPr>
          <w:p>
            <w:pPr>
              <w:pStyle w:val="nTable"/>
              <w:rPr>
                <w:sz w:val="19"/>
              </w:rPr>
            </w:pPr>
            <w:r>
              <w:rPr>
                <w:sz w:val="19"/>
              </w:rPr>
              <w:t>31 Mar 2006 p. 1225-46</w:t>
            </w:r>
          </w:p>
        </w:tc>
        <w:tc>
          <w:tcPr>
            <w:tcW w:w="2693" w:type="dxa"/>
            <w:tcBorders>
              <w:top w:val="single" w:sz="8" w:space="0" w:color="auto"/>
            </w:tcBorders>
          </w:tcPr>
          <w:p>
            <w:pPr>
              <w:pStyle w:val="nTable"/>
              <w:rPr>
                <w:sz w:val="19"/>
              </w:rPr>
            </w:pPr>
            <w:r>
              <w:rPr>
                <w:sz w:val="19"/>
              </w:rPr>
              <w:t>1 Apr 2006 (see bl. 2)</w:t>
            </w:r>
          </w:p>
        </w:tc>
      </w:tr>
      <w:tr>
        <w:tc>
          <w:tcPr>
            <w:tcW w:w="3118" w:type="dxa"/>
            <w:tcBorders>
              <w:bottom w:val="single" w:sz="4" w:space="0" w:color="auto"/>
            </w:tcBorders>
          </w:tcPr>
          <w:p>
            <w:pPr>
              <w:pStyle w:val="nTable"/>
              <w:rPr>
                <w:i/>
                <w:sz w:val="19"/>
              </w:rPr>
            </w:pPr>
            <w:r>
              <w:rPr>
                <w:i/>
                <w:sz w:val="19"/>
              </w:rPr>
              <w:t>Energy Operators (Electricity Retail Corporation) (Charges) Amendment By-laws 2006</w:t>
            </w:r>
          </w:p>
        </w:tc>
        <w:tc>
          <w:tcPr>
            <w:tcW w:w="1276" w:type="dxa"/>
            <w:tcBorders>
              <w:bottom w:val="single" w:sz="4" w:space="0" w:color="auto"/>
            </w:tcBorders>
          </w:tcPr>
          <w:p>
            <w:pPr>
              <w:pStyle w:val="nTable"/>
              <w:rPr>
                <w:sz w:val="19"/>
              </w:rPr>
            </w:pPr>
            <w:r>
              <w:rPr>
                <w:sz w:val="19"/>
              </w:rPr>
              <w:t>1 Dec 2006 p. 5349</w:t>
            </w:r>
            <w:r>
              <w:rPr>
                <w:sz w:val="19"/>
              </w:rPr>
              <w:noBreakHyphen/>
              <w:t>50</w:t>
            </w:r>
          </w:p>
        </w:tc>
        <w:tc>
          <w:tcPr>
            <w:tcW w:w="2693" w:type="dxa"/>
            <w:tcBorders>
              <w:bottom w:val="single" w:sz="4" w:space="0" w:color="auto"/>
            </w:tcBorders>
          </w:tcPr>
          <w:p>
            <w:pPr>
              <w:pStyle w:val="nTable"/>
              <w:rPr>
                <w:sz w:val="19"/>
              </w:rPr>
            </w:pPr>
            <w:r>
              <w:rPr>
                <w:sz w:val="19"/>
              </w:rPr>
              <w:t>1 Dec 2006</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4103</Words>
  <Characters>19859</Characters>
  <Application>Microsoft Office Word</Application>
  <DocSecurity>0</DocSecurity>
  <Lines>863</Lines>
  <Paragraphs>599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vt:lpstr>
      <vt:lpstr>    Schedule 4 — Fees</vt:lpstr>
      <vt:lpstr>    Notes</vt:lpstr>
    </vt:vector>
  </TitlesOfParts>
  <Manager/>
  <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2006 - 00-b0-03</dc:title>
  <dc:subject/>
  <dc:creator/>
  <cp:keywords/>
  <dc:description/>
  <cp:lastModifiedBy>svcMRProcess</cp:lastModifiedBy>
  <cp:revision>4</cp:revision>
  <cp:lastPrinted>2006-02-17T09:31:00Z</cp:lastPrinted>
  <dcterms:created xsi:type="dcterms:W3CDTF">2020-02-24T13:54:00Z</dcterms:created>
  <dcterms:modified xsi:type="dcterms:W3CDTF">2020-02-24T13:55:00Z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38407</vt:i4>
  </property>
  <property fmtid="{D5CDD505-2E9C-101B-9397-08002B2CF9AE}" pid="6" name="AsAtDate">
    <vt:lpwstr>01 Dec 2006</vt:lpwstr>
  </property>
  <property fmtid="{D5CDD505-2E9C-101B-9397-08002B2CF9AE}" pid="7" name="Suffix">
    <vt:lpwstr>00-b0-03</vt:lpwstr>
  </property>
</Properties>
</file>