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11" name="Picture 1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PrincipalActRegPage1"/>
      </w:pPr>
      <w:r>
        <w:fldChar w:fldCharType="begin"/>
      </w:r>
      <w:r>
        <w:instrText xml:space="preserve"> STYLEREF "PrincipalAct_Reg</w:instrText>
      </w:r>
      <w:r>
        <w:fldChar w:fldCharType="separate"/>
      </w:r>
      <w:r>
        <w:rPr>
          <w:noProof/>
        </w:rPr>
        <w:t>Environmental Protection Act 1986</w:t>
      </w:r>
      <w:r>
        <w:fldChar w:fldCharType="end"/>
      </w:r>
    </w:p>
    <w:p>
      <w:pPr>
        <w:pStyle w:val="NameofActRegPage1"/>
        <w:spacing w:before="1800" w:after="42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Environmental Protection (Fibre Reinforced Plastics) Regulations 1998</w:t>
      </w:r>
      <w:r>
        <w:fldChar w:fldCharType="end"/>
      </w:r>
    </w:p>
    <w:p>
      <w:pPr>
        <w:jc w:val="center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2434"/>
        <w:gridCol w:w="2434"/>
      </w:tblGrid>
      <w:tr>
        <w:trPr>
          <w:cantSplit/>
        </w:trPr>
        <w:tc>
          <w:tcPr>
            <w:tcW w:w="2434" w:type="dxa"/>
            <w:vMerge w:val="restart"/>
          </w:tcPr>
          <w:p/>
        </w:tc>
        <w:tc>
          <w:tcPr>
            <w:tcW w:w="2434" w:type="dxa"/>
            <w:vMerge w:val="restart"/>
          </w:tcPr>
          <w:p>
            <w:pPr>
              <w:jc w:val="center"/>
            </w:pPr>
          </w:p>
        </w:tc>
        <w:tc>
          <w:tcPr>
            <w:tcW w:w="2434" w:type="dxa"/>
          </w:tcPr>
          <w:p>
            <w:r>
              <w:rPr>
                <w:b/>
                <w:sz w:val="22"/>
              </w:rPr>
              <w:t xml:space="preserve">Reprinted under the </w:t>
            </w:r>
            <w:r>
              <w:rPr>
                <w:b/>
                <w:i/>
                <w:sz w:val="22"/>
              </w:rPr>
              <w:t>Reprints Act 1984</w:t>
            </w:r>
            <w:r>
              <w:rPr>
                <w:b/>
                <w:sz w:val="22"/>
              </w:rPr>
              <w:t xml:space="preserve"> as </w:t>
            </w:r>
          </w:p>
        </w:tc>
      </w:tr>
      <w:tr>
        <w:trPr>
          <w:cantSplit/>
        </w:trPr>
        <w:tc>
          <w:tcPr>
            <w:tcW w:w="2434" w:type="dxa"/>
            <w:vMerge/>
          </w:tcPr>
          <w:p/>
        </w:tc>
        <w:tc>
          <w:tcPr>
            <w:tcW w:w="2434" w:type="dxa"/>
            <w:vMerge/>
          </w:tcPr>
          <w:p>
            <w:pPr>
              <w:jc w:val="center"/>
            </w:pPr>
          </w:p>
        </w:tc>
        <w:tc>
          <w:tcPr>
            <w:tcW w:w="2434" w:type="dxa"/>
          </w:tcPr>
          <w:p>
            <w:pPr>
              <w:keepNext/>
              <w:rPr>
                <w:b/>
                <w:sz w:val="22"/>
              </w:rPr>
            </w:pPr>
            <w:r>
              <w:rPr>
                <w:b/>
                <w:sz w:val="22"/>
              </w:rPr>
              <w:t>at 7 May 2004</w:t>
            </w:r>
          </w:p>
        </w:tc>
      </w:tr>
    </w:tbl>
    <w:p>
      <w:pPr>
        <w:pStyle w:val="WA"/>
        <w:spacing w:before="12"/>
      </w:pPr>
      <w:r>
        <w:t>Western Australia</w:t>
      </w:r>
    </w:p>
    <w:p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Environmental Protection (Fibre Reinforced Plastics) Regulations 1998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fldChar w:fldCharType="separate"/>
      </w:r>
      <w:r>
        <w:t>1</w:t>
      </w:r>
      <w:r>
        <w:rPr>
          <w:snapToGrid w:val="0"/>
        </w:rPr>
        <w:t>.</w:t>
      </w:r>
      <w:r>
        <w:rPr>
          <w:snapToGrid w:val="0"/>
        </w:rPr>
        <w:tab/>
        <w:t>Citation</w:t>
      </w:r>
      <w:r>
        <w:tab/>
      </w:r>
      <w:r>
        <w:fldChar w:fldCharType="begin"/>
      </w:r>
      <w:r>
        <w:instrText xml:space="preserve"> PAGEREF _Toc416788813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>
        <w:rPr>
          <w:snapToGrid w:val="0"/>
        </w:rPr>
        <w:t>.</w:t>
      </w:r>
      <w:r>
        <w:rPr>
          <w:snapToGrid w:val="0"/>
        </w:rPr>
        <w:tab/>
        <w:t>Interpretation</w:t>
      </w:r>
      <w:r>
        <w:tab/>
      </w:r>
      <w:r>
        <w:fldChar w:fldCharType="begin"/>
      </w:r>
      <w:r>
        <w:instrText xml:space="preserve"> PAGEREF _Toc416788814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3</w:t>
      </w:r>
      <w:r>
        <w:rPr>
          <w:snapToGrid w:val="0"/>
        </w:rPr>
        <w:t>.</w:t>
      </w:r>
      <w:r>
        <w:rPr>
          <w:snapToGrid w:val="0"/>
        </w:rPr>
        <w:tab/>
        <w:t>Use of resins and solvents</w:t>
      </w:r>
      <w:r>
        <w:tab/>
      </w:r>
      <w:r>
        <w:fldChar w:fldCharType="begin"/>
      </w:r>
      <w:r>
        <w:instrText xml:space="preserve"> PAGEREF _Toc416788815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4</w:t>
      </w:r>
      <w:r>
        <w:rPr>
          <w:snapToGrid w:val="0"/>
        </w:rPr>
        <w:t>.</w:t>
      </w:r>
      <w:r>
        <w:rPr>
          <w:snapToGrid w:val="0"/>
        </w:rPr>
        <w:tab/>
        <w:t>Use of low styrene emission resin</w:t>
      </w:r>
      <w:r>
        <w:tab/>
      </w:r>
      <w:r>
        <w:fldChar w:fldCharType="begin"/>
      </w:r>
      <w:r>
        <w:instrText xml:space="preserve"> PAGEREF _Toc416788816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5</w:t>
      </w:r>
      <w:r>
        <w:rPr>
          <w:snapToGrid w:val="0"/>
        </w:rPr>
        <w:t>.</w:t>
      </w:r>
      <w:r>
        <w:rPr>
          <w:snapToGrid w:val="0"/>
        </w:rPr>
        <w:tab/>
        <w:t>Control of dust</w:t>
      </w:r>
      <w:r>
        <w:tab/>
      </w:r>
      <w:r>
        <w:fldChar w:fldCharType="begin"/>
      </w:r>
      <w:r>
        <w:instrText xml:space="preserve"> PAGEREF _Toc416788817 \h </w:instrText>
      </w:r>
      <w:r>
        <w:fldChar w:fldCharType="separate"/>
      </w:r>
      <w:r>
        <w:t>3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6</w:t>
      </w:r>
      <w:r>
        <w:rPr>
          <w:snapToGrid w:val="0"/>
        </w:rPr>
        <w:t>.</w:t>
      </w:r>
      <w:r>
        <w:rPr>
          <w:snapToGrid w:val="0"/>
        </w:rPr>
        <w:tab/>
        <w:t>Disposal of waste material</w:t>
      </w:r>
      <w:r>
        <w:tab/>
      </w:r>
      <w:r>
        <w:fldChar w:fldCharType="begin"/>
      </w:r>
      <w:r>
        <w:instrText xml:space="preserve"> PAGEREF _Toc416788818 \h </w:instrText>
      </w:r>
      <w:r>
        <w:fldChar w:fldCharType="separate"/>
      </w:r>
      <w:r>
        <w:t>3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7</w:t>
      </w:r>
      <w:r>
        <w:rPr>
          <w:snapToGrid w:val="0"/>
        </w:rPr>
        <w:t>.</w:t>
      </w:r>
      <w:r>
        <w:rPr>
          <w:snapToGrid w:val="0"/>
        </w:rPr>
        <w:tab/>
        <w:t>Offence</w:t>
      </w:r>
      <w:r>
        <w:tab/>
      </w:r>
      <w:r>
        <w:fldChar w:fldCharType="begin"/>
      </w:r>
      <w:r>
        <w:instrText xml:space="preserve"> PAGEREF _Toc416788819 \h </w:instrText>
      </w:r>
      <w:r>
        <w:fldChar w:fldCharType="separate"/>
      </w:r>
      <w:r>
        <w:t>3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 1</w:t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Test procedure to determine styrene emission rates</w:t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Notes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rPr>
          <w:snapToGrid w:val="0"/>
        </w:rPr>
        <w:tab/>
        <w:t>Compilation table</w:t>
      </w:r>
      <w:r>
        <w:tab/>
      </w:r>
      <w:r>
        <w:fldChar w:fldCharType="begin"/>
      </w:r>
      <w:r>
        <w:instrText xml:space="preserve"> PAGEREF _Toc416788823 \h </w:instrText>
      </w:r>
      <w:r>
        <w:fldChar w:fldCharType="separate"/>
      </w:r>
      <w:r>
        <w:t>6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Defined terms</w:t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2381" w:right="2410" w:bottom="3544" w:left="2410" w:header="720" w:footer="3544" w:gutter="0"/>
          <w:pgNumType w:fmt="lowerRoman" w:start="1"/>
          <w:cols w:space="720"/>
          <w:noEndnote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2434"/>
        <w:gridCol w:w="2434"/>
      </w:tblGrid>
      <w:tr>
        <w:trPr>
          <w:cantSplit/>
        </w:trPr>
        <w:tc>
          <w:tcPr>
            <w:tcW w:w="2434" w:type="dxa"/>
            <w:vMerge w:val="restart"/>
          </w:tcPr>
          <w:p/>
        </w:tc>
        <w:tc>
          <w:tcPr>
            <w:tcW w:w="2434" w:type="dxa"/>
            <w:vMerge w:val="restart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476250"/>
                  <wp:effectExtent l="0" t="0" r="0" b="0"/>
                  <wp:docPr id="65" name="Picture 65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>
            <w:r>
              <w:rPr>
                <w:b/>
                <w:sz w:val="22"/>
              </w:rPr>
              <w:t xml:space="preserve">Reprinted under the </w:t>
            </w:r>
            <w:r>
              <w:rPr>
                <w:b/>
                <w:i/>
                <w:sz w:val="22"/>
              </w:rPr>
              <w:t>Reprints Act 1984</w:t>
            </w:r>
            <w:r>
              <w:rPr>
                <w:b/>
                <w:sz w:val="22"/>
              </w:rPr>
              <w:t xml:space="preserve"> as</w:t>
            </w:r>
          </w:p>
        </w:tc>
      </w:tr>
      <w:tr>
        <w:trPr>
          <w:cantSplit/>
        </w:trPr>
        <w:tc>
          <w:tcPr>
            <w:tcW w:w="2434" w:type="dxa"/>
            <w:vMerge/>
          </w:tcPr>
          <w:p/>
        </w:tc>
        <w:tc>
          <w:tcPr>
            <w:tcW w:w="2434" w:type="dxa"/>
            <w:vMerge/>
          </w:tcPr>
          <w:p>
            <w:pPr>
              <w:jc w:val="center"/>
            </w:pPr>
          </w:p>
        </w:tc>
        <w:tc>
          <w:tcPr>
            <w:tcW w:w="2434" w:type="dxa"/>
          </w:tcPr>
          <w:p>
            <w:pPr>
              <w:keepNext/>
              <w:rPr>
                <w:b/>
                <w:sz w:val="22"/>
              </w:rPr>
            </w:pPr>
            <w:r>
              <w:rPr>
                <w:b/>
                <w:sz w:val="22"/>
              </w:rPr>
              <w:t>at 7 May 2004</w:t>
            </w:r>
          </w:p>
        </w:tc>
      </w:tr>
    </w:tbl>
    <w:p>
      <w:pPr>
        <w:pStyle w:val="WA"/>
        <w:spacing w:before="12"/>
      </w:pPr>
      <w:r>
        <w:t>Western Australia</w:t>
      </w:r>
    </w:p>
    <w:p>
      <w:pPr>
        <w:pStyle w:val="PrincipalActReg"/>
        <w:rPr>
          <w:snapToGrid w:val="0"/>
        </w:rPr>
      </w:pPr>
      <w:r>
        <w:rPr>
          <w:snapToGrid w:val="0"/>
        </w:rPr>
        <w:t>Environmental Protection Act 1986</w:t>
      </w:r>
    </w:p>
    <w:p>
      <w:pPr>
        <w:pStyle w:val="NameofActReg"/>
      </w:pPr>
      <w:r>
        <w:t xml:space="preserve">Environmental Protection (Fibre Reinforced Plastics) Regulations 1998 </w:t>
      </w:r>
    </w:p>
    <w:p>
      <w:pPr>
        <w:pStyle w:val="Heading5"/>
        <w:rPr>
          <w:snapToGrid w:val="0"/>
        </w:rPr>
      </w:pPr>
      <w:bookmarkStart w:id="3" w:name="_Toc378239306"/>
      <w:bookmarkStart w:id="4" w:name="_Toc416788813"/>
      <w:r>
        <w:rPr>
          <w:rStyle w:val="CharSectno"/>
        </w:rPr>
        <w:t>1</w:t>
      </w:r>
      <w:r>
        <w:rPr>
          <w:snapToGrid w:val="0"/>
        </w:rPr>
        <w:t>.</w:t>
      </w:r>
      <w:r>
        <w:rPr>
          <w:snapToGrid w:val="0"/>
        </w:rPr>
        <w:tab/>
        <w:t>Citation</w:t>
      </w:r>
      <w:bookmarkEnd w:id="3"/>
      <w:bookmarkEnd w:id="4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These regulations may be cited as the </w:t>
      </w:r>
      <w:r>
        <w:rPr>
          <w:i/>
          <w:snapToGrid w:val="0"/>
        </w:rPr>
        <w:t>Environmental Protection (Fibre Reinforced Plastics) Regulations 1998</w:t>
      </w:r>
      <w:r>
        <w:rPr>
          <w:snapToGrid w:val="0"/>
          <w:vertAlign w:val="superscript"/>
        </w:rPr>
        <w:t> 1</w:t>
      </w:r>
      <w:r>
        <w:rPr>
          <w:snapToGrid w:val="0"/>
        </w:rPr>
        <w:t>.</w:t>
      </w:r>
    </w:p>
    <w:p>
      <w:pPr>
        <w:pStyle w:val="Heading5"/>
        <w:rPr>
          <w:snapToGrid w:val="0"/>
        </w:rPr>
      </w:pPr>
      <w:bookmarkStart w:id="5" w:name="_Toc378239307"/>
      <w:bookmarkStart w:id="6" w:name="_Toc416788814"/>
      <w:r>
        <w:rPr>
          <w:rStyle w:val="CharSectno"/>
        </w:rPr>
        <w:t>2</w:t>
      </w:r>
      <w:r>
        <w:rPr>
          <w:snapToGrid w:val="0"/>
        </w:rPr>
        <w:t>.</w:t>
      </w:r>
      <w:r>
        <w:rPr>
          <w:snapToGrid w:val="0"/>
        </w:rPr>
        <w:tab/>
        <w:t>Interpretation</w:t>
      </w:r>
      <w:bookmarkEnd w:id="5"/>
      <w:bookmarkEnd w:id="6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In these regulations — 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fibre reinforced plastic</w:t>
      </w:r>
      <w:r>
        <w:t xml:space="preserve"> means plastic produced using a process in which fibres are used to reinforce a resin which has been pre</w:t>
      </w:r>
      <w:r>
        <w:noBreakHyphen/>
        <w:t>treated with a catalyst;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fibre reinforced plastics manufacturing</w:t>
      </w:r>
      <w:r>
        <w:t xml:space="preserve"> means the manufacturing of products from fibre reinforced plastic; 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operator</w:t>
      </w:r>
      <w:r>
        <w:t xml:space="preserve"> means a person carrying on fibre reinforced plastics manufacture; 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resin</w:t>
      </w:r>
      <w:r>
        <w:t xml:space="preserve"> means a solid, semi</w:t>
      </w:r>
      <w:r>
        <w:noBreakHyphen/>
        <w:t>solid or liquid organic material which is used as a base in the manufacture of fibre reinforced plastics;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solvent</w:t>
      </w:r>
      <w:r>
        <w:t xml:space="preserve"> means acetone, ethyl acetate, ethanol or any other chemical used for dissolving other chemicals in the manufacture of fibre reinforced plastics.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 xml:space="preserve">In these regulations a reference to </w:t>
      </w:r>
      <w:r>
        <w:rPr>
          <w:rStyle w:val="CharDefText"/>
        </w:rPr>
        <w:t>the premises</w:t>
      </w:r>
      <w:r>
        <w:rPr>
          <w:snapToGrid w:val="0"/>
        </w:rPr>
        <w:t xml:space="preserve"> in relation to an operator is a reference to the premises at which the operator carries on fibre reinforced plastics manufacturing.</w:t>
      </w:r>
    </w:p>
    <w:p>
      <w:pPr>
        <w:pStyle w:val="Heading5"/>
        <w:rPr>
          <w:snapToGrid w:val="0"/>
        </w:rPr>
      </w:pPr>
      <w:bookmarkStart w:id="7" w:name="_Toc378239308"/>
      <w:bookmarkStart w:id="8" w:name="_Toc416788815"/>
      <w:r>
        <w:rPr>
          <w:rStyle w:val="CharSectno"/>
        </w:rPr>
        <w:t>3</w:t>
      </w:r>
      <w:r>
        <w:rPr>
          <w:snapToGrid w:val="0"/>
        </w:rPr>
        <w:t>.</w:t>
      </w:r>
      <w:r>
        <w:rPr>
          <w:snapToGrid w:val="0"/>
        </w:rPr>
        <w:tab/>
        <w:t>Use of resins and solvents</w:t>
      </w:r>
      <w:bookmarkEnd w:id="7"/>
      <w:bookmarkEnd w:id="8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An operator must — 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store all resins, solvents and products containing solvents kept on the premises in airtight containers; and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keep those containers sealed except when they are being filled or the contents are being removed.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>An operator must not expose to the atmosphere at any time more resin than is necessary for the purpose for which the resin is being used.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(3)</w:t>
      </w:r>
      <w:r>
        <w:rPr>
          <w:snapToGrid w:val="0"/>
        </w:rPr>
        <w:tab/>
        <w:t>An operator must — 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keep a supply of absorbent material on the premises; 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use that material to immediately mop up any spillage of resin, solvent or a product containing solvent; and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keep any material which has been so used in an airtight container until it is disposed of in accordance with regulation 6.</w:t>
      </w:r>
    </w:p>
    <w:p>
      <w:pPr>
        <w:pStyle w:val="Heading5"/>
        <w:rPr>
          <w:snapToGrid w:val="0"/>
        </w:rPr>
      </w:pPr>
      <w:bookmarkStart w:id="9" w:name="_Toc378239309"/>
      <w:bookmarkStart w:id="10" w:name="_Toc416788816"/>
      <w:r>
        <w:rPr>
          <w:rStyle w:val="CharSectno"/>
        </w:rPr>
        <w:t>4</w:t>
      </w:r>
      <w:r>
        <w:rPr>
          <w:snapToGrid w:val="0"/>
        </w:rPr>
        <w:t>.</w:t>
      </w:r>
      <w:r>
        <w:rPr>
          <w:snapToGrid w:val="0"/>
        </w:rPr>
        <w:tab/>
        <w:t>Use of low styrene emission resin</w:t>
      </w:r>
      <w:bookmarkEnd w:id="9"/>
      <w:bookmarkEnd w:id="10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An operator must not use resin other than low styrene emission resin in fibre reinforced plastics manufacturing unless — 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a particular application requires certain physical or chemical properties which cannot be achieved using low styrene emission resin; 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the resin is a gel coat; or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the resin is being used in a closed moulding process.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>In subregulation (1) — 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gel coat</w:t>
      </w:r>
      <w:r>
        <w:t xml:space="preserve"> means an outer layer of resin which is used on fibre reinforced plastic to improve surface properties;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low styrene emission resin</w:t>
      </w:r>
      <w:r>
        <w:t xml:space="preserve"> means a resin with a maximum emission rate of 20 grams of styrene per square metre of resin per half hour at 23°C, as determined using the method set out in Schedule 1.</w:t>
      </w:r>
    </w:p>
    <w:p>
      <w:pPr>
        <w:pStyle w:val="Heading5"/>
        <w:rPr>
          <w:snapToGrid w:val="0"/>
        </w:rPr>
      </w:pPr>
      <w:bookmarkStart w:id="11" w:name="_Toc378239310"/>
      <w:bookmarkStart w:id="12" w:name="_Toc416788817"/>
      <w:r>
        <w:rPr>
          <w:rStyle w:val="CharSectno"/>
        </w:rPr>
        <w:t>5</w:t>
      </w:r>
      <w:r>
        <w:rPr>
          <w:snapToGrid w:val="0"/>
        </w:rPr>
        <w:t>.</w:t>
      </w:r>
      <w:r>
        <w:rPr>
          <w:snapToGrid w:val="0"/>
        </w:rPr>
        <w:tab/>
        <w:t>Control of dust</w:t>
      </w:r>
      <w:bookmarkEnd w:id="11"/>
      <w:bookmarkEnd w:id="12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An operator must ensure that no visible dust created during fibre reinforced plastics manufacturing escapes from the premises.</w:t>
      </w:r>
    </w:p>
    <w:p>
      <w:pPr>
        <w:pStyle w:val="Heading5"/>
        <w:rPr>
          <w:snapToGrid w:val="0"/>
        </w:rPr>
      </w:pPr>
      <w:bookmarkStart w:id="13" w:name="_Toc378239311"/>
      <w:bookmarkStart w:id="14" w:name="_Toc416788818"/>
      <w:r>
        <w:rPr>
          <w:rStyle w:val="CharSectno"/>
        </w:rPr>
        <w:t>6</w:t>
      </w:r>
      <w:r>
        <w:rPr>
          <w:snapToGrid w:val="0"/>
        </w:rPr>
        <w:t>.</w:t>
      </w:r>
      <w:r>
        <w:rPr>
          <w:snapToGrid w:val="0"/>
        </w:rPr>
        <w:tab/>
        <w:t>Disposal of waste material</w:t>
      </w:r>
      <w:bookmarkEnd w:id="13"/>
      <w:bookmarkEnd w:id="14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An operator must dispose of all waste produced during fibre reinforced product manufacturing at an appropriate landfill site or waste treatment facility the occupier of which holds a licence under Part V of the Act in respect of that site or facility.</w:t>
      </w:r>
    </w:p>
    <w:p>
      <w:pPr>
        <w:pStyle w:val="Heading5"/>
        <w:rPr>
          <w:snapToGrid w:val="0"/>
        </w:rPr>
      </w:pPr>
      <w:bookmarkStart w:id="15" w:name="_Toc378239312"/>
      <w:bookmarkStart w:id="16" w:name="_Toc416788819"/>
      <w:r>
        <w:rPr>
          <w:rStyle w:val="CharSectno"/>
        </w:rPr>
        <w:t>7</w:t>
      </w:r>
      <w:r>
        <w:rPr>
          <w:snapToGrid w:val="0"/>
        </w:rPr>
        <w:t>.</w:t>
      </w:r>
      <w:r>
        <w:rPr>
          <w:snapToGrid w:val="0"/>
        </w:rPr>
        <w:tab/>
        <w:t>Offence</w:t>
      </w:r>
      <w:bookmarkEnd w:id="15"/>
      <w:bookmarkEnd w:id="16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 person who contravenes these regulations commits an offence.</w:t>
      </w:r>
    </w:p>
    <w:p>
      <w:pPr>
        <w:pStyle w:val="Penstart"/>
        <w:rPr>
          <w:snapToGrid w:val="0"/>
        </w:rPr>
      </w:pPr>
      <w:r>
        <w:rPr>
          <w:snapToGrid w:val="0"/>
        </w:rPr>
        <w:tab/>
        <w:t xml:space="preserve">Penalty: </w:t>
      </w:r>
      <w:r>
        <w:t>$5 000</w:t>
      </w:r>
      <w:r>
        <w:rPr>
          <w:snapToGrid w:val="0"/>
        </w:rPr>
        <w:t>.</w:t>
      </w:r>
    </w:p>
    <w:p>
      <w:pPr>
        <w:pStyle w:val="Footnotesection"/>
      </w:pPr>
      <w:r>
        <w:tab/>
        <w:t>[Regulation 7 amended: Gazette 11 Dec 1998 p. 6613.]</w:t>
      </w:r>
    </w:p>
    <w:p>
      <w:pPr>
        <w:pStyle w:val="Ednotesection"/>
      </w:pPr>
      <w:r>
        <w:t>[</w:t>
      </w:r>
      <w:r>
        <w:rPr>
          <w:b/>
        </w:rPr>
        <w:t>8.</w:t>
      </w:r>
      <w:r>
        <w:tab/>
      </w:r>
      <w:r>
        <w:tab/>
        <w:t>Omitted under the Reprints Act 1984 s. 7(4)(f).]</w:t>
      </w:r>
    </w:p>
    <w:p>
      <w:pPr>
        <w:rPr>
          <w:rStyle w:val="CharDivText"/>
        </w:rPr>
        <w:sectPr>
          <w:headerReference w:type="even" r:id="rId22"/>
          <w:headerReference w:type="default" r:id="rId23"/>
          <w:headerReference w:type="first" r:id="rId24"/>
          <w:pgSz w:w="11907" w:h="16840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yScheduleHeading"/>
      </w:pPr>
      <w:bookmarkStart w:id="17" w:name="_Toc378239313"/>
      <w:bookmarkStart w:id="18" w:name="_Toc416788745"/>
      <w:bookmarkStart w:id="19" w:name="_Toc416788820"/>
      <w:r>
        <w:rPr>
          <w:rStyle w:val="CharSchNo"/>
        </w:rPr>
        <w:t>Schedule 1</w:t>
      </w:r>
      <w:bookmarkEnd w:id="17"/>
      <w:bookmarkEnd w:id="18"/>
      <w:bookmarkEnd w:id="19"/>
      <w:r>
        <w:rPr>
          <w:rStyle w:val="CharSchNo"/>
        </w:rPr>
        <w:t xml:space="preserve"> </w:t>
      </w:r>
    </w:p>
    <w:p>
      <w:pPr>
        <w:pStyle w:val="yShoulderClause"/>
        <w:rPr>
          <w:snapToGrid w:val="0"/>
        </w:rPr>
      </w:pPr>
      <w:r>
        <w:rPr>
          <w:snapToGrid w:val="0"/>
        </w:rPr>
        <w:t>[Regulation 4]</w:t>
      </w:r>
    </w:p>
    <w:p>
      <w:pPr>
        <w:pStyle w:val="yHeading2"/>
      </w:pPr>
      <w:bookmarkStart w:id="20" w:name="_Toc378239314"/>
      <w:bookmarkStart w:id="21" w:name="_Toc416788746"/>
      <w:bookmarkStart w:id="22" w:name="_Toc416788821"/>
      <w:r>
        <w:rPr>
          <w:rStyle w:val="CharSchText"/>
        </w:rPr>
        <w:t>Test procedure to determine styrene emission rates</w:t>
      </w:r>
      <w:bookmarkEnd w:id="20"/>
      <w:bookmarkEnd w:id="21"/>
      <w:bookmarkEnd w:id="22"/>
    </w:p>
    <w:p>
      <w:pPr>
        <w:pStyle w:val="yTable"/>
        <w:rPr>
          <w:b/>
          <w:snapToGrid w:val="0"/>
        </w:rPr>
      </w:pPr>
      <w:r>
        <w:rPr>
          <w:b/>
          <w:snapToGrid w:val="0"/>
        </w:rPr>
        <w:t>Aim</w:t>
      </w:r>
    </w:p>
    <w:p>
      <w:pPr>
        <w:pStyle w:val="yTable"/>
        <w:rPr>
          <w:snapToGrid w:val="0"/>
        </w:rPr>
      </w:pPr>
      <w:r>
        <w:rPr>
          <w:snapToGrid w:val="0"/>
        </w:rPr>
        <w:t>This test method gives an indication of the rate of styrene loss from a typical Chopped Strand Mat (CSM) contact moulded laminate, with a surface open to the atmosphere.</w:t>
      </w:r>
    </w:p>
    <w:p>
      <w:pPr>
        <w:pStyle w:val="yTable"/>
        <w:rPr>
          <w:b/>
          <w:snapToGrid w:val="0"/>
        </w:rPr>
      </w:pPr>
      <w:r>
        <w:rPr>
          <w:b/>
          <w:snapToGrid w:val="0"/>
        </w:rPr>
        <w:t>Theory</w:t>
      </w:r>
    </w:p>
    <w:p>
      <w:pPr>
        <w:pStyle w:val="yTable"/>
        <w:rPr>
          <w:snapToGrid w:val="0"/>
        </w:rPr>
      </w:pPr>
      <w:r>
        <w:rPr>
          <w:snapToGrid w:val="0"/>
        </w:rPr>
        <w:t>A single layer of CSM is impregnated with the uncatalysed resin and supported on an accurate direct reading top pan balance in a draught</w:t>
      </w:r>
      <w:r>
        <w:rPr>
          <w:snapToGrid w:val="0"/>
        </w:rPr>
        <w:noBreakHyphen/>
        <w:t>free room at 23°C. The loss in weight in grams per square metre is recorded against time.</w:t>
      </w:r>
    </w:p>
    <w:p>
      <w:pPr>
        <w:pStyle w:val="yTable"/>
        <w:rPr>
          <w:b/>
          <w:snapToGrid w:val="0"/>
        </w:rPr>
      </w:pPr>
      <w:r>
        <w:rPr>
          <w:b/>
          <w:snapToGrid w:val="0"/>
        </w:rPr>
        <w:t>Apparatus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Direct reading top pan balance accurate to 0.01 g.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Polyethylene terephthalate film (Melinex).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Glass fibre chopped strand mat — emulsion bound — 450 g/m</w:t>
      </w:r>
      <w:r>
        <w:rPr>
          <w:snapToGrid w:val="0"/>
          <w:vertAlign w:val="superscript"/>
        </w:rPr>
        <w:t>2</w:t>
      </w:r>
      <w:r>
        <w:rPr>
          <w:snapToGrid w:val="0"/>
        </w:rPr>
        <w:t>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A draught</w:t>
      </w:r>
      <w:r>
        <w:rPr>
          <w:snapToGrid w:val="0"/>
        </w:rPr>
        <w:noBreakHyphen/>
        <w:t>free room of 50 cubic metres minimum volume, controlled at 23°C </w:t>
      </w:r>
      <w:r>
        <w:rPr>
          <w:snapToGrid w:val="0"/>
        </w:rPr>
        <w:sym w:font="Symbol" w:char="F0B1"/>
      </w:r>
      <w:r>
        <w:rPr>
          <w:snapToGrid w:val="0"/>
        </w:rPr>
        <w:t> 1°C.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  <w:t>Optional shielding as shown in Figure 1.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6.</w:t>
      </w:r>
      <w:r>
        <w:rPr>
          <w:snapToGrid w:val="0"/>
        </w:rPr>
        <w:tab/>
        <w:t>Suitable support platen 300 mm x 300 mm.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7.</w:t>
      </w:r>
      <w:r>
        <w:rPr>
          <w:snapToGrid w:val="0"/>
        </w:rPr>
        <w:tab/>
        <w:t>Glass beaker.</w:t>
      </w:r>
    </w:p>
    <w:p>
      <w:pPr>
        <w:pStyle w:val="yTable"/>
        <w:rPr>
          <w:b/>
          <w:snapToGrid w:val="0"/>
        </w:rPr>
      </w:pPr>
      <w:r>
        <w:rPr>
          <w:b/>
          <w:snapToGrid w:val="0"/>
        </w:rPr>
        <w:t>Method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Set up apparatus in the draught</w:t>
      </w:r>
      <w:r>
        <w:rPr>
          <w:snapToGrid w:val="0"/>
        </w:rPr>
        <w:noBreakHyphen/>
        <w:t>free room.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Cut and weigh a 250 mm x 250 mm section of CSM.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Cut a 300 mm x 300 mm square of Melinex film and mark an area of 250 mm x 250 mm on the back of the film with a marker pen.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Adjust the resin temperature to 23°C.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  <w:t>Place the Melinex film on the support platen. Pour a quantity of resin equal to 2.0 times the weight of the CSM from the glass beaker onto the film and spread evenly over the marked area.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6.</w:t>
      </w:r>
      <w:r>
        <w:rPr>
          <w:snapToGrid w:val="0"/>
        </w:rPr>
        <w:tab/>
        <w:t>Place the CSM sample into the resin and quickly ensure complete impregnation of the mat by gently pressing with the edge of a spatula. Within one minute, place the lay</w:t>
      </w:r>
      <w:r>
        <w:rPr>
          <w:snapToGrid w:val="0"/>
        </w:rPr>
        <w:noBreakHyphen/>
        <w:t>up and the support platen on the balance and note the reading.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7.</w:t>
      </w:r>
      <w:r>
        <w:rPr>
          <w:snapToGrid w:val="0"/>
        </w:rPr>
        <w:tab/>
        <w:t>Record the weight at 2 minutes, 5 minutes, 10 minutes and thereafter at 10 minute intervals for one hour, or longer as required.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8.</w:t>
      </w:r>
      <w:r>
        <w:rPr>
          <w:snapToGrid w:val="0"/>
        </w:rPr>
        <w:tab/>
        <w:t>Repeat the procedure from 2 to 7 twice.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9.</w:t>
      </w:r>
      <w:r>
        <w:rPr>
          <w:snapToGrid w:val="0"/>
        </w:rPr>
        <w:tab/>
        <w:t>From the results, plot a graph of mean cumulative loss in weight against time.</w:t>
      </w:r>
    </w:p>
    <w:p>
      <w:pPr>
        <w:pStyle w:val="yTable"/>
        <w:rPr>
          <w:b/>
          <w:snapToGrid w:val="0"/>
        </w:rPr>
      </w:pPr>
      <w:r>
        <w:rPr>
          <w:b/>
          <w:snapToGrid w:val="0"/>
        </w:rPr>
        <w:t>Items to be reported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Resin identification.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CSM identification.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Actual atmospheric temperature.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Relative humidity.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  <w:t>Atmospheric pressure.</w:t>
      </w:r>
    </w:p>
    <w:p>
      <w:pPr>
        <w:pStyle w:val="yTable"/>
        <w:tabs>
          <w:tab w:val="left" w:pos="567"/>
        </w:tabs>
        <w:ind w:left="567" w:hanging="567"/>
        <w:rPr>
          <w:snapToGrid w:val="0"/>
        </w:rPr>
      </w:pPr>
      <w:r>
        <w:rPr>
          <w:snapToGrid w:val="0"/>
        </w:rPr>
        <w:t>6.</w:t>
      </w:r>
      <w:r>
        <w:rPr>
          <w:snapToGrid w:val="0"/>
        </w:rPr>
        <w:tab/>
        <w:t>The amount of styrene (g/m</w:t>
      </w:r>
      <w:r>
        <w:rPr>
          <w:snapToGrid w:val="0"/>
          <w:vertAlign w:val="superscript"/>
        </w:rPr>
        <w:t>2</w:t>
      </w:r>
      <w:r>
        <w:rPr>
          <w:snapToGrid w:val="0"/>
        </w:rPr>
        <w:t>) emitted during 60 minutes.</w:t>
      </w:r>
    </w:p>
    <w:p>
      <w:pPr>
        <w:pStyle w:val="MiscellaneousHeading"/>
        <w:rPr>
          <w:b/>
          <w:snapToGrid w:val="0"/>
        </w:rPr>
      </w:pPr>
      <w:r>
        <w:rPr>
          <w:b/>
          <w:snapToGrid w:val="0"/>
        </w:rPr>
        <w:t>Figure 1</w:t>
      </w:r>
    </w:p>
    <w:p>
      <w:pPr>
        <w:pStyle w:val="yTable"/>
        <w:rPr>
          <w:snapToGrid w:val="0"/>
        </w:rPr>
      </w:pPr>
      <w:r>
        <w:rPr>
          <w:snapToGrid w:val="0"/>
        </w:rPr>
        <w:object w:dxaOrig="7069" w:dyaOrig="6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275.25pt" o:ole="" fillcolor="window">
            <v:imagedata r:id="rId25" o:title=""/>
          </v:shape>
          <o:OLEObject Type="Embed" ProgID="Word.Picture.8" ShapeID="_x0000_i1025" DrawAspect="Content" ObjectID="_1609161183" r:id="rId26"/>
        </w:object>
      </w:r>
    </w:p>
    <w:p>
      <w:pPr>
        <w:sectPr>
          <w:headerReference w:type="even" r:id="rId27"/>
          <w:headerReference w:type="default" r:id="rId28"/>
          <w:headerReference w:type="first" r:id="rId29"/>
          <w:pgSz w:w="11907" w:h="16840" w:code="9"/>
          <w:pgMar w:top="2376" w:right="2405" w:bottom="3542" w:left="2405" w:header="706" w:footer="3380" w:gutter="0"/>
          <w:cols w:space="720"/>
          <w:noEndnote/>
          <w:docGrid w:linePitch="326"/>
        </w:sectPr>
      </w:pPr>
    </w:p>
    <w:p>
      <w:pPr>
        <w:pStyle w:val="nHeading2"/>
      </w:pPr>
      <w:bookmarkStart w:id="24" w:name="_Toc378239315"/>
      <w:bookmarkStart w:id="25" w:name="_Toc416788747"/>
      <w:bookmarkStart w:id="26" w:name="_Toc416788822"/>
      <w:r>
        <w:t>Notes</w:t>
      </w:r>
      <w:bookmarkEnd w:id="24"/>
      <w:bookmarkEnd w:id="25"/>
      <w:bookmarkEnd w:id="26"/>
    </w:p>
    <w:p>
      <w:pPr>
        <w:pStyle w:val="nSubsection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 reprint is a compilation as at 7 May 2004 of the </w:t>
      </w:r>
      <w:r>
        <w:rPr>
          <w:i/>
          <w:noProof/>
          <w:snapToGrid w:val="0"/>
        </w:rPr>
        <w:t>Environmental Protection (Fibre Reinforced Plastics) Regulations 1998</w:t>
      </w:r>
      <w:r>
        <w:rPr>
          <w:snapToGrid w:val="0"/>
        </w:rPr>
        <w:t xml:space="preserve"> and includes the amendments made by the other written laws referred to in the following table.  The table also contains information about any reprint.</w:t>
      </w:r>
    </w:p>
    <w:p>
      <w:pPr>
        <w:pStyle w:val="nHeading3"/>
        <w:rPr>
          <w:snapToGrid w:val="0"/>
        </w:rPr>
      </w:pPr>
      <w:bookmarkStart w:id="27" w:name="_Toc378239316"/>
      <w:bookmarkStart w:id="28" w:name="_Toc416788823"/>
      <w:r>
        <w:rPr>
          <w:snapToGrid w:val="0"/>
        </w:rPr>
        <w:t>Compilation table</w:t>
      </w:r>
      <w:bookmarkEnd w:id="27"/>
      <w:bookmarkEnd w:id="28"/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tblHeader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rPr>
                <w:b/>
              </w:rPr>
            </w:pPr>
            <w:r>
              <w:rPr>
                <w:b/>
              </w:rPr>
              <w:t>Gazettal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c>
          <w:tcPr>
            <w:tcW w:w="3118" w:type="dxa"/>
            <w:tcBorders>
              <w:top w:val="single" w:sz="8" w:space="0" w:color="auto"/>
            </w:tcBorders>
          </w:tcPr>
          <w:p>
            <w:pPr>
              <w:pStyle w:val="nTable"/>
              <w:rPr>
                <w:rFonts w:ascii="Times" w:hAnsi="Times"/>
              </w:rPr>
            </w:pPr>
            <w:r>
              <w:rPr>
                <w:rFonts w:ascii="Times" w:hAnsi="Times"/>
                <w:i/>
              </w:rPr>
              <w:t>Environmental Protection (Fibre Reinforced Plastics) Regulations 1998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>
            <w:pPr>
              <w:pStyle w:val="nTable"/>
              <w:rPr>
                <w:rFonts w:ascii="Times" w:hAnsi="Times"/>
              </w:rPr>
            </w:pPr>
            <w:r>
              <w:rPr>
                <w:rFonts w:ascii="Times" w:hAnsi="Times"/>
              </w:rPr>
              <w:t>17 Mar 1998 p. 1411</w:t>
            </w:r>
            <w:r>
              <w:rPr>
                <w:rFonts w:ascii="Times" w:hAnsi="Times"/>
              </w:rPr>
              <w:noBreakHyphen/>
              <w:t>13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>
            <w:pPr>
              <w:pStyle w:val="nTable"/>
              <w:rPr>
                <w:rFonts w:ascii="Times" w:hAnsi="Times"/>
              </w:rPr>
            </w:pPr>
            <w:r>
              <w:rPr>
                <w:rFonts w:ascii="Times" w:hAnsi="Times"/>
              </w:rPr>
              <w:t>17 Mar 1998</w:t>
            </w:r>
          </w:p>
        </w:tc>
      </w:tr>
      <w:tr>
        <w:tc>
          <w:tcPr>
            <w:tcW w:w="3118" w:type="dxa"/>
          </w:tcPr>
          <w:p>
            <w:pPr>
              <w:pStyle w:val="nTable"/>
              <w:rPr>
                <w:rFonts w:ascii="Times" w:hAnsi="Times"/>
              </w:rPr>
            </w:pPr>
            <w:r>
              <w:rPr>
                <w:rFonts w:ascii="Times" w:hAnsi="Times"/>
                <w:i/>
              </w:rPr>
              <w:t xml:space="preserve">Environmental Protection (Miscellaneous Amendments) Regulations 1998 </w:t>
            </w:r>
            <w:r>
              <w:rPr>
                <w:rFonts w:ascii="Times" w:hAnsi="Times"/>
              </w:rPr>
              <w:t>Pt. 6</w:t>
            </w:r>
          </w:p>
        </w:tc>
        <w:tc>
          <w:tcPr>
            <w:tcW w:w="1276" w:type="dxa"/>
          </w:tcPr>
          <w:p>
            <w:pPr>
              <w:pStyle w:val="nTable"/>
              <w:rPr>
                <w:rFonts w:ascii="Times" w:hAnsi="Times"/>
              </w:rPr>
            </w:pPr>
            <w:r>
              <w:rPr>
                <w:rFonts w:ascii="Times" w:hAnsi="Times"/>
              </w:rPr>
              <w:t>11 Dec 1998 p. 6597-614</w:t>
            </w:r>
          </w:p>
        </w:tc>
        <w:tc>
          <w:tcPr>
            <w:tcW w:w="2693" w:type="dxa"/>
          </w:tcPr>
          <w:p>
            <w:pPr>
              <w:pStyle w:val="nTable"/>
              <w:rPr>
                <w:rFonts w:ascii="Times" w:hAnsi="Times"/>
              </w:rPr>
            </w:pPr>
            <w:r>
              <w:rPr>
                <w:rFonts w:ascii="Times" w:hAnsi="Times"/>
              </w:rPr>
              <w:t>8 Jan 1999 (see r. 2)</w:t>
            </w:r>
          </w:p>
        </w:tc>
      </w:tr>
      <w:tr>
        <w:trPr>
          <w:cantSplit/>
        </w:trPr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Reprint 1:  The</w:t>
            </w:r>
            <w:r>
              <w:rPr>
                <w:rFonts w:ascii="Times" w:hAnsi="Times"/>
                <w:b/>
                <w:i/>
              </w:rPr>
              <w:t xml:space="preserve"> Environmental Protection (Fibre Reinforced Plastics) Regulations 1998 </w:t>
            </w:r>
            <w:r>
              <w:rPr>
                <w:rFonts w:ascii="Times" w:hAnsi="Times"/>
                <w:b/>
              </w:rPr>
              <w:t>as at 7 May 2004</w:t>
            </w:r>
            <w:r>
              <w:rPr>
                <w:rFonts w:ascii="Times" w:hAnsi="Times"/>
              </w:rPr>
              <w:t xml:space="preserve"> (includes amendments listed above)</w:t>
            </w:r>
          </w:p>
        </w:tc>
      </w:tr>
    </w:tbl>
    <w:p/>
    <w:p>
      <w:pPr>
        <w:sectPr>
          <w:headerReference w:type="even" r:id="rId30"/>
          <w:headerReference w:type="default" r:id="rId31"/>
          <w:headerReference w:type="first" r:id="rId32"/>
          <w:pgSz w:w="11907" w:h="16840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>
      <w:pPr>
        <w:pStyle w:val="nHeading2"/>
        <w:rPr>
          <w:sz w:val="28"/>
        </w:rPr>
      </w:pPr>
      <w:bookmarkStart w:id="30" w:name="_Toc416788824"/>
      <w:r>
        <w:rPr>
          <w:sz w:val="28"/>
        </w:rPr>
        <w:t>Defined terms</w:t>
      </w:r>
      <w:bookmarkEnd w:id="30"/>
    </w:p>
    <w:p>
      <w:pPr>
        <w:ind w:left="850" w:right="850"/>
        <w:jc w:val="center"/>
        <w:rPr>
          <w:i/>
          <w:sz w:val="18"/>
        </w:rPr>
      </w:pPr>
    </w:p>
    <w:p>
      <w:pPr>
        <w:ind w:left="850" w:right="850"/>
        <w:jc w:val="center"/>
        <w:rPr>
          <w:i/>
          <w:sz w:val="18"/>
        </w:rPr>
      </w:pPr>
      <w:r>
        <w:rPr>
          <w:i/>
          <w:sz w:val="18"/>
        </w:rPr>
        <w:t>[This is a list of terms defined and the provisions where they are defined.  The list is not part of the law.]</w:t>
      </w:r>
    </w:p>
    <w:p>
      <w:pPr>
        <w:pBdr>
          <w:bottom w:val="single" w:sz="4" w:space="1" w:color="auto"/>
        </w:pBdr>
        <w:tabs>
          <w:tab w:val="right" w:pos="7070"/>
        </w:tabs>
        <w:ind w:left="578"/>
        <w:rPr>
          <w:b/>
          <w:sz w:val="20"/>
        </w:rPr>
      </w:pPr>
      <w:r>
        <w:rPr>
          <w:b/>
          <w:sz w:val="20"/>
        </w:rPr>
        <w:t>Defined term</w:t>
      </w:r>
      <w:r>
        <w:rPr>
          <w:b/>
          <w:sz w:val="20"/>
        </w:rPr>
        <w:tab/>
        <w:t>Provision(s)</w:t>
      </w:r>
    </w:p>
    <w:p>
      <w:pPr>
        <w:pStyle w:val="DefinedTerms"/>
      </w:pPr>
      <w:r>
        <w:t>fibre reinforced plastic</w:t>
      </w:r>
      <w:r>
        <w:tab/>
        <w:t>2(1)</w:t>
      </w:r>
    </w:p>
    <w:p>
      <w:pPr>
        <w:pStyle w:val="DefinedTerms"/>
      </w:pPr>
      <w:r>
        <w:t>fibre reinforced plastics manufacturing</w:t>
      </w:r>
      <w:r>
        <w:tab/>
        <w:t>2(1)</w:t>
      </w:r>
    </w:p>
    <w:p>
      <w:pPr>
        <w:pStyle w:val="DefinedTerms"/>
      </w:pPr>
      <w:r>
        <w:t>gel coat</w:t>
      </w:r>
      <w:r>
        <w:tab/>
        <w:t>4(2)</w:t>
      </w:r>
    </w:p>
    <w:p>
      <w:pPr>
        <w:pStyle w:val="DefinedTerms"/>
      </w:pPr>
      <w:r>
        <w:t>low styrene emission resin</w:t>
      </w:r>
      <w:r>
        <w:tab/>
        <w:t>4(2)</w:t>
      </w:r>
    </w:p>
    <w:p>
      <w:pPr>
        <w:pStyle w:val="DefinedTerms"/>
      </w:pPr>
      <w:r>
        <w:t>operator</w:t>
      </w:r>
      <w:r>
        <w:tab/>
        <w:t>2(1)</w:t>
      </w:r>
    </w:p>
    <w:p>
      <w:pPr>
        <w:pStyle w:val="DefinedTerms"/>
      </w:pPr>
      <w:r>
        <w:t>resin</w:t>
      </w:r>
      <w:r>
        <w:tab/>
        <w:t>2(1)</w:t>
      </w:r>
    </w:p>
    <w:p>
      <w:pPr>
        <w:pStyle w:val="DefinedTerms"/>
      </w:pPr>
      <w:r>
        <w:t>solvent</w:t>
      </w:r>
      <w:r>
        <w:tab/>
        <w:t>2(1)</w:t>
      </w:r>
    </w:p>
    <w:p>
      <w:pPr>
        <w:pStyle w:val="DefinedTerms"/>
      </w:pPr>
      <w:r>
        <w:t>the premises</w:t>
      </w:r>
      <w:r>
        <w:tab/>
        <w:t>2(2)</w:t>
      </w:r>
    </w:p>
    <w:p/>
    <w:p>
      <w:pPr>
        <w:sectPr>
          <w:headerReference w:type="even" r:id="rId33"/>
          <w:headerReference w:type="default" r:id="rId34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/>
    <w:sectPr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2376" w:right="2404" w:bottom="3544" w:left="2404" w:header="720" w:footer="33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01-a0-09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07 May 2004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07 May 2004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01-a0-09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07 May 2004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01-a0-09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01-a0-09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07 May 2004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07 May 2004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01-a0-09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7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07 May 2004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01-a0-09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773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490" w:type="dxa"/>
        </w:tcPr>
        <w:p>
          <w:pPr>
            <w:pStyle w:val="Header"/>
            <w:spacing w:before="40"/>
          </w:pPr>
        </w:p>
      </w:tc>
      <w:tc>
        <w:tcPr>
          <w:tcW w:w="5773" w:type="dxa"/>
        </w:tcPr>
        <w:p>
          <w:pPr>
            <w:pStyle w:val="Header"/>
            <w:spacing w:before="40"/>
          </w:pPr>
        </w:p>
      </w:tc>
    </w:tr>
    <w:tr>
      <w:tc>
        <w:tcPr>
          <w:tcW w:w="1490" w:type="dxa"/>
        </w:tcPr>
        <w:p>
          <w:pPr>
            <w:pStyle w:val="Header"/>
            <w:spacing w:before="40"/>
          </w:pPr>
        </w:p>
      </w:tc>
      <w:tc>
        <w:tcPr>
          <w:tcW w:w="5773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1490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end"/>
          </w:r>
        </w:p>
      </w:tc>
      <w:tc>
        <w:tcPr>
          <w:tcW w:w="5773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CharSchText </w:instrText>
          </w:r>
          <w: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42"/>
      <w:gridCol w:w="1521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42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21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42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21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5742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CharSchText </w:instrText>
          </w:r>
          <w:r>
            <w:fldChar w:fldCharType="end"/>
          </w:r>
        </w:p>
      </w:tc>
      <w:tc>
        <w:tcPr>
          <w:tcW w:w="1521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  <w:bookmarkStart w:id="23" w:name="Schedule"/>
    <w:bookmarkEnd w:id="23"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29" w:name="Compilation"/>
    <w:bookmarkEnd w:id="29"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48"/>
      <w:gridCol w:w="59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884"/>
      <w:gridCol w:w="1379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  <w:bookmarkStart w:id="31" w:name="DefinedTerms"/>
    <w:bookmarkEnd w:id="31"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32" w:name="Coversheet"/>
    <w:bookmarkEnd w:id="3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" w:name="TitlePage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2" w:name="TOC"/>
    <w:bookmarkEnd w:id="2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05"/>
      <w:gridCol w:w="6007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05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  <w:tc>
        <w:tcPr>
          <w:tcW w:w="6007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305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  <w:tc>
        <w:tcPr>
          <w:tcW w:w="6007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985"/>
      <w:gridCol w:w="1327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Environmental Protection (Fibre Reinforced Plastics) Regulations 1998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98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327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</w:tr>
    <w:tr>
      <w:tc>
        <w:tcPr>
          <w:tcW w:w="598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327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E66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A21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8AA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46E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FA99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A03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2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A6B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264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1A1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>
    <w:nsid w:val="3C2808C0"/>
    <w:multiLevelType w:val="singleLevel"/>
    <w:tmpl w:val="7D1879B2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6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hideSpellingErrors/>
  <w:revisionView w:formatting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FER" w:val="20151201112604"/>
    <w:docVar w:name="WAFER_20140123110733" w:val="RemoveTocBookmarks,RemoveUnusedBookmarks,RemoveLanguageTags,UsedStyles,ResetPageSize,UpdateArrangement"/>
    <w:docVar w:name="WAFER_20140123110733_GUID" w:val="91ad884a-75aa-4079-afe9-e07ed209d399"/>
    <w:docVar w:name="WAFER_20140123111539" w:val="RemoveTocBookmarks,RunningHeaders"/>
    <w:docVar w:name="WAFER_20140123111539_GUID" w:val="4f3f202e-48d6-4174-a4eb-cf06dac1005b"/>
    <w:docVar w:name="WAFER_20150414151422" w:val="ResetPageSize,UpdateArrangement,UpdateNTable"/>
    <w:docVar w:name="WAFER_20150414151422_GUID" w:val="45ba773f-c2ea-49fe-80fe-60c8c05d8d13"/>
    <w:docVar w:name="WAFER_20151105124528" w:val="UpdateStyles,UsedStyles"/>
    <w:docVar w:name="WAFER_20151105124528_GUID" w:val="e1d7220b-8517-4e65-b10b-26dc20266015"/>
    <w:docVar w:name="WAFER_20151201112604" w:val="RemoveTrackChanges"/>
    <w:docVar w:name="WAFER_20151201112604_GUID" w:val="62c0d2f9-b22d-4380-8988-abee93527ae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customStyle="1" w:styleId="Ednotesection">
    <w:name w:val="Ednote(section)"/>
    <w:pPr>
      <w:tabs>
        <w:tab w:val="right" w:pos="605"/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Penstart"/>
    <w:pPr>
      <w:shd w:val="clear" w:color="808080" w:fill="auto"/>
      <w:tabs>
        <w:tab w:val="clear" w:pos="879"/>
        <w:tab w:val="left" w:pos="1446"/>
      </w:tabs>
      <w:ind w:left="2155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customStyle="1" w:styleId="TableAm">
    <w:name w:val="TableAm"/>
    <w:basedOn w:val="Normal"/>
    <w:pPr>
      <w:spacing w:before="120"/>
    </w:p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Subsection"/>
    <w:pPr>
      <w:shd w:val="clear" w:color="808080" w:fill="auto"/>
      <w:tabs>
        <w:tab w:val="clear" w:pos="595"/>
        <w:tab w:val="clear" w:pos="879"/>
        <w:tab w:val="right" w:pos="1162"/>
        <w:tab w:val="left" w:pos="1446"/>
      </w:tabs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160" w:line="260" w:lineRule="atLeast"/>
      <w:ind w:left="2333" w:hanging="2333"/>
    </w:pPr>
    <w:rPr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spacing w:before="120" w:line="260" w:lineRule="atLeast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120" w:line="260" w:lineRule="atLeast"/>
      <w:ind w:left="3053" w:hanging="3053"/>
    </w:pPr>
    <w:rPr>
      <w:sz w:val="24"/>
    </w:rPr>
  </w:style>
  <w:style w:type="paragraph" w:customStyle="1" w:styleId="zHeading1">
    <w:name w:val="zHeading 1"/>
    <w:basedOn w:val="Heading1"/>
    <w:pPr>
      <w:shd w:val="clear" w:color="808080" w:fill="auto"/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hd w:val="clear" w:color="808080" w:fill="auto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shd w:val="clear" w:color="808080" w:fill="auto"/>
      <w:ind w:left="567" w:right="284"/>
      <w:outlineLvl w:val="9"/>
    </w:pPr>
  </w:style>
  <w:style w:type="paragraph" w:customStyle="1" w:styleId="zHeading4">
    <w:name w:val="zHeading 4"/>
    <w:basedOn w:val="Heading4"/>
    <w:pPr>
      <w:shd w:val="clear" w:color="808080" w:fill="auto"/>
      <w:ind w:left="567" w:right="284"/>
      <w:outlineLvl w:val="9"/>
    </w:pPr>
  </w:style>
  <w:style w:type="paragraph" w:customStyle="1" w:styleId="zHeading5">
    <w:name w:val="zHeading 5"/>
    <w:basedOn w:val="Heading5"/>
    <w:pPr>
      <w:shd w:val="clear" w:color="808080" w:fill="auto"/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160" w:line="260" w:lineRule="atLeast"/>
      <w:ind w:left="3773" w:hanging="3773"/>
    </w:pPr>
    <w:rPr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Indenta"/>
    <w:pPr>
      <w:shd w:val="clear" w:color="808080" w:fill="auto"/>
      <w:tabs>
        <w:tab w:val="clear" w:pos="1332"/>
        <w:tab w:val="clear" w:pos="1616"/>
        <w:tab w:val="right" w:pos="1899"/>
        <w:tab w:val="left" w:pos="2183"/>
      </w:tabs>
      <w:ind w:left="2183" w:right="284" w:hanging="851"/>
    </w:pPr>
  </w:style>
  <w:style w:type="paragraph" w:customStyle="1" w:styleId="zIndentA0">
    <w:name w:val="zIndent(A)"/>
    <w:basedOn w:val="IndentA0"/>
    <w:pPr>
      <w:shd w:val="clear" w:color="808080" w:fill="auto"/>
      <w:tabs>
        <w:tab w:val="clear" w:pos="3686"/>
        <w:tab w:val="clear" w:pos="3969"/>
        <w:tab w:val="right" w:pos="4253"/>
        <w:tab w:val="left" w:pos="4536"/>
      </w:tabs>
      <w:ind w:left="4537" w:right="284" w:hanging="851"/>
    </w:pPr>
  </w:style>
  <w:style w:type="paragraph" w:customStyle="1" w:styleId="zIndenti">
    <w:name w:val="zIndent(i)"/>
    <w:basedOn w:val="Indenti"/>
    <w:pPr>
      <w:shd w:val="clear" w:color="808080" w:fill="auto"/>
      <w:tabs>
        <w:tab w:val="clear" w:pos="2041"/>
        <w:tab w:val="clear" w:pos="2325"/>
        <w:tab w:val="right" w:pos="2608"/>
        <w:tab w:val="left" w:pos="2892"/>
      </w:tabs>
      <w:ind w:left="2892" w:right="284" w:hanging="851"/>
    </w:pPr>
  </w:style>
  <w:style w:type="paragraph" w:customStyle="1" w:styleId="zIndentI0">
    <w:name w:val="zIndent(I)"/>
    <w:basedOn w:val="IndentI0"/>
    <w:pPr>
      <w:shd w:val="clear" w:color="808080" w:fill="auto"/>
      <w:tabs>
        <w:tab w:val="clear" w:pos="2892"/>
        <w:tab w:val="clear" w:pos="3204"/>
        <w:tab w:val="right" w:pos="3459"/>
        <w:tab w:val="left" w:pos="3771"/>
      </w:tabs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Penpara"/>
    <w:pPr>
      <w:shd w:val="clear" w:color="808080" w:fill="auto"/>
      <w:tabs>
        <w:tab w:val="clear" w:pos="1616"/>
        <w:tab w:val="right" w:pos="1899"/>
        <w:tab w:val="left" w:pos="2183"/>
      </w:tabs>
      <w:ind w:left="2183" w:right="284" w:hanging="851"/>
    </w:pPr>
  </w:style>
  <w:style w:type="paragraph" w:customStyle="1" w:styleId="zPensubpara">
    <w:name w:val="zPensubpara"/>
    <w:basedOn w:val="Pensubpara"/>
    <w:pPr>
      <w:shd w:val="clear" w:color="808080" w:fill="auto"/>
      <w:tabs>
        <w:tab w:val="clear" w:pos="2325"/>
        <w:tab w:val="right" w:pos="2608"/>
        <w:tab w:val="left" w:pos="2892"/>
      </w:tabs>
      <w:ind w:left="2892" w:right="284" w:hanging="851"/>
    </w:pPr>
  </w:style>
  <w:style w:type="paragraph" w:customStyle="1" w:styleId="zPenitem">
    <w:name w:val="zPenitem"/>
    <w:basedOn w:val="Penitem"/>
    <w:pPr>
      <w:shd w:val="clear" w:color="808080" w:fill="auto"/>
      <w:tabs>
        <w:tab w:val="clear" w:pos="3119"/>
        <w:tab w:val="right" w:pos="3402"/>
        <w:tab w:val="left" w:pos="3686"/>
      </w:tabs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tabs>
        <w:tab w:val="num" w:pos="360"/>
      </w:tabs>
    </w:pPr>
  </w:style>
  <w:style w:type="paragraph" w:styleId="ListBullet2">
    <w:name w:val="List Bullet 2"/>
    <w:basedOn w:val="Normal"/>
    <w:autoRedefine/>
    <w:semiHidden/>
    <w:pPr>
      <w:tabs>
        <w:tab w:val="num" w:pos="360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tabs>
        <w:tab w:val="num" w:pos="360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tabs>
        <w:tab w:val="num" w:pos="360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tabs>
        <w:tab w:val="num" w:pos="360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  <w:tab w:val="num" w:pos="720"/>
      </w:tabs>
      <w:ind w:left="720"/>
    </w:pPr>
  </w:style>
  <w:style w:type="paragraph" w:styleId="ListNumber3">
    <w:name w:val="List Number 3"/>
    <w:basedOn w:val="Normal"/>
    <w:semiHidden/>
    <w:pPr>
      <w:tabs>
        <w:tab w:val="num" w:pos="360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tabs>
        <w:tab w:val="num" w:pos="360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tabs>
        <w:tab w:val="num" w:pos="360"/>
        <w:tab w:val="num" w:pos="1800"/>
      </w:tabs>
      <w:ind w:left="180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  <w:outlineLvl w:val="9"/>
    </w:pPr>
    <w:rPr>
      <w:sz w:val="22"/>
    </w:rPr>
  </w:style>
  <w:style w:type="paragraph" w:customStyle="1" w:styleId="yEdnotepara">
    <w:name w:val="yEdnote(para)"/>
    <w:basedOn w:val="Ednotepara"/>
    <w:pPr>
      <w:spacing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  <w:ind w:left="2330" w:hanging="2330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  <w:ind w:left="3050" w:hanging="305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  <w:ind w:left="3771" w:hanging="3771"/>
    </w:p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Normal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pPr>
      <w:shd w:val="clear" w:color="808080" w:fill="auto"/>
    </w:pPr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MiscellaneousBody"/>
    <w:pPr>
      <w:shd w:val="clear" w:color="808080" w:fill="auto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character" w:customStyle="1" w:styleId="CharDefText">
    <w:name w:val="CharDefText"/>
    <w:basedOn w:val="DefaultParagraphFont"/>
    <w:rPr>
      <w:b/>
      <w:i/>
    </w:rPr>
  </w:style>
  <w:style w:type="paragraph" w:styleId="Header">
    <w:name w:val="header"/>
    <w:rPr>
      <w:rFonts w:ascii="Arial" w:hAnsi="Arial"/>
      <w:noProof/>
    </w:rPr>
  </w:style>
  <w:style w:type="character" w:customStyle="1" w:styleId="CharSchText">
    <w:name w:val="CharSchText"/>
    <w:rPr>
      <w:noProof w:val="0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TableAmNote">
    <w:name w:val="TableAmNote"/>
    <w:pPr>
      <w:spacing w:before="6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customStyle="1" w:styleId="Ednotesection">
    <w:name w:val="Ednote(section)"/>
    <w:pPr>
      <w:tabs>
        <w:tab w:val="right" w:pos="605"/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Penstart"/>
    <w:pPr>
      <w:shd w:val="clear" w:color="808080" w:fill="auto"/>
      <w:tabs>
        <w:tab w:val="clear" w:pos="879"/>
        <w:tab w:val="left" w:pos="1446"/>
      </w:tabs>
      <w:ind w:left="2155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customStyle="1" w:styleId="TableAm">
    <w:name w:val="TableAm"/>
    <w:basedOn w:val="Normal"/>
    <w:pPr>
      <w:spacing w:before="120"/>
    </w:p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Subsection"/>
    <w:pPr>
      <w:shd w:val="clear" w:color="808080" w:fill="auto"/>
      <w:tabs>
        <w:tab w:val="clear" w:pos="595"/>
        <w:tab w:val="clear" w:pos="879"/>
        <w:tab w:val="right" w:pos="1162"/>
        <w:tab w:val="left" w:pos="1446"/>
      </w:tabs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160" w:line="260" w:lineRule="atLeast"/>
      <w:ind w:left="2333" w:hanging="2333"/>
    </w:pPr>
    <w:rPr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spacing w:before="120" w:line="260" w:lineRule="atLeast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120" w:line="260" w:lineRule="atLeast"/>
      <w:ind w:left="3053" w:hanging="3053"/>
    </w:pPr>
    <w:rPr>
      <w:sz w:val="24"/>
    </w:rPr>
  </w:style>
  <w:style w:type="paragraph" w:customStyle="1" w:styleId="zHeading1">
    <w:name w:val="zHeading 1"/>
    <w:basedOn w:val="Heading1"/>
    <w:pPr>
      <w:shd w:val="clear" w:color="808080" w:fill="auto"/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hd w:val="clear" w:color="808080" w:fill="auto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shd w:val="clear" w:color="808080" w:fill="auto"/>
      <w:ind w:left="567" w:right="284"/>
      <w:outlineLvl w:val="9"/>
    </w:pPr>
  </w:style>
  <w:style w:type="paragraph" w:customStyle="1" w:styleId="zHeading4">
    <w:name w:val="zHeading 4"/>
    <w:basedOn w:val="Heading4"/>
    <w:pPr>
      <w:shd w:val="clear" w:color="808080" w:fill="auto"/>
      <w:ind w:left="567" w:right="284"/>
      <w:outlineLvl w:val="9"/>
    </w:pPr>
  </w:style>
  <w:style w:type="paragraph" w:customStyle="1" w:styleId="zHeading5">
    <w:name w:val="zHeading 5"/>
    <w:basedOn w:val="Heading5"/>
    <w:pPr>
      <w:shd w:val="clear" w:color="808080" w:fill="auto"/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160" w:line="260" w:lineRule="atLeast"/>
      <w:ind w:left="3773" w:hanging="3773"/>
    </w:pPr>
    <w:rPr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Indenta"/>
    <w:pPr>
      <w:shd w:val="clear" w:color="808080" w:fill="auto"/>
      <w:tabs>
        <w:tab w:val="clear" w:pos="1332"/>
        <w:tab w:val="clear" w:pos="1616"/>
        <w:tab w:val="right" w:pos="1899"/>
        <w:tab w:val="left" w:pos="2183"/>
      </w:tabs>
      <w:ind w:left="2183" w:right="284" w:hanging="851"/>
    </w:pPr>
  </w:style>
  <w:style w:type="paragraph" w:customStyle="1" w:styleId="zIndentA0">
    <w:name w:val="zIndent(A)"/>
    <w:basedOn w:val="IndentA0"/>
    <w:pPr>
      <w:shd w:val="clear" w:color="808080" w:fill="auto"/>
      <w:tabs>
        <w:tab w:val="clear" w:pos="3686"/>
        <w:tab w:val="clear" w:pos="3969"/>
        <w:tab w:val="right" w:pos="4253"/>
        <w:tab w:val="left" w:pos="4536"/>
      </w:tabs>
      <w:ind w:left="4537" w:right="284" w:hanging="851"/>
    </w:pPr>
  </w:style>
  <w:style w:type="paragraph" w:customStyle="1" w:styleId="zIndenti">
    <w:name w:val="zIndent(i)"/>
    <w:basedOn w:val="Indenti"/>
    <w:pPr>
      <w:shd w:val="clear" w:color="808080" w:fill="auto"/>
      <w:tabs>
        <w:tab w:val="clear" w:pos="2041"/>
        <w:tab w:val="clear" w:pos="2325"/>
        <w:tab w:val="right" w:pos="2608"/>
        <w:tab w:val="left" w:pos="2892"/>
      </w:tabs>
      <w:ind w:left="2892" w:right="284" w:hanging="851"/>
    </w:pPr>
  </w:style>
  <w:style w:type="paragraph" w:customStyle="1" w:styleId="zIndentI0">
    <w:name w:val="zIndent(I)"/>
    <w:basedOn w:val="IndentI0"/>
    <w:pPr>
      <w:shd w:val="clear" w:color="808080" w:fill="auto"/>
      <w:tabs>
        <w:tab w:val="clear" w:pos="2892"/>
        <w:tab w:val="clear" w:pos="3204"/>
        <w:tab w:val="right" w:pos="3459"/>
        <w:tab w:val="left" w:pos="3771"/>
      </w:tabs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Penpara"/>
    <w:pPr>
      <w:shd w:val="clear" w:color="808080" w:fill="auto"/>
      <w:tabs>
        <w:tab w:val="clear" w:pos="1616"/>
        <w:tab w:val="right" w:pos="1899"/>
        <w:tab w:val="left" w:pos="2183"/>
      </w:tabs>
      <w:ind w:left="2183" w:right="284" w:hanging="851"/>
    </w:pPr>
  </w:style>
  <w:style w:type="paragraph" w:customStyle="1" w:styleId="zPensubpara">
    <w:name w:val="zPensubpara"/>
    <w:basedOn w:val="Pensubpara"/>
    <w:pPr>
      <w:shd w:val="clear" w:color="808080" w:fill="auto"/>
      <w:tabs>
        <w:tab w:val="clear" w:pos="2325"/>
        <w:tab w:val="right" w:pos="2608"/>
        <w:tab w:val="left" w:pos="2892"/>
      </w:tabs>
      <w:ind w:left="2892" w:right="284" w:hanging="851"/>
    </w:pPr>
  </w:style>
  <w:style w:type="paragraph" w:customStyle="1" w:styleId="zPenitem">
    <w:name w:val="zPenitem"/>
    <w:basedOn w:val="Penitem"/>
    <w:pPr>
      <w:shd w:val="clear" w:color="808080" w:fill="auto"/>
      <w:tabs>
        <w:tab w:val="clear" w:pos="3119"/>
        <w:tab w:val="right" w:pos="3402"/>
        <w:tab w:val="left" w:pos="3686"/>
      </w:tabs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tabs>
        <w:tab w:val="num" w:pos="360"/>
      </w:tabs>
    </w:pPr>
  </w:style>
  <w:style w:type="paragraph" w:styleId="ListBullet2">
    <w:name w:val="List Bullet 2"/>
    <w:basedOn w:val="Normal"/>
    <w:autoRedefine/>
    <w:semiHidden/>
    <w:pPr>
      <w:tabs>
        <w:tab w:val="num" w:pos="360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tabs>
        <w:tab w:val="num" w:pos="360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tabs>
        <w:tab w:val="num" w:pos="360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tabs>
        <w:tab w:val="num" w:pos="360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  <w:tab w:val="num" w:pos="720"/>
      </w:tabs>
      <w:ind w:left="720"/>
    </w:pPr>
  </w:style>
  <w:style w:type="paragraph" w:styleId="ListNumber3">
    <w:name w:val="List Number 3"/>
    <w:basedOn w:val="Normal"/>
    <w:semiHidden/>
    <w:pPr>
      <w:tabs>
        <w:tab w:val="num" w:pos="360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tabs>
        <w:tab w:val="num" w:pos="360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tabs>
        <w:tab w:val="num" w:pos="360"/>
        <w:tab w:val="num" w:pos="1800"/>
      </w:tabs>
      <w:ind w:left="180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  <w:outlineLvl w:val="9"/>
    </w:pPr>
    <w:rPr>
      <w:sz w:val="22"/>
    </w:rPr>
  </w:style>
  <w:style w:type="paragraph" w:customStyle="1" w:styleId="yEdnotepara">
    <w:name w:val="yEdnote(para)"/>
    <w:basedOn w:val="Ednotepara"/>
    <w:pPr>
      <w:spacing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  <w:ind w:left="2330" w:hanging="2330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  <w:ind w:left="3050" w:hanging="305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  <w:ind w:left="3771" w:hanging="3771"/>
    </w:p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Normal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pPr>
      <w:shd w:val="clear" w:color="808080" w:fill="auto"/>
    </w:pPr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MiscellaneousBody"/>
    <w:pPr>
      <w:shd w:val="clear" w:color="808080" w:fill="auto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character" w:customStyle="1" w:styleId="CharDefText">
    <w:name w:val="CharDefText"/>
    <w:basedOn w:val="DefaultParagraphFont"/>
    <w:rPr>
      <w:b/>
      <w:i/>
    </w:rPr>
  </w:style>
  <w:style w:type="paragraph" w:styleId="Header">
    <w:name w:val="header"/>
    <w:rPr>
      <w:rFonts w:ascii="Arial" w:hAnsi="Arial"/>
      <w:noProof/>
    </w:rPr>
  </w:style>
  <w:style w:type="character" w:customStyle="1" w:styleId="CharSchText">
    <w:name w:val="CharSchText"/>
    <w:rPr>
      <w:noProof w:val="0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TableAmNote">
    <w:name w:val="TableAmNote"/>
    <w:pPr>
      <w:spacing w:before="6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oleObject" Target="embeddings/oleObject1.bin"/><Relationship Id="rId39" Type="http://schemas.openxmlformats.org/officeDocument/2006/relationships/header" Target="header20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34" Type="http://schemas.openxmlformats.org/officeDocument/2006/relationships/header" Target="header1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3.png"/><Relationship Id="rId33" Type="http://schemas.openxmlformats.org/officeDocument/2006/relationships/header" Target="header16.xm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1253</Words>
  <Characters>6333</Characters>
  <Application>Microsoft Office Word</Application>
  <DocSecurity>0</DocSecurity>
  <Lines>218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Manager/>
  <Company/>
  <LinksUpToDate>false</LinksUpToDate>
  <CharactersWithSpaces>7432</CharactersWithSpaces>
  <SharedDoc>false</SharedDoc>
  <HLinks>
    <vt:vector size="12" baseType="variant">
      <vt:variant>
        <vt:i4>65542</vt:i4>
      </vt:variant>
      <vt:variant>
        <vt:i4>2071</vt:i4>
      </vt:variant>
      <vt:variant>
        <vt:i4>1025</vt:i4>
      </vt:variant>
      <vt:variant>
        <vt:i4>1</vt:i4>
      </vt:variant>
      <vt:variant>
        <vt:lpwstr>Crest</vt:lpwstr>
      </vt:variant>
      <vt:variant>
        <vt:lpwstr/>
      </vt:variant>
      <vt:variant>
        <vt:i4>65542</vt:i4>
      </vt:variant>
      <vt:variant>
        <vt:i4>-1</vt:i4>
      </vt:variant>
      <vt:variant>
        <vt:i4>1026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Protection (Fibre Reinforced Plastics) Regulations 1998 - 01-a0-09</dc:title>
  <dc:subject/>
  <dc:creator/>
  <cp:keywords/>
  <dc:description/>
  <cp:lastModifiedBy>svcMRProcess</cp:lastModifiedBy>
  <cp:revision>4</cp:revision>
  <cp:lastPrinted>2004-06-01T07:08:00Z</cp:lastPrinted>
  <dcterms:created xsi:type="dcterms:W3CDTF">2019-01-16T08:27:00Z</dcterms:created>
  <dcterms:modified xsi:type="dcterms:W3CDTF">2019-01-16T08:27:00Z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17 March 1998 pp.1411-13</vt:lpwstr>
  </property>
  <property fmtid="{D5CDD505-2E9C-101B-9397-08002B2CF9AE}" pid="3" name="CommencementDate">
    <vt:lpwstr>20040507</vt:lpwstr>
  </property>
  <property fmtid="{D5CDD505-2E9C-101B-9397-08002B2CF9AE}" pid="4" name="DocumentType">
    <vt:lpwstr>Reg</vt:lpwstr>
  </property>
  <property fmtid="{D5CDD505-2E9C-101B-9397-08002B2CF9AE}" pid="5" name="OwlsUID">
    <vt:i4>23</vt:i4>
  </property>
  <property fmtid="{D5CDD505-2E9C-101B-9397-08002B2CF9AE}" pid="6" name="ReprintedAsAt">
    <vt:filetime>2004-05-06T16:00:00Z</vt:filetime>
  </property>
  <property fmtid="{D5CDD505-2E9C-101B-9397-08002B2CF9AE}" pid="7" name="ReprintNo">
    <vt:lpwstr/>
  </property>
  <property fmtid="{D5CDD505-2E9C-101B-9397-08002B2CF9AE}" pid="8" name="AsAtDate">
    <vt:lpwstr>07 May 2004</vt:lpwstr>
  </property>
  <property fmtid="{D5CDD505-2E9C-101B-9397-08002B2CF9AE}" pid="9" name="Suffix">
    <vt:lpwstr>01-a0-09</vt:lpwstr>
  </property>
</Properties>
</file>