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70C" w:rsidRDefault="00CE7FD9">
      <w:pPr>
        <w:pStyle w:val="WA"/>
      </w:pPr>
      <w:bookmarkStart w:id="0" w:name="_GoBack"/>
      <w:bookmarkEnd w:id="0"/>
      <w:r>
        <w:t>Western Australia</w:t>
      </w:r>
    </w:p>
    <w:p w:rsidR="0079170C" w:rsidRDefault="00CE7FD9">
      <w:pPr>
        <w:pStyle w:val="NameofActRegPage1"/>
        <w:spacing w:before="3760" w:after="4200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071BEF">
        <w:rPr>
          <w:noProof/>
        </w:rPr>
        <w:t>Environmental Protection (Goldfields Residential Areas) (Sulfur Dioxide) Regulations 2003</w:t>
      </w:r>
      <w:r>
        <w:fldChar w:fldCharType="end"/>
      </w:r>
    </w:p>
    <w:p w:rsidR="0079170C" w:rsidRDefault="0079170C">
      <w:pPr>
        <w:jc w:val="center"/>
        <w:rPr>
          <w:b/>
        </w:rPr>
        <w:sectPr w:rsidR="0079170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79170C" w:rsidRDefault="00CE7FD9">
      <w:pPr>
        <w:pStyle w:val="WA"/>
      </w:pPr>
      <w:r>
        <w:lastRenderedPageBreak/>
        <w:t>Western Australia</w:t>
      </w:r>
    </w:p>
    <w:p w:rsidR="0079170C" w:rsidRDefault="00CE7FD9">
      <w:pPr>
        <w:pStyle w:val="NameofActRegPage1"/>
        <w:ind w:left="567" w:right="575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071BEF">
        <w:rPr>
          <w:noProof/>
        </w:rPr>
        <w:t>Environmental Protection (Goldfields Residential Areas) (Sulfur Dioxide) Regulations 2003</w:t>
      </w:r>
      <w:r>
        <w:fldChar w:fldCharType="end"/>
      </w:r>
    </w:p>
    <w:p w:rsidR="0079170C" w:rsidRDefault="00CE7FD9">
      <w:pPr>
        <w:pStyle w:val="Arrangement"/>
      </w:pPr>
      <w:r>
        <w:t>Contents</w:t>
      </w:r>
    </w:p>
    <w:p w:rsidR="002560E5" w:rsidRDefault="00CE7FD9">
      <w:pPr>
        <w:pStyle w:val="TOC4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"1-3" \t "Heading 4,3,Heading 5,4, Heading 6,6,yScheduleHeading,5,yScheduleHeading 2,5,yHeading 2,7,yHeading 3,7,yHeading 6,6" \n 2</w:instrText>
      </w:r>
      <w:r>
        <w:rPr>
          <w:noProof/>
        </w:rPr>
        <w:noBreakHyphen/>
        <w:instrText>3 \t " yHeading 4,3,yHeading 5,4,nHeading 3,4" \n 2</w:instrText>
      </w:r>
      <w:r>
        <w:rPr>
          <w:noProof/>
        </w:rPr>
        <w:noBreakHyphen/>
        <w:instrText xml:space="preserve">3 \* MERGEFORMAT </w:instrText>
      </w:r>
      <w:r>
        <w:rPr>
          <w:noProof/>
        </w:rPr>
        <w:fldChar w:fldCharType="separate"/>
      </w:r>
      <w:r w:rsidR="002560E5">
        <w:rPr>
          <w:noProof/>
        </w:rPr>
        <w:t>1.</w:t>
      </w:r>
      <w:r w:rsidR="002560E5">
        <w:rPr>
          <w:rFonts w:asciiTheme="minorHAnsi" w:eastAsiaTheme="minorEastAsia" w:hAnsiTheme="minorHAnsi" w:cstheme="minorBidi"/>
          <w:noProof/>
          <w:szCs w:val="22"/>
        </w:rPr>
        <w:tab/>
      </w:r>
      <w:r w:rsidR="002560E5">
        <w:rPr>
          <w:noProof/>
        </w:rPr>
        <w:t>Citation</w:t>
      </w:r>
      <w:r w:rsidR="002560E5">
        <w:rPr>
          <w:noProof/>
        </w:rPr>
        <w:tab/>
      </w:r>
      <w:r w:rsidR="002560E5">
        <w:rPr>
          <w:noProof/>
        </w:rPr>
        <w:fldChar w:fldCharType="begin"/>
      </w:r>
      <w:r w:rsidR="002560E5">
        <w:rPr>
          <w:noProof/>
        </w:rPr>
        <w:instrText xml:space="preserve"> PAGEREF _Toc378239356 \h </w:instrText>
      </w:r>
      <w:r w:rsidR="002560E5">
        <w:rPr>
          <w:noProof/>
        </w:rPr>
      </w:r>
      <w:r w:rsidR="002560E5">
        <w:rPr>
          <w:noProof/>
        </w:rPr>
        <w:fldChar w:fldCharType="separate"/>
      </w:r>
      <w:r w:rsidR="00071BEF">
        <w:rPr>
          <w:noProof/>
        </w:rPr>
        <w:t>1</w:t>
      </w:r>
      <w:r w:rsidR="002560E5">
        <w:rPr>
          <w:noProof/>
        </w:rPr>
        <w:fldChar w:fldCharType="end"/>
      </w:r>
    </w:p>
    <w:p w:rsidR="002560E5" w:rsidRDefault="002560E5">
      <w:pPr>
        <w:pStyle w:val="TOC4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2</w:t>
      </w:r>
      <w:r w:rsidRPr="00060C10">
        <w:rPr>
          <w:noProof/>
          <w:spacing w:val="-2"/>
        </w:rPr>
        <w:t>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 w:rsidRPr="00060C10">
        <w:rPr>
          <w:noProof/>
          <w:spacing w:val="-2"/>
        </w:rPr>
        <w:t>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_Toc378239357 \h </w:instrText>
      </w:r>
      <w:r>
        <w:rPr>
          <w:noProof/>
        </w:rPr>
      </w:r>
      <w:r>
        <w:rPr>
          <w:noProof/>
        </w:rPr>
        <w:fldChar w:fldCharType="separate"/>
      </w:r>
      <w:r w:rsidR="00071BEF">
        <w:rPr>
          <w:noProof/>
        </w:rPr>
        <w:t>1</w:t>
      </w:r>
      <w:r>
        <w:rPr>
          <w:noProof/>
        </w:rPr>
        <w:fldChar w:fldCharType="end"/>
      </w:r>
    </w:p>
    <w:p w:rsidR="002560E5" w:rsidRDefault="002560E5">
      <w:pPr>
        <w:pStyle w:val="TOC4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Interpretation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_Toc378239358 \h </w:instrText>
      </w:r>
      <w:r>
        <w:rPr>
          <w:noProof/>
        </w:rPr>
      </w:r>
      <w:r>
        <w:rPr>
          <w:noProof/>
        </w:rPr>
        <w:fldChar w:fldCharType="separate"/>
      </w:r>
      <w:r w:rsidR="00071BEF">
        <w:rPr>
          <w:noProof/>
        </w:rPr>
        <w:t>1</w:t>
      </w:r>
      <w:r>
        <w:rPr>
          <w:noProof/>
        </w:rPr>
        <w:fldChar w:fldCharType="end"/>
      </w:r>
    </w:p>
    <w:p w:rsidR="002560E5" w:rsidRDefault="002560E5">
      <w:pPr>
        <w:pStyle w:val="TOC4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Prescribed licence conditions for premises discharging sulfur dioxide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_Toc378239359 \h </w:instrText>
      </w:r>
      <w:r>
        <w:rPr>
          <w:noProof/>
        </w:rPr>
      </w:r>
      <w:r>
        <w:rPr>
          <w:noProof/>
        </w:rPr>
        <w:fldChar w:fldCharType="separate"/>
      </w:r>
      <w:r w:rsidR="00071BEF">
        <w:rPr>
          <w:noProof/>
        </w:rPr>
        <w:t>2</w:t>
      </w:r>
      <w:r>
        <w:rPr>
          <w:noProof/>
        </w:rPr>
        <w:fldChar w:fldCharType="end"/>
      </w:r>
    </w:p>
    <w:p w:rsidR="002560E5" w:rsidRDefault="002560E5">
      <w:pPr>
        <w:pStyle w:val="TOC4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Repeal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_Toc378239360 \h </w:instrText>
      </w:r>
      <w:r>
        <w:rPr>
          <w:noProof/>
        </w:rPr>
      </w:r>
      <w:r>
        <w:rPr>
          <w:noProof/>
        </w:rPr>
        <w:fldChar w:fldCharType="separate"/>
      </w:r>
      <w:r w:rsidR="00071BEF">
        <w:rPr>
          <w:noProof/>
        </w:rPr>
        <w:t>2</w:t>
      </w:r>
      <w:r>
        <w:rPr>
          <w:noProof/>
        </w:rPr>
        <w:fldChar w:fldCharType="end"/>
      </w:r>
    </w:p>
    <w:p w:rsidR="002560E5" w:rsidRDefault="002560E5">
      <w:pPr>
        <w:pStyle w:val="TOC2"/>
        <w:tabs>
          <w:tab w:val="right" w:leader="dot" w:pos="708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Notes</w:t>
      </w:r>
    </w:p>
    <w:p w:rsidR="002560E5" w:rsidRDefault="002560E5">
      <w:pPr>
        <w:pStyle w:val="TOC4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Compilation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_Toc378239362 \h </w:instrText>
      </w:r>
      <w:r>
        <w:rPr>
          <w:noProof/>
        </w:rPr>
      </w:r>
      <w:r>
        <w:rPr>
          <w:noProof/>
        </w:rPr>
        <w:fldChar w:fldCharType="separate"/>
      </w:r>
      <w:r w:rsidR="00071BEF">
        <w:rPr>
          <w:noProof/>
        </w:rPr>
        <w:t>3</w:t>
      </w:r>
      <w:r>
        <w:rPr>
          <w:noProof/>
        </w:rPr>
        <w:fldChar w:fldCharType="end"/>
      </w:r>
    </w:p>
    <w:p w:rsidR="0079170C" w:rsidRDefault="00CE7FD9">
      <w:pPr>
        <w:pStyle w:val="TOC2"/>
      </w:pPr>
      <w:r>
        <w:fldChar w:fldCharType="end"/>
      </w:r>
    </w:p>
    <w:p w:rsidR="0079170C" w:rsidRDefault="00CE7FD9">
      <w:pPr>
        <w:pStyle w:val="NoteHeading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</w:p>
    <w:p w:rsidR="0079170C" w:rsidRDefault="0079170C">
      <w:pPr>
        <w:pStyle w:val="NoteHeading"/>
        <w:sectPr w:rsidR="0079170C"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79170C" w:rsidRDefault="00CE7FD9">
      <w:pPr>
        <w:pStyle w:val="WA"/>
      </w:pPr>
      <w:r>
        <w:lastRenderedPageBreak/>
        <w:t>Western Australia</w:t>
      </w:r>
    </w:p>
    <w:p w:rsidR="0079170C" w:rsidRDefault="00CE7FD9">
      <w:pPr>
        <w:pStyle w:val="PrincipalActReg"/>
      </w:pPr>
      <w:r>
        <w:t>Environmental Protection Act 1986</w:t>
      </w:r>
    </w:p>
    <w:p w:rsidR="0079170C" w:rsidRDefault="00CE7FD9">
      <w:pPr>
        <w:pStyle w:val="NameofActReg"/>
        <w:ind w:left="142" w:right="140"/>
      </w:pPr>
      <w:r>
        <w:t>Environmental Protection (Goldfields Residential Areas) (Sulfur Dioxide) Regulations 2003</w:t>
      </w:r>
    </w:p>
    <w:p w:rsidR="0079170C" w:rsidRDefault="00CE7FD9">
      <w:pPr>
        <w:pStyle w:val="Heading5"/>
      </w:pPr>
      <w:bookmarkStart w:id="1" w:name="_Toc378239356"/>
      <w:r>
        <w:rPr>
          <w:rStyle w:val="CharSectno"/>
        </w:rPr>
        <w:t>1</w:t>
      </w:r>
      <w:r>
        <w:t>.</w:t>
      </w:r>
      <w:r>
        <w:tab/>
        <w:t>Citation</w:t>
      </w:r>
      <w:bookmarkEnd w:id="1"/>
    </w:p>
    <w:p w:rsidR="0079170C" w:rsidRDefault="00CE7FD9">
      <w:pPr>
        <w:pStyle w:val="Subsection"/>
        <w:ind w:right="282"/>
        <w:rPr>
          <w:i/>
        </w:rPr>
      </w:pPr>
      <w:r>
        <w:tab/>
      </w:r>
      <w:r>
        <w:tab/>
      </w:r>
      <w:bookmarkStart w:id="2" w:name="Start_Cursor"/>
      <w:bookmarkEnd w:id="2"/>
      <w:r>
        <w:rPr>
          <w:spacing w:val="-2"/>
        </w:rPr>
        <w:t>These</w:t>
      </w:r>
      <w:r>
        <w:t xml:space="preserve"> </w:t>
      </w:r>
      <w:r>
        <w:rPr>
          <w:spacing w:val="-2"/>
        </w:rPr>
        <w:t>regulations</w:t>
      </w:r>
      <w:r>
        <w:t xml:space="preserve"> may be cited as the </w:t>
      </w:r>
      <w:r>
        <w:rPr>
          <w:i/>
        </w:rPr>
        <w:t>Environmental Protection (Goldfields Residential Areas) (Sulfur Dioxide) Regulations 2003</w:t>
      </w:r>
      <w:r>
        <w:t>.</w:t>
      </w:r>
    </w:p>
    <w:p w:rsidR="0079170C" w:rsidRDefault="00CE7FD9">
      <w:pPr>
        <w:pStyle w:val="Heading5"/>
        <w:rPr>
          <w:spacing w:val="-2"/>
        </w:rPr>
      </w:pPr>
      <w:bookmarkStart w:id="3" w:name="_Toc378239357"/>
      <w:r>
        <w:rPr>
          <w:rStyle w:val="CharSectno"/>
        </w:rPr>
        <w:t>2</w:t>
      </w:r>
      <w:r>
        <w:rPr>
          <w:spacing w:val="-2"/>
        </w:rPr>
        <w:t>.</w:t>
      </w:r>
      <w:r>
        <w:rPr>
          <w:spacing w:val="-2"/>
        </w:rPr>
        <w:tab/>
        <w:t>Commencement</w:t>
      </w:r>
      <w:bookmarkEnd w:id="3"/>
    </w:p>
    <w:p w:rsidR="0079170C" w:rsidRDefault="00CE7FD9"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These regulations come into operation on the day on which the policy comes into operation.</w:t>
      </w:r>
    </w:p>
    <w:p w:rsidR="0079170C" w:rsidRDefault="00CE7FD9">
      <w:pPr>
        <w:pStyle w:val="Heading5"/>
        <w:rPr>
          <w:snapToGrid w:val="0"/>
        </w:rPr>
      </w:pPr>
      <w:bookmarkStart w:id="4" w:name="_Toc378239358"/>
      <w:r>
        <w:rPr>
          <w:rStyle w:val="CharSectno"/>
        </w:rPr>
        <w:t>3</w:t>
      </w:r>
      <w:r>
        <w:t>.</w:t>
      </w:r>
      <w:r>
        <w:tab/>
        <w:t>Interpretation</w:t>
      </w:r>
      <w:bookmarkEnd w:id="4"/>
    </w:p>
    <w:p w:rsidR="0079170C" w:rsidRDefault="00CE7FD9">
      <w:pPr>
        <w:pStyle w:val="Subsection"/>
        <w:rPr>
          <w:snapToGrid w:val="0"/>
        </w:rPr>
      </w:pPr>
      <w:r>
        <w:rPr>
          <w:snapToGrid w:val="0"/>
        </w:rPr>
        <w:tab/>
        <w:t>(1)</w:t>
      </w:r>
      <w:r>
        <w:rPr>
          <w:snapToGrid w:val="0"/>
        </w:rPr>
        <w:tab/>
        <w:t>In these regulations —</w:t>
      </w:r>
    </w:p>
    <w:p w:rsidR="0079170C" w:rsidRDefault="00CE7FD9">
      <w:pPr>
        <w:pStyle w:val="Defstart"/>
      </w:pPr>
      <w:r>
        <w:rPr>
          <w:b/>
        </w:rPr>
        <w:tab/>
      </w:r>
      <w:r>
        <w:rPr>
          <w:rStyle w:val="CharDefText"/>
        </w:rPr>
        <w:t>the policy</w:t>
      </w:r>
      <w:r>
        <w:t xml:space="preserve"> means the </w:t>
      </w:r>
      <w:r>
        <w:rPr>
          <w:i/>
        </w:rPr>
        <w:t>Environmental Protection (Goldfields Residential Areas) (Sulfur Dioxide) Policy 2003</w:t>
      </w:r>
      <w:r>
        <w:t xml:space="preserve"> approved under the </w:t>
      </w:r>
      <w:r>
        <w:rPr>
          <w:i/>
        </w:rPr>
        <w:t>Environmental Protection (Goldfields Residential Areas) (Sulfur Dioxide) Policy Order 2003</w:t>
      </w:r>
      <w:r>
        <w:t xml:space="preserve"> and set out in Appendix 1 to that order.</w:t>
      </w:r>
    </w:p>
    <w:p w:rsidR="0079170C" w:rsidRDefault="00CE7FD9">
      <w:pPr>
        <w:pStyle w:val="Subsection"/>
      </w:pPr>
      <w:r>
        <w:tab/>
        <w:t>(2)</w:t>
      </w:r>
      <w:r>
        <w:tab/>
        <w:t>Unless the contrary intention appears, words and expressions defined in clause 2 of the policy and used in these regulations have the same respective meanings as they have in the policy.</w:t>
      </w:r>
    </w:p>
    <w:p w:rsidR="0079170C" w:rsidRDefault="00CE7FD9">
      <w:pPr>
        <w:pStyle w:val="Heading5"/>
        <w:rPr>
          <w:rStyle w:val="CharSectno"/>
        </w:rPr>
      </w:pPr>
      <w:bookmarkStart w:id="5" w:name="_Toc378239359"/>
      <w:r>
        <w:rPr>
          <w:rStyle w:val="CharSectno"/>
        </w:rPr>
        <w:lastRenderedPageBreak/>
        <w:t>4</w:t>
      </w:r>
      <w:r>
        <w:t>.</w:t>
      </w:r>
      <w:r>
        <w:tab/>
        <w:t>P</w:t>
      </w:r>
      <w:r>
        <w:rPr>
          <w:rStyle w:val="CharSectno"/>
        </w:rPr>
        <w:t>rescribed licence conditions for premises discharging sulfur dioxide</w:t>
      </w:r>
      <w:bookmarkEnd w:id="5"/>
    </w:p>
    <w:p w:rsidR="0079170C" w:rsidRDefault="00CE7FD9">
      <w:pPr>
        <w:pStyle w:val="Subsection"/>
        <w:rPr>
          <w:snapToGrid w:val="0"/>
        </w:rPr>
      </w:pPr>
      <w:r>
        <w:rPr>
          <w:snapToGrid w:val="0"/>
        </w:rPr>
        <w:tab/>
        <w:t>(1)</w:t>
      </w:r>
      <w:r>
        <w:rPr>
          <w:snapToGrid w:val="0"/>
        </w:rPr>
        <w:tab/>
        <w:t>The condition set out in subregulation (2) is prescribed for the purposes of section 62(1)(h) of the Act.</w:t>
      </w:r>
    </w:p>
    <w:p w:rsidR="0079170C" w:rsidRDefault="00CE7FD9">
      <w:pPr>
        <w:pStyle w:val="Subsection"/>
      </w:pPr>
      <w:r>
        <w:tab/>
        <w:t>(2)</w:t>
      </w:r>
      <w:r>
        <w:tab/>
        <w:t>The occupier must ensure that the operations on the premises are conducted in such a way as neither to cause, nor to contribute to causing, the maximum sulfur dioxide concentration permitted in the ambient air of a protected area under clause 6 of the policy to be exceeded at any place within the area.</w:t>
      </w:r>
    </w:p>
    <w:p w:rsidR="0079170C" w:rsidRDefault="00CE7FD9">
      <w:pPr>
        <w:pStyle w:val="Heading5"/>
      </w:pPr>
      <w:bookmarkStart w:id="6" w:name="_Toc378239360"/>
      <w:r>
        <w:rPr>
          <w:rStyle w:val="CharSectno"/>
        </w:rPr>
        <w:t>5</w:t>
      </w:r>
      <w:r>
        <w:t>.</w:t>
      </w:r>
      <w:r>
        <w:tab/>
        <w:t>Repeal</w:t>
      </w:r>
      <w:bookmarkEnd w:id="6"/>
    </w:p>
    <w:p w:rsidR="0079170C" w:rsidRDefault="00CE7FD9">
      <w:pPr>
        <w:pStyle w:val="Subsection"/>
        <w:rPr>
          <w:snapToGrid w:val="0"/>
        </w:rPr>
      </w:pPr>
      <w:r>
        <w:tab/>
      </w:r>
      <w:r>
        <w:tab/>
        <w:t xml:space="preserve">The </w:t>
      </w:r>
      <w:r>
        <w:rPr>
          <w:i/>
        </w:rPr>
        <w:t>Environmental Protection (Goldfields Residential Areas) (Sulphur Dioxide) Regulations 1992</w:t>
      </w:r>
      <w:r>
        <w:t xml:space="preserve"> are repealed.</w:t>
      </w:r>
      <w:r>
        <w:rPr>
          <w:snapToGrid w:val="0"/>
        </w:rPr>
        <w:t xml:space="preserve"> </w:t>
      </w:r>
    </w:p>
    <w:p w:rsidR="0079170C" w:rsidRDefault="0079170C">
      <w:pPr>
        <w:sectPr w:rsidR="0079170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 w:rsidR="0079170C" w:rsidRDefault="00CE7FD9">
      <w:pPr>
        <w:pStyle w:val="nHeading2"/>
      </w:pPr>
      <w:bookmarkStart w:id="7" w:name="_Toc378239361"/>
      <w:r>
        <w:lastRenderedPageBreak/>
        <w:t>Notes</w:t>
      </w:r>
      <w:bookmarkEnd w:id="7"/>
    </w:p>
    <w:p w:rsidR="0079170C" w:rsidRDefault="00CE7FD9"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 is a compilation of the </w:t>
      </w:r>
      <w:r>
        <w:rPr>
          <w:i/>
        </w:rPr>
        <w:t>Environmental Protection (Goldfields Residential Areas) (Sulfur Dioxide) Regulations 2003.</w:t>
      </w:r>
    </w:p>
    <w:p w:rsidR="0079170C" w:rsidRDefault="00CE7FD9">
      <w:pPr>
        <w:pStyle w:val="nHeading3"/>
      </w:pPr>
      <w:bookmarkStart w:id="8" w:name="_Toc378239362"/>
      <w:r>
        <w:t>Compilation table</w:t>
      </w:r>
      <w:bookmarkEnd w:id="8"/>
    </w:p>
    <w:tbl>
      <w:tblPr>
        <w:tblW w:w="0" w:type="auto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2693"/>
      </w:tblGrid>
      <w:tr w:rsidR="0079170C">
        <w:trPr>
          <w:tblHeader/>
        </w:trPr>
        <w:tc>
          <w:tcPr>
            <w:tcW w:w="3119" w:type="dxa"/>
            <w:tcBorders>
              <w:top w:val="single" w:sz="8" w:space="0" w:color="auto"/>
            </w:tcBorders>
          </w:tcPr>
          <w:p w:rsidR="0079170C" w:rsidRDefault="00CE7FD9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79170C" w:rsidRDefault="00CE7FD9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Gazettal</w:t>
            </w:r>
          </w:p>
        </w:tc>
        <w:tc>
          <w:tcPr>
            <w:tcW w:w="2693" w:type="dxa"/>
            <w:tcBorders>
              <w:top w:val="single" w:sz="8" w:space="0" w:color="auto"/>
            </w:tcBorders>
          </w:tcPr>
          <w:p w:rsidR="0079170C" w:rsidRDefault="00CE7FD9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 w:rsidR="0079170C"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</w:tcPr>
          <w:p w:rsidR="0079170C" w:rsidRDefault="00CE7FD9">
            <w:pPr>
              <w:pStyle w:val="nTable"/>
            </w:pPr>
            <w:r>
              <w:rPr>
                <w:i/>
              </w:rPr>
              <w:t>Environmental Protection (Goldfields Residential Areas) (Sulfur Dioxide) Regulations 2003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79170C" w:rsidRDefault="00CE7FD9">
            <w:pPr>
              <w:pStyle w:val="nTable"/>
            </w:pPr>
            <w:r>
              <w:t>18 Mar 2003 p. 806-7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:rsidR="0079170C" w:rsidRDefault="00CE7FD9">
            <w:pPr>
              <w:pStyle w:val="nTable"/>
            </w:pPr>
            <w:r>
              <w:t xml:space="preserve">18 Mar 2003 (see r. 2 and </w:t>
            </w:r>
            <w:r>
              <w:rPr>
                <w:i/>
              </w:rPr>
              <w:t>Gazette</w:t>
            </w:r>
            <w:r>
              <w:t xml:space="preserve"> 18 Mar 2003 p. 799)</w:t>
            </w:r>
          </w:p>
        </w:tc>
      </w:tr>
    </w:tbl>
    <w:p w:rsidR="0079170C" w:rsidRDefault="0079170C"/>
    <w:p w:rsidR="0079170C" w:rsidRDefault="0079170C">
      <w:pPr>
        <w:sectPr w:rsidR="0079170C">
          <w:headerReference w:type="even" r:id="rId25"/>
          <w:headerReference w:type="default" r:id="rId26"/>
          <w:headerReference w:type="first" r:id="rId27"/>
          <w:pgSz w:w="11906" w:h="16838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 w:rsidR="0079170C" w:rsidRDefault="0079170C"/>
    <w:sectPr w:rsidR="0079170C">
      <w:headerReference w:type="even" r:id="rId28"/>
      <w:type w:val="continuous"/>
      <w:pgSz w:w="11906" w:h="16838" w:code="9"/>
      <w:pgMar w:top="2376" w:right="2404" w:bottom="3544" w:left="2404" w:header="720" w:footer="338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70C" w:rsidRDefault="00CE7FD9">
      <w:r>
        <w:separator/>
      </w:r>
    </w:p>
  </w:endnote>
  <w:endnote w:type="continuationSeparator" w:id="0">
    <w:p w:rsidR="0079170C" w:rsidRDefault="00CE7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CenturySchlb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3FBC6B-C652-4845-881B-D68FD9ED58E8}"/>
    <w:embedBold r:id="rId2" w:fontKey="{A576BCAE-3E1F-43AB-82A5-BF7EBFA2F0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67BCC7-B074-40AD-A02F-F3DB5E6809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B2C6FB-C0CE-4067-AF0D-DEA009FF9F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1627CF"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1627CF"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071BEF"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071BEF">
      <w:rPr>
        <w:rStyle w:val="CharPageNo"/>
        <w:rFonts w:ascii="Arial" w:hAnsi="Arial"/>
        <w:noProof/>
      </w:rPr>
      <w:t>2</w:t>
    </w:r>
    <w:r>
      <w:rPr>
        <w:rStyle w:val="CharPageNo"/>
        <w:rFonts w:ascii="Arial" w:hAnsi="Arial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</w:t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071BEF">
      <w:rPr>
        <w:rStyle w:val="CharPageNo"/>
        <w:rFonts w:ascii="Arial" w:hAnsi="Arial"/>
        <w:noProof/>
      </w:rPr>
      <w:t>3</w:t>
    </w:r>
    <w:r>
      <w:rPr>
        <w:rStyle w:val="CharPageNo"/>
        <w:rFonts w:ascii="Arial" w:hAnsi="Arial"/>
      </w:rPr>
      <w:fldChar w:fldCharType="end"/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Footer"/>
      <w:tabs>
        <w:tab w:val="clear" w:pos="4153"/>
        <w:tab w:val="right" w:pos="7088"/>
      </w:tabs>
      <w:rPr>
        <w:rStyle w:val="PageNumber"/>
      </w:rPr>
    </w:pPr>
  </w:p>
  <w:p w:rsidR="0079170C" w:rsidRDefault="00CE7FD9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18 Mar 2003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 w:rsidR="00071BEF">
      <w:rPr>
        <w:rFonts w:ascii="Arial" w:hAnsi="Arial" w:cs="Arial"/>
        <w:sz w:val="20"/>
      </w:rPr>
      <w:t>00-a0-09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071BEF">
      <w:rPr>
        <w:rStyle w:val="CharPageNo"/>
        <w:rFonts w:ascii="Arial" w:hAnsi="Arial"/>
        <w:noProof/>
      </w:rPr>
      <w:t>1</w:t>
    </w:r>
    <w:r>
      <w:rPr>
        <w:rStyle w:val="CharPageNo"/>
        <w:rFonts w:ascii="Arial" w:hAnsi="Arial"/>
      </w:rPr>
      <w:fldChar w:fldCharType="end"/>
    </w:r>
  </w:p>
  <w:p w:rsidR="0079170C" w:rsidRDefault="00CE7FD9"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70C" w:rsidRDefault="00CE7FD9">
      <w:r>
        <w:separator/>
      </w:r>
    </w:p>
  </w:footnote>
  <w:footnote w:type="continuationSeparator" w:id="0">
    <w:p w:rsidR="0079170C" w:rsidRDefault="00CE7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CE7FD9">
    <w:pPr>
      <w:pStyle w:val="headerpartodd"/>
      <w:ind w:left="0" w:firstLine="0"/>
      <w:rPr>
        <w:i/>
      </w:rPr>
    </w:pPr>
    <w:r>
      <w:rPr>
        <w:i/>
      </w:rPr>
      <w:fldChar w:fldCharType="begin"/>
    </w:r>
    <w:r>
      <w:rPr>
        <w:i/>
      </w:rPr>
      <w:instrText xml:space="preserve"> Styleref "Name of Act/Reg" </w:instrText>
    </w:r>
    <w:r>
      <w:rPr>
        <w:i/>
      </w:rPr>
      <w:fldChar w:fldCharType="separate"/>
    </w:r>
    <w:r w:rsidR="00071BEF">
      <w:rPr>
        <w:i/>
        <w:noProof/>
      </w:rPr>
      <w:t>Environmental Protection (Goldfields Residential Areas) (Sulfur Dioxide) Regulations 2003</w:t>
    </w:r>
    <w:r>
      <w:rPr>
        <w:i/>
      </w:rPr>
      <w:fldChar w:fldCharType="end"/>
    </w:r>
  </w:p>
  <w:p w:rsidR="0079170C" w:rsidRDefault="00CE7FD9">
    <w:pPr>
      <w:pStyle w:val="headerpartodd"/>
      <w:ind w:left="0" w:firstLine="0"/>
      <w:rPr>
        <w:b w:val="0"/>
        <w:i/>
      </w:rPr>
    </w:pPr>
    <w:r>
      <w:fldChar w:fldCharType="begin"/>
    </w:r>
    <w:r>
      <w:instrText xml:space="preserve"> STYLEREF CharPartNo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CharPartText </w:instrText>
    </w:r>
    <w:r>
      <w:rPr>
        <w:b w:val="0"/>
      </w:rPr>
      <w:fldChar w:fldCharType="end"/>
    </w:r>
  </w:p>
  <w:p w:rsidR="0079170C" w:rsidRDefault="00CE7FD9">
    <w:pPr>
      <w:pStyle w:val="headerpart"/>
    </w:pPr>
    <w:r>
      <w:fldChar w:fldCharType="begin"/>
    </w:r>
    <w:r>
      <w:instrText xml:space="preserve"> STYLEREF CharDivNo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CharDivText </w:instrText>
    </w:r>
    <w:r>
      <w:rPr>
        <w:b w:val="0"/>
      </w:rPr>
      <w:fldChar w:fldCharType="end"/>
    </w:r>
  </w:p>
  <w:p w:rsidR="0079170C" w:rsidRDefault="0079170C">
    <w:pPr>
      <w:pStyle w:val="headerpart"/>
    </w:pPr>
  </w:p>
  <w:p w:rsidR="0079170C" w:rsidRDefault="0079170C">
    <w:pPr>
      <w:pBdr>
        <w:bottom w:val="single" w:sz="6" w:space="1" w:color="auto"/>
      </w:pBdr>
      <w:rPr>
        <w:b/>
      </w:rPr>
    </w:pPr>
  </w:p>
  <w:p w:rsidR="0079170C" w:rsidRDefault="0079170C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79170C">
      <w:trPr>
        <w:cantSplit/>
      </w:trPr>
      <w:tc>
        <w:tcPr>
          <w:tcW w:w="7258" w:type="dxa"/>
          <w:gridSpan w:val="2"/>
        </w:tcPr>
        <w:p w:rsidR="0079170C" w:rsidRDefault="001627CF">
          <w:pPr>
            <w:pStyle w:val="HeaderActNameRight"/>
            <w:ind w:right="17"/>
          </w:pPr>
          <w:fldSimple w:instr=" Styleref &quot;Name of Act/Reg&quot; ">
            <w:r w:rsidR="00071BEF">
              <w:rPr>
                <w:noProof/>
              </w:rPr>
              <w:t>Environmental Protection (Goldfields Residential Areas) (Sulfur Dioxide) Regulations 2003</w:t>
            </w:r>
          </w:fldSimple>
        </w:p>
      </w:tc>
    </w:tr>
    <w:tr w:rsidR="0079170C">
      <w:tc>
        <w:tcPr>
          <w:tcW w:w="5715" w:type="dxa"/>
        </w:tcPr>
        <w:p w:rsidR="0079170C" w:rsidRDefault="0079170C">
          <w:pPr>
            <w:pStyle w:val="HeaderTextRight"/>
          </w:pPr>
        </w:p>
      </w:tc>
      <w:tc>
        <w:tcPr>
          <w:tcW w:w="1548" w:type="dxa"/>
        </w:tcPr>
        <w:p w:rsidR="0079170C" w:rsidRDefault="0079170C">
          <w:pPr>
            <w:pStyle w:val="HeaderNumberRight"/>
            <w:ind w:right="17"/>
          </w:pPr>
        </w:p>
      </w:tc>
    </w:tr>
    <w:tr w:rsidR="0079170C">
      <w:tc>
        <w:tcPr>
          <w:tcW w:w="5715" w:type="dxa"/>
        </w:tcPr>
        <w:p w:rsidR="0079170C" w:rsidRDefault="0079170C">
          <w:pPr>
            <w:pStyle w:val="HeaderTextRight"/>
          </w:pPr>
        </w:p>
      </w:tc>
      <w:tc>
        <w:tcPr>
          <w:tcW w:w="1548" w:type="dxa"/>
        </w:tcPr>
        <w:p w:rsidR="0079170C" w:rsidRDefault="0079170C">
          <w:pPr>
            <w:pStyle w:val="HeaderNumberRight"/>
            <w:ind w:right="17"/>
          </w:pPr>
        </w:p>
      </w:tc>
    </w:tr>
    <w:tr w:rsidR="0079170C">
      <w:trPr>
        <w:cantSplit/>
      </w:trPr>
      <w:tc>
        <w:tcPr>
          <w:tcW w:w="7258" w:type="dxa"/>
          <w:gridSpan w:val="2"/>
        </w:tcPr>
        <w:p w:rsidR="0079170C" w:rsidRDefault="0079170C">
          <w:pPr>
            <w:pStyle w:val="HeaderSectionRight"/>
            <w:ind w:right="17"/>
          </w:pPr>
        </w:p>
      </w:tc>
    </w:tr>
  </w:tbl>
  <w:p w:rsidR="0079170C" w:rsidRDefault="0079170C"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64"/>
    </w:tblGrid>
    <w:tr w:rsidR="0079170C">
      <w:trPr>
        <w:cantSplit/>
      </w:trPr>
      <w:tc>
        <w:tcPr>
          <w:tcW w:w="7312" w:type="dxa"/>
          <w:gridSpan w:val="2"/>
        </w:tcPr>
        <w:p w:rsidR="0079170C" w:rsidRDefault="001627CF">
          <w:pPr>
            <w:pStyle w:val="HeaderActNameLeft"/>
          </w:pPr>
          <w:fldSimple w:instr=" Styleref &quot;Name of Act/Reg&quot; ">
            <w:r w:rsidR="00071BEF">
              <w:rPr>
                <w:noProof/>
              </w:rPr>
              <w:t>Environmental Protection (Goldfields Residential Areas) (Sulfur Dioxide) Regulations 2003</w:t>
            </w:r>
          </w:fldSimple>
        </w:p>
      </w:tc>
    </w:tr>
    <w:tr w:rsidR="0079170C">
      <w:tc>
        <w:tcPr>
          <w:tcW w:w="1548" w:type="dxa"/>
        </w:tcPr>
        <w:p w:rsidR="0079170C" w:rsidRDefault="0079170C">
          <w:pPr>
            <w:pStyle w:val="HeaderNumberLeft"/>
          </w:pPr>
        </w:p>
      </w:tc>
      <w:tc>
        <w:tcPr>
          <w:tcW w:w="5764" w:type="dxa"/>
        </w:tcPr>
        <w:p w:rsidR="0079170C" w:rsidRDefault="0079170C">
          <w:pPr>
            <w:pStyle w:val="HeaderTextLeft"/>
          </w:pPr>
        </w:p>
      </w:tc>
    </w:tr>
    <w:tr w:rsidR="0079170C">
      <w:tc>
        <w:tcPr>
          <w:tcW w:w="1548" w:type="dxa"/>
        </w:tcPr>
        <w:p w:rsidR="0079170C" w:rsidRDefault="0079170C">
          <w:pPr>
            <w:pStyle w:val="HeaderNumberLeft"/>
          </w:pPr>
        </w:p>
      </w:tc>
      <w:tc>
        <w:tcPr>
          <w:tcW w:w="5764" w:type="dxa"/>
        </w:tcPr>
        <w:p w:rsidR="0079170C" w:rsidRDefault="0079170C">
          <w:pPr>
            <w:pStyle w:val="HeaderTextLeft"/>
          </w:pPr>
        </w:p>
      </w:tc>
    </w:tr>
    <w:tr w:rsidR="0079170C">
      <w:trPr>
        <w:cantSplit/>
      </w:trPr>
      <w:tc>
        <w:tcPr>
          <w:tcW w:w="7312" w:type="dxa"/>
          <w:gridSpan w:val="2"/>
        </w:tcPr>
        <w:p w:rsidR="0079170C" w:rsidRDefault="0079170C">
          <w:pPr>
            <w:pStyle w:val="HeaderSectionLeft"/>
          </w:pPr>
        </w:p>
      </w:tc>
    </w:tr>
  </w:tbl>
  <w:p w:rsidR="0079170C" w:rsidRDefault="0079170C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EF" w:rsidRDefault="00071B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EF" w:rsidRDefault="00071BE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79170C">
      <w:trPr>
        <w:cantSplit/>
      </w:trPr>
      <w:tc>
        <w:tcPr>
          <w:tcW w:w="7258" w:type="dxa"/>
          <w:gridSpan w:val="2"/>
        </w:tcPr>
        <w:p w:rsidR="0079170C" w:rsidRDefault="001627CF">
          <w:pPr>
            <w:pStyle w:val="HeaderActNameLeft"/>
          </w:pPr>
          <w:fldSimple w:instr=" Styleref &quot;Name of Act/Reg&quot; ">
            <w:r w:rsidR="00071BEF">
              <w:rPr>
                <w:noProof/>
              </w:rPr>
              <w:t>Environmental Protection (Goldfields Residential Areas) (Sulfur Dioxide) Regulations 2003</w:t>
            </w:r>
          </w:fldSimple>
        </w:p>
      </w:tc>
    </w:tr>
    <w:tr w:rsidR="0079170C">
      <w:tc>
        <w:tcPr>
          <w:tcW w:w="1548" w:type="dxa"/>
        </w:tcPr>
        <w:p w:rsidR="0079170C" w:rsidRDefault="0079170C">
          <w:pPr>
            <w:pStyle w:val="HeaderNumberLeft"/>
          </w:pPr>
        </w:p>
      </w:tc>
      <w:tc>
        <w:tcPr>
          <w:tcW w:w="5715" w:type="dxa"/>
        </w:tcPr>
        <w:p w:rsidR="0079170C" w:rsidRDefault="0079170C">
          <w:pPr>
            <w:pStyle w:val="HeaderTextLeft"/>
          </w:pPr>
        </w:p>
      </w:tc>
    </w:tr>
    <w:tr w:rsidR="0079170C">
      <w:tc>
        <w:tcPr>
          <w:tcW w:w="1548" w:type="dxa"/>
        </w:tcPr>
        <w:p w:rsidR="0079170C" w:rsidRDefault="0079170C">
          <w:pPr>
            <w:pStyle w:val="HeaderNumberLeft"/>
          </w:pPr>
        </w:p>
      </w:tc>
      <w:tc>
        <w:tcPr>
          <w:tcW w:w="5715" w:type="dxa"/>
        </w:tcPr>
        <w:p w:rsidR="0079170C" w:rsidRDefault="0079170C">
          <w:pPr>
            <w:pStyle w:val="HeaderTextLeft"/>
          </w:pPr>
        </w:p>
      </w:tc>
    </w:tr>
    <w:tr w:rsidR="0079170C">
      <w:trPr>
        <w:cantSplit/>
      </w:trPr>
      <w:tc>
        <w:tcPr>
          <w:tcW w:w="7258" w:type="dxa"/>
          <w:gridSpan w:val="2"/>
        </w:tcPr>
        <w:p w:rsidR="0079170C" w:rsidRDefault="00CE7FD9">
          <w:pPr>
            <w:pStyle w:val="HeaderSectionLeft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79170C" w:rsidRDefault="0079170C"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79170C">
      <w:trPr>
        <w:cantSplit/>
      </w:trPr>
      <w:tc>
        <w:tcPr>
          <w:tcW w:w="7258" w:type="dxa"/>
          <w:gridSpan w:val="2"/>
        </w:tcPr>
        <w:p w:rsidR="0079170C" w:rsidRDefault="001627CF">
          <w:pPr>
            <w:pStyle w:val="HeaderActNameRight"/>
            <w:ind w:right="17"/>
          </w:pPr>
          <w:fldSimple w:instr=" Styleref &quot;Name of Act/Reg&quot; ">
            <w:r w:rsidR="00071BEF">
              <w:rPr>
                <w:noProof/>
              </w:rPr>
              <w:t>Environmental Protection (Goldfields Residential Areas) (Sulfur Dioxide) Regulations 2003</w:t>
            </w:r>
          </w:fldSimple>
        </w:p>
      </w:tc>
    </w:tr>
    <w:tr w:rsidR="0079170C">
      <w:tc>
        <w:tcPr>
          <w:tcW w:w="5715" w:type="dxa"/>
        </w:tcPr>
        <w:p w:rsidR="0079170C" w:rsidRDefault="0079170C">
          <w:pPr>
            <w:pStyle w:val="HeaderTextRight"/>
          </w:pPr>
        </w:p>
      </w:tc>
      <w:tc>
        <w:tcPr>
          <w:tcW w:w="1548" w:type="dxa"/>
        </w:tcPr>
        <w:p w:rsidR="0079170C" w:rsidRDefault="0079170C">
          <w:pPr>
            <w:pStyle w:val="HeaderNumberRight"/>
            <w:ind w:right="17"/>
          </w:pPr>
        </w:p>
      </w:tc>
    </w:tr>
    <w:tr w:rsidR="0079170C">
      <w:tc>
        <w:tcPr>
          <w:tcW w:w="5715" w:type="dxa"/>
        </w:tcPr>
        <w:p w:rsidR="0079170C" w:rsidRDefault="0079170C">
          <w:pPr>
            <w:pStyle w:val="HeaderTextRight"/>
          </w:pPr>
        </w:p>
      </w:tc>
      <w:tc>
        <w:tcPr>
          <w:tcW w:w="1548" w:type="dxa"/>
        </w:tcPr>
        <w:p w:rsidR="0079170C" w:rsidRDefault="0079170C">
          <w:pPr>
            <w:pStyle w:val="HeaderNumberRight"/>
            <w:ind w:right="17"/>
          </w:pPr>
        </w:p>
      </w:tc>
    </w:tr>
    <w:tr w:rsidR="0079170C">
      <w:trPr>
        <w:cantSplit/>
      </w:trPr>
      <w:tc>
        <w:tcPr>
          <w:tcW w:w="7258" w:type="dxa"/>
          <w:gridSpan w:val="2"/>
        </w:tcPr>
        <w:p w:rsidR="0079170C" w:rsidRDefault="00CE7FD9">
          <w:pPr>
            <w:pStyle w:val="HeaderSectionRight"/>
            <w:ind w:right="17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79170C" w:rsidRDefault="0079170C"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79170C">
      <w:trPr>
        <w:cantSplit/>
      </w:trPr>
      <w:tc>
        <w:tcPr>
          <w:tcW w:w="7258" w:type="dxa"/>
          <w:gridSpan w:val="2"/>
        </w:tcPr>
        <w:p w:rsidR="0079170C" w:rsidRDefault="001627CF">
          <w:pPr>
            <w:pStyle w:val="HeaderActNameLeft"/>
          </w:pPr>
          <w:fldSimple w:instr=" Styleref &quot;Name of Act/Reg&quot; ">
            <w:r w:rsidR="00071BEF">
              <w:rPr>
                <w:noProof/>
              </w:rPr>
              <w:t>Environmental Protection (Goldfields Residential Areas) (Sulfur Dioxide) Regulations 2003</w:t>
            </w:r>
          </w:fldSimple>
        </w:p>
      </w:tc>
    </w:tr>
    <w:tr w:rsidR="0079170C">
      <w:tc>
        <w:tcPr>
          <w:tcW w:w="1548" w:type="dxa"/>
        </w:tcPr>
        <w:p w:rsidR="0079170C" w:rsidRDefault="00CE7FD9">
          <w:pPr>
            <w:pStyle w:val="HeaderNumberLeft"/>
          </w:pPr>
          <w:r>
            <w:fldChar w:fldCharType="begin"/>
          </w:r>
          <w:r>
            <w:instrText xml:space="preserve"> styleref CharPartNo </w:instrText>
          </w:r>
          <w:r>
            <w:fldChar w:fldCharType="end"/>
          </w:r>
        </w:p>
      </w:tc>
      <w:tc>
        <w:tcPr>
          <w:tcW w:w="5715" w:type="dxa"/>
        </w:tcPr>
        <w:p w:rsidR="0079170C" w:rsidRDefault="00CE7FD9">
          <w:pPr>
            <w:pStyle w:val="HeaderTextLef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 w:rsidR="0079170C">
      <w:tc>
        <w:tcPr>
          <w:tcW w:w="1548" w:type="dxa"/>
        </w:tcPr>
        <w:p w:rsidR="0079170C" w:rsidRDefault="00CE7FD9">
          <w:pPr>
            <w:pStyle w:val="HeaderNumberLeft"/>
          </w:pPr>
          <w:r>
            <w:fldChar w:fldCharType="begin"/>
          </w:r>
          <w:r>
            <w:instrText xml:space="preserve"> styleref CharDivNo </w:instrText>
          </w:r>
          <w:r>
            <w:fldChar w:fldCharType="end"/>
          </w:r>
        </w:p>
      </w:tc>
      <w:tc>
        <w:tcPr>
          <w:tcW w:w="5715" w:type="dxa"/>
        </w:tcPr>
        <w:p w:rsidR="0079170C" w:rsidRDefault="00CE7FD9">
          <w:pPr>
            <w:pStyle w:val="HeaderTextLef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 w:rsidR="0079170C">
      <w:trPr>
        <w:cantSplit/>
      </w:trPr>
      <w:tc>
        <w:tcPr>
          <w:tcW w:w="7258" w:type="dxa"/>
          <w:gridSpan w:val="2"/>
        </w:tcPr>
        <w:p w:rsidR="0079170C" w:rsidRDefault="00CE7FD9">
          <w:pPr>
            <w:pStyle w:val="HeaderSectionLeft"/>
          </w:pPr>
          <w:r>
            <w:t xml:space="preserve">r. </w:t>
          </w:r>
          <w:fldSimple w:instr=" styleref CharSectno ">
            <w:r w:rsidR="00071BEF">
              <w:rPr>
                <w:noProof/>
              </w:rPr>
              <w:t>1</w:t>
            </w:r>
          </w:fldSimple>
        </w:p>
      </w:tc>
    </w:tr>
  </w:tbl>
  <w:p w:rsidR="0079170C" w:rsidRDefault="0079170C">
    <w:pPr>
      <w:pStyle w:val="Header"/>
      <w:pBdr>
        <w:top w:val="single" w:sz="4" w:space="1" w:color="auto"/>
      </w:pBd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79170C">
      <w:trPr>
        <w:cantSplit/>
      </w:trPr>
      <w:tc>
        <w:tcPr>
          <w:tcW w:w="7258" w:type="dxa"/>
          <w:gridSpan w:val="2"/>
        </w:tcPr>
        <w:p w:rsidR="0079170C" w:rsidRDefault="001627CF">
          <w:pPr>
            <w:pStyle w:val="HeaderActNameRight"/>
            <w:ind w:right="17"/>
          </w:pPr>
          <w:fldSimple w:instr=" Styleref &quot;Name of Act/Reg&quot; ">
            <w:r w:rsidR="00071BEF">
              <w:rPr>
                <w:noProof/>
              </w:rPr>
              <w:t>Environmental Protection (Goldfields Residential Areas) (Sulfur Dioxide) Regulations 2003</w:t>
            </w:r>
          </w:fldSimple>
        </w:p>
      </w:tc>
    </w:tr>
    <w:tr w:rsidR="0079170C">
      <w:tc>
        <w:tcPr>
          <w:tcW w:w="5715" w:type="dxa"/>
        </w:tcPr>
        <w:p w:rsidR="0079170C" w:rsidRDefault="00CE7FD9">
          <w:pPr>
            <w:pStyle w:val="HeaderText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 w:rsidR="0079170C" w:rsidRDefault="00CE7FD9">
          <w:pPr>
            <w:pStyle w:val="HeaderNumberRight"/>
            <w:ind w:right="17"/>
          </w:pPr>
          <w:r>
            <w:fldChar w:fldCharType="begin"/>
          </w:r>
          <w:r>
            <w:instrText xml:space="preserve"> styleref CharPartNo </w:instrText>
          </w:r>
          <w:r>
            <w:fldChar w:fldCharType="end"/>
          </w:r>
        </w:p>
      </w:tc>
    </w:tr>
    <w:tr w:rsidR="0079170C">
      <w:tc>
        <w:tcPr>
          <w:tcW w:w="5715" w:type="dxa"/>
        </w:tcPr>
        <w:p w:rsidR="0079170C" w:rsidRDefault="00CE7FD9">
          <w:pPr>
            <w:pStyle w:val="HeaderText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 w:rsidR="0079170C" w:rsidRDefault="00CE7FD9">
          <w:pPr>
            <w:pStyle w:val="HeaderNumberRight"/>
            <w:ind w:right="17"/>
          </w:pPr>
          <w:r>
            <w:fldChar w:fldCharType="begin"/>
          </w:r>
          <w:r>
            <w:instrText xml:space="preserve"> styleref CharDivNo </w:instrText>
          </w:r>
          <w:r>
            <w:fldChar w:fldCharType="end"/>
          </w:r>
        </w:p>
      </w:tc>
    </w:tr>
    <w:tr w:rsidR="0079170C">
      <w:trPr>
        <w:cantSplit/>
      </w:trPr>
      <w:tc>
        <w:tcPr>
          <w:tcW w:w="7258" w:type="dxa"/>
          <w:gridSpan w:val="2"/>
        </w:tcPr>
        <w:p w:rsidR="0079170C" w:rsidRDefault="00CE7FD9">
          <w:pPr>
            <w:pStyle w:val="HeaderSectionRight"/>
            <w:ind w:right="17"/>
          </w:pPr>
          <w:r>
            <w:t xml:space="preserve">r. </w:t>
          </w:r>
          <w:fldSimple w:instr=" styleref CharSectno ">
            <w:r w:rsidR="00071BEF">
              <w:rPr>
                <w:noProof/>
              </w:rPr>
              <w:t>1</w:t>
            </w:r>
          </w:fldSimple>
        </w:p>
      </w:tc>
    </w:tr>
  </w:tbl>
  <w:p w:rsidR="0079170C" w:rsidRDefault="0079170C"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0C" w:rsidRDefault="0079170C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79170C">
      <w:trPr>
        <w:cantSplit/>
      </w:trPr>
      <w:tc>
        <w:tcPr>
          <w:tcW w:w="7258" w:type="dxa"/>
          <w:gridSpan w:val="2"/>
        </w:tcPr>
        <w:p w:rsidR="0079170C" w:rsidRDefault="001627CF">
          <w:pPr>
            <w:pStyle w:val="HeaderActNameLeft"/>
          </w:pPr>
          <w:fldSimple w:instr=" Styleref &quot;Name of Act/Reg&quot; ">
            <w:r w:rsidR="00071BEF">
              <w:rPr>
                <w:noProof/>
              </w:rPr>
              <w:t>Environmental Protection (Goldfields Residential Areas) (Sulfur Dioxide) Regulations 2003</w:t>
            </w:r>
          </w:fldSimple>
        </w:p>
      </w:tc>
    </w:tr>
    <w:tr w:rsidR="0079170C">
      <w:tc>
        <w:tcPr>
          <w:tcW w:w="1548" w:type="dxa"/>
        </w:tcPr>
        <w:p w:rsidR="0079170C" w:rsidRDefault="0079170C">
          <w:pPr>
            <w:pStyle w:val="HeaderNumberLeft"/>
          </w:pPr>
        </w:p>
      </w:tc>
      <w:tc>
        <w:tcPr>
          <w:tcW w:w="5715" w:type="dxa"/>
        </w:tcPr>
        <w:p w:rsidR="0079170C" w:rsidRDefault="0079170C">
          <w:pPr>
            <w:pStyle w:val="HeaderTextLeft"/>
          </w:pPr>
        </w:p>
      </w:tc>
    </w:tr>
    <w:tr w:rsidR="0079170C">
      <w:tc>
        <w:tcPr>
          <w:tcW w:w="1548" w:type="dxa"/>
        </w:tcPr>
        <w:p w:rsidR="0079170C" w:rsidRDefault="0079170C">
          <w:pPr>
            <w:pStyle w:val="HeaderNumberLeft"/>
          </w:pPr>
        </w:p>
      </w:tc>
      <w:tc>
        <w:tcPr>
          <w:tcW w:w="5715" w:type="dxa"/>
        </w:tcPr>
        <w:p w:rsidR="0079170C" w:rsidRDefault="0079170C">
          <w:pPr>
            <w:pStyle w:val="HeaderTextLeft"/>
          </w:pPr>
        </w:p>
      </w:tc>
    </w:tr>
    <w:tr w:rsidR="0079170C">
      <w:trPr>
        <w:cantSplit/>
      </w:trPr>
      <w:tc>
        <w:tcPr>
          <w:tcW w:w="7258" w:type="dxa"/>
          <w:gridSpan w:val="2"/>
        </w:tcPr>
        <w:p w:rsidR="0079170C" w:rsidRDefault="0079170C">
          <w:pPr>
            <w:pStyle w:val="HeaderSectionRight"/>
            <w:ind w:right="17"/>
            <w:jc w:val="left"/>
          </w:pPr>
        </w:p>
      </w:tc>
    </w:tr>
  </w:tbl>
  <w:p w:rsidR="0079170C" w:rsidRDefault="0079170C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4CA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9C934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E9691E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3C73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9C25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C8BDC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F60B2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F8C50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10D4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38241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716D3"/>
    <w:multiLevelType w:val="multilevel"/>
    <w:tmpl w:val="60309F98"/>
    <w:name w:val="ScheduleNumberedItems"/>
    <w:lvl w:ilvl="0">
      <w:start w:val="1"/>
      <w:numFmt w:val="decimal"/>
      <w:suff w:val="nothing"/>
      <w:lvlText w:val="%1"/>
      <w:lvlJc w:val="left"/>
      <w:pPr>
        <w:ind w:left="0" w:firstLine="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</w:lvl>
    <w:lvl w:ilvl="2">
      <w:start w:val="1"/>
      <w:numFmt w:val="lowerRoman"/>
      <w:lvlText w:val="%3)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(%4)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(%5)"/>
      <w:lvlJc w:val="left"/>
      <w:pPr>
        <w:tabs>
          <w:tab w:val="num" w:pos="36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7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0" w:firstLine="0"/>
      </w:pPr>
    </w:lvl>
  </w:abstractNum>
  <w:abstractNum w:abstractNumId="11">
    <w:nsid w:val="03E34CD7"/>
    <w:multiLevelType w:val="multilevel"/>
    <w:tmpl w:val="83749112"/>
    <w:name w:val="def"/>
    <w:lvl w:ilvl="0">
      <w:start w:val="1"/>
      <w:numFmt w:val="decimal"/>
      <w:lvlText w:val="%1"/>
      <w:lvlJc w:val="right"/>
      <w:pPr>
        <w:tabs>
          <w:tab w:val="num" w:pos="936"/>
        </w:tabs>
        <w:ind w:left="936" w:hanging="648"/>
      </w:pPr>
      <w:rPr>
        <w:vanish w:val="0"/>
      </w:rPr>
    </w:lvl>
    <w:lvl w:ilvl="1">
      <w:start w:val="1"/>
      <w:numFmt w:val="lowerLetter"/>
      <w:lvlText w:val="(%2)"/>
      <w:lvlJc w:val="right"/>
      <w:pPr>
        <w:tabs>
          <w:tab w:val="num" w:pos="1800"/>
        </w:tabs>
        <w:ind w:left="1800" w:hanging="288"/>
      </w:pPr>
    </w:lvl>
    <w:lvl w:ilvl="2">
      <w:start w:val="1"/>
      <w:numFmt w:val="lowerRoman"/>
      <w:lvlText w:val="(%3)"/>
      <w:lvlJc w:val="right"/>
      <w:pPr>
        <w:tabs>
          <w:tab w:val="num" w:pos="2376"/>
        </w:tabs>
        <w:ind w:left="2376" w:hanging="288"/>
      </w:pPr>
    </w:lvl>
    <w:lvl w:ilvl="3">
      <w:start w:val="1"/>
      <w:numFmt w:val="upperRoman"/>
      <w:lvlText w:val="(%4)"/>
      <w:lvlJc w:val="right"/>
      <w:pPr>
        <w:tabs>
          <w:tab w:val="num" w:pos="2952"/>
        </w:tabs>
        <w:ind w:left="2952" w:hanging="28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BB370D7"/>
    <w:multiLevelType w:val="multilevel"/>
    <w:tmpl w:val="B9D6DF1A"/>
    <w:name w:val="Schedule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>
    <w:nsid w:val="0F3C3412"/>
    <w:multiLevelType w:val="multilevel"/>
    <w:tmpl w:val="D78487F2"/>
    <w:name w:val="mainnumbers"/>
    <w:lvl w:ilvl="0">
      <w:start w:val="1"/>
      <w:numFmt w:val="none"/>
      <w:lvlText w:val="%1Chapter  - 1"/>
      <w:lvlJc w:val="left"/>
      <w:pPr>
        <w:tabs>
          <w:tab w:val="num" w:pos="1440"/>
        </w:tabs>
        <w:ind w:left="360" w:hanging="360"/>
      </w:pPr>
    </w:lvl>
    <w:lvl w:ilvl="1">
      <w:start w:val="1"/>
      <w:numFmt w:val="decimal"/>
      <w:lvlText w:val="Part - %2"/>
      <w:lvlJc w:val="left"/>
      <w:pPr>
        <w:tabs>
          <w:tab w:val="num" w:pos="1440"/>
        </w:tabs>
        <w:ind w:left="720" w:hanging="360"/>
      </w:pPr>
    </w:lvl>
    <w:lvl w:ilvl="2">
      <w:start w:val="1"/>
      <w:numFmt w:val="decimal"/>
      <w:lvlText w:val="Division - %3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Subdivision - %4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38B63E2"/>
    <w:multiLevelType w:val="multilevel"/>
    <w:tmpl w:val="FB266D58"/>
    <w:name w:val="SectionNumbers"/>
    <w:lvl w:ilvl="0">
      <w:start w:val="1"/>
      <w:numFmt w:val="decimal"/>
      <w:lvlRestart w:val="0"/>
      <w:suff w:val="nothing"/>
      <w:lvlText w:val="%1"/>
      <w:lvlJc w:val="righ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righ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16880C58"/>
    <w:multiLevelType w:val="multilevel"/>
    <w:tmpl w:val="7226A03A"/>
    <w:name w:val="ScheduleDefinition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22FF52EB"/>
    <w:multiLevelType w:val="multilevel"/>
    <w:tmpl w:val="3BA0F252"/>
    <w:name w:val="DefinitionNumbers"/>
    <w:lvl w:ilvl="0">
      <w:start w:val="1"/>
      <w:numFmt w:val="none"/>
      <w:lvlRestart w:val="0"/>
      <w:pStyle w:val="DefinitionNumbers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>
    <w:nsid w:val="29E57463"/>
    <w:multiLevelType w:val="multilevel"/>
    <w:tmpl w:val="8B7471A8"/>
    <w:name w:val="defs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2CE7501A"/>
    <w:multiLevelType w:val="multilevel"/>
    <w:tmpl w:val="011E435C"/>
    <w:name w:val="defs2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0BF5862"/>
    <w:multiLevelType w:val="multilevel"/>
    <w:tmpl w:val="811EB9CC"/>
    <w:name w:val="headings"/>
    <w:lvl w:ilvl="0">
      <w:start w:val="1"/>
      <w:numFmt w:val="none"/>
      <w:lvlText w:val="%1Chapter  - "/>
      <w:lvlJc w:val="left"/>
      <w:pPr>
        <w:tabs>
          <w:tab w:val="num" w:pos="1080"/>
        </w:tabs>
        <w:ind w:left="360" w:hanging="360"/>
      </w:pPr>
    </w:lvl>
    <w:lvl w:ilvl="1">
      <w:start w:val="1"/>
      <w:numFmt w:val="none"/>
      <w:lvlText w:val="Part - "/>
      <w:lvlJc w:val="left"/>
      <w:pPr>
        <w:tabs>
          <w:tab w:val="num" w:pos="1080"/>
        </w:tabs>
        <w:ind w:left="720" w:hanging="360"/>
      </w:pPr>
    </w:lvl>
    <w:lvl w:ilvl="2">
      <w:start w:val="1"/>
      <w:numFmt w:val="none"/>
      <w:lvlText w:val="Division  - "/>
      <w:lvlJc w:val="left"/>
      <w:pPr>
        <w:tabs>
          <w:tab w:val="num" w:pos="1800"/>
        </w:tabs>
        <w:ind w:left="1080" w:hanging="360"/>
      </w:pPr>
    </w:lvl>
    <w:lvl w:ilvl="3">
      <w:start w:val="1"/>
      <w:numFmt w:val="none"/>
      <w:lvlText w:val="Subdivision - 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0">
    <w:nsid w:val="310F4753"/>
    <w:multiLevelType w:val="multilevel"/>
    <w:tmpl w:val="4F04CBBC"/>
    <w:name w:val="SchedulePart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>
    <w:nsid w:val="351C33A5"/>
    <w:multiLevelType w:val="multilevel"/>
    <w:tmpl w:val="6A7E0364"/>
    <w:name w:val="ScheduleSection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>
    <w:nsid w:val="3A396798"/>
    <w:multiLevelType w:val="multilevel"/>
    <w:tmpl w:val="0B425D62"/>
    <w:name w:val="PartNumbers"/>
    <w:lvl w:ilvl="0">
      <w:start w:val="1"/>
      <w:numFmt w:val="decimal"/>
      <w:lvlRestart w:val="0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3C2808C0"/>
    <w:multiLevelType w:val="singleLevel"/>
    <w:tmpl w:val="8A823F8E"/>
    <w:lvl w:ilvl="0">
      <w:start w:val="1"/>
      <w:numFmt w:val="bullet"/>
      <w:pStyle w:val="NotesPerm2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24">
    <w:nsid w:val="4A985E84"/>
    <w:multiLevelType w:val="multilevel"/>
    <w:tmpl w:val="B17C9440"/>
    <w:name w:val="heading"/>
    <w:lvl w:ilvl="0">
      <w:start w:val="1"/>
      <w:numFmt w:val="decimal"/>
      <w:suff w:val="space"/>
      <w:lvlText w:val="Chapter %1 — "/>
      <w:lvlJc w:val="left"/>
      <w:pPr>
        <w:ind w:left="0" w:firstLine="0"/>
      </w:pPr>
    </w:lvl>
    <w:lvl w:ilvl="1">
      <w:start w:val="1"/>
      <w:numFmt w:val="decimal"/>
      <w:suff w:val="space"/>
      <w:lvlText w:val="Part %2 — "/>
      <w:lvlJc w:val="left"/>
      <w:pPr>
        <w:ind w:left="0" w:firstLine="0"/>
      </w:pPr>
    </w:lvl>
    <w:lvl w:ilvl="2">
      <w:start w:val="1"/>
      <w:numFmt w:val="decimal"/>
      <w:suff w:val="space"/>
      <w:lvlText w:val="Division %3 — "/>
      <w:lvlJc w:val="left"/>
      <w:pPr>
        <w:ind w:left="0" w:firstLine="0"/>
      </w:pPr>
    </w:lvl>
    <w:lvl w:ilvl="3">
      <w:start w:val="1"/>
      <w:numFmt w:val="decimal"/>
      <w:suff w:val="space"/>
      <w:lvlText w:val="Subdivision %4 — 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5. "/>
      <w:lvlJc w:val="left"/>
      <w:pPr>
        <w:ind w:left="893" w:hanging="893"/>
      </w:pPr>
    </w:lvl>
    <w:lvl w:ilvl="5">
      <w:start w:val="1"/>
      <w:numFmt w:val="decimal"/>
      <w:suff w:val="nothing"/>
      <w:lvlText w:val="(%6)"/>
      <w:lvlJc w:val="right"/>
      <w:pPr>
        <w:ind w:left="0" w:firstLine="7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4D9106A5"/>
    <w:multiLevelType w:val="singleLevel"/>
    <w:tmpl w:val="43F8DBCA"/>
    <w:name w:val="headings1"/>
    <w:lvl w:ilvl="0">
      <w:start w:val="1"/>
      <w:numFmt w:val="lowerRoman"/>
      <w:lvlText w:val="(%1)"/>
      <w:lvlJc w:val="right"/>
      <w:pPr>
        <w:tabs>
          <w:tab w:val="num" w:pos="2376"/>
        </w:tabs>
        <w:ind w:left="2376" w:hanging="288"/>
      </w:pPr>
    </w:lvl>
  </w:abstractNum>
  <w:abstractNum w:abstractNumId="26">
    <w:nsid w:val="5F092D33"/>
    <w:multiLevelType w:val="singleLevel"/>
    <w:tmpl w:val="118EBDB0"/>
    <w:name w:val="headings12"/>
    <w:lvl w:ilvl="0">
      <w:start w:val="1"/>
      <w:numFmt w:val="lowerLetter"/>
      <w:lvlText w:val="(%1)"/>
      <w:lvlJc w:val="right"/>
      <w:pPr>
        <w:tabs>
          <w:tab w:val="num" w:pos="2664"/>
        </w:tabs>
        <w:ind w:left="2664" w:hanging="288"/>
      </w:pPr>
    </w:lvl>
  </w:abstractNum>
  <w:abstractNum w:abstractNumId="27">
    <w:nsid w:val="65D140E9"/>
    <w:multiLevelType w:val="multilevel"/>
    <w:tmpl w:val="EE3E4260"/>
    <w:name w:val="def2"/>
    <w:lvl w:ilvl="0">
      <w:start w:val="1"/>
      <w:numFmt w:val="none"/>
      <w:lvlText w:val=""/>
      <w:lvlJc w:val="right"/>
      <w:pPr>
        <w:tabs>
          <w:tab w:val="num" w:pos="936"/>
        </w:tabs>
        <w:ind w:left="936" w:hanging="648"/>
      </w:pPr>
      <w:rPr>
        <w:vanish w:val="0"/>
      </w:rPr>
    </w:lvl>
    <w:lvl w:ilvl="1">
      <w:start w:val="1"/>
      <w:numFmt w:val="none"/>
      <w:lvlText w:val=""/>
      <w:lvlJc w:val="right"/>
      <w:pPr>
        <w:tabs>
          <w:tab w:val="num" w:pos="1800"/>
        </w:tabs>
        <w:ind w:left="1800" w:hanging="288"/>
      </w:pPr>
      <w:rPr>
        <w:rFonts w:ascii="NewCenturySchlbk" w:hAnsi="NewCenturySchlbk" w:hint="default"/>
        <w:b w:val="0"/>
        <w:i w:val="0"/>
        <w:sz w:val="22"/>
      </w:rPr>
    </w:lvl>
    <w:lvl w:ilvl="2">
      <w:start w:val="1"/>
      <w:numFmt w:val="none"/>
      <w:lvlText w:val=""/>
      <w:lvlJc w:val="right"/>
      <w:pPr>
        <w:tabs>
          <w:tab w:val="num" w:pos="2376"/>
        </w:tabs>
        <w:ind w:left="2376" w:hanging="288"/>
      </w:pPr>
    </w:lvl>
    <w:lvl w:ilvl="3">
      <w:start w:val="1"/>
      <w:numFmt w:val="none"/>
      <w:lvlText w:val=""/>
      <w:lvlJc w:val="right"/>
      <w:pPr>
        <w:tabs>
          <w:tab w:val="num" w:pos="2952"/>
        </w:tabs>
        <w:ind w:left="2952" w:hanging="288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9F82C98"/>
    <w:multiLevelType w:val="multilevel"/>
    <w:tmpl w:val="70E21894"/>
    <w:name w:val="Schedule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9">
    <w:nsid w:val="6E4A591E"/>
    <w:multiLevelType w:val="multilevel"/>
    <w:tmpl w:val="76644C80"/>
    <w:name w:val="headings\l7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lowerLetter"/>
      <w:lvlText w:val="(%7)"/>
      <w:lvlJc w:val="right"/>
      <w:pPr>
        <w:tabs>
          <w:tab w:val="num" w:pos="1440"/>
        </w:tabs>
        <w:ind w:left="1440" w:hanging="288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0">
    <w:nsid w:val="6FDE73CC"/>
    <w:multiLevelType w:val="multilevel"/>
    <w:tmpl w:val="04E64ACC"/>
    <w:name w:val="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0"/>
  <w:embedTrueTypeFonts/>
  <w:defaultTabStop w:val="1140"/>
  <w:evenAndOddHeaders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40123111547"/>
    <w:docVar w:name="WAFER_20140123110749" w:val="RemoveTocBookmarks,RemoveUnusedBookmarks,RemoveLanguageTags,UsedStyles,ResetPageSize,UpdateArrangement"/>
    <w:docVar w:name="WAFER_20140123110749_GUID" w:val="7c7a1332-ba7e-4f0e-85e9-deafcb4b7370"/>
    <w:docVar w:name="WAFER_20140123111547" w:val="RemoveTocBookmarks,RunningHeaders"/>
    <w:docVar w:name="WAFER_20140123111547_GUID" w:val="b4771e73-2435-4e84-9b99-af3cf5eb6f0d"/>
  </w:docVars>
  <w:rsids>
    <w:rsidRoot w:val="00CE7FD9"/>
    <w:rsid w:val="00071BEF"/>
    <w:rsid w:val="001451F3"/>
    <w:rsid w:val="001627CF"/>
    <w:rsid w:val="002560E5"/>
    <w:rsid w:val="006D6858"/>
    <w:rsid w:val="0079170C"/>
    <w:rsid w:val="00B26732"/>
    <w:rsid w:val="00CE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geNo">
    <w:name w:val="CharPageNo"/>
    <w:rPr>
      <w:noProof w:val="0"/>
      <w:sz w:val="2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customStyle="1" w:styleId="Defpara">
    <w:name w:val="Defpara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paragraph" w:customStyle="1" w:styleId="HeaderActNameLeft">
    <w:name w:val="Header.ActName.Left"/>
    <w:rPr>
      <w:rFonts w:ascii="Arial" w:hAnsi="Arial"/>
      <w:b/>
      <w:i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paragraph" w:customStyle="1" w:styleId="HeaderSectionLeft">
    <w:name w:val="Header.Section.Left"/>
    <w:pPr>
      <w:spacing w:before="120"/>
    </w:pPr>
    <w:rPr>
      <w:rFonts w:ascii="Arial" w:hAnsi="Arial"/>
      <w:b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</w:rPr>
  </w:style>
  <w:style w:type="paragraph" w:customStyle="1" w:styleId="HeaderTextLeft">
    <w:name w:val="Header.Text.Left"/>
    <w:pPr>
      <w:spacing w:before="40"/>
    </w:pPr>
    <w:rPr>
      <w:rFonts w:ascii="Arial" w:hAnsi="Arial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semiHidden/>
    <w:pPr>
      <w:numPr>
        <w:numId w:val="4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semiHidden/>
    <w:pPr>
      <w:numPr>
        <w:numId w:val="5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semiHidden/>
    <w:pPr>
      <w:numPr>
        <w:numId w:val="6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semiHidden/>
    <w:pPr>
      <w:numPr>
        <w:numId w:val="9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numPr>
        <w:numId w:val="10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semiHidden/>
    <w:pPr>
      <w:numPr>
        <w:numId w:val="11"/>
      </w:numPr>
      <w:tabs>
        <w:tab w:val="clear" w:pos="1492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customStyle="1" w:styleId="Mainnumbers">
    <w:name w:val="Mainnumbers"/>
    <w:basedOn w:val="Normal"/>
    <w:pPr>
      <w:tabs>
        <w:tab w:val="num" w:pos="1440"/>
      </w:tabs>
      <w:ind w:left="360" w:hanging="360"/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line="240" w:lineRule="auto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  <w:rPr>
      <w:snapToGrid w:val="0"/>
    </w:r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Normal"/>
    <w:pPr>
      <w:tabs>
        <w:tab w:val="left" w:pos="312"/>
      </w:tabs>
      <w:spacing w:before="80" w:line="260" w:lineRule="atLeast"/>
      <w:ind w:left="1446" w:right="284" w:hanging="312"/>
    </w:pPr>
    <w:rPr>
      <w:snapToGrid w:val="0"/>
    </w:r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Normal"/>
    <w:pPr>
      <w:keepLines/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tabs>
        <w:tab w:val="num" w:pos="0"/>
        <w:tab w:val="right" w:pos="1152"/>
      </w:tabs>
      <w:spacing w:line="260" w:lineRule="atLeast"/>
    </w:p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autoRedefine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basedOn w:val="Heading2"/>
    <w:next w:val="Normal"/>
    <w:autoRedefine/>
    <w:uiPriority w:val="39"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3">
    <w:name w:val="toc 3"/>
    <w:basedOn w:val="TOC4"/>
    <w:next w:val="Normal"/>
    <w:autoRedefine/>
    <w:semiHidden/>
    <w:pPr>
      <w:spacing w:before="60" w:after="20"/>
      <w:ind w:left="1701" w:hanging="567"/>
    </w:pPr>
    <w:rPr>
      <w:b/>
    </w:rPr>
  </w:style>
  <w:style w:type="paragraph" w:styleId="TOC4">
    <w:name w:val="toc 4"/>
    <w:basedOn w:val="Heading4"/>
    <w:next w:val="Normal"/>
    <w:autoRedefine/>
    <w:uiPriority w:val="39"/>
    <w:pPr>
      <w:keepNext w:val="0"/>
      <w:tabs>
        <w:tab w:val="left" w:pos="1134"/>
        <w:tab w:val="right" w:pos="6804"/>
      </w:tabs>
      <w:spacing w:before="0"/>
      <w:ind w:left="1135" w:right="1134" w:hanging="851"/>
      <w:jc w:val="left"/>
      <w:outlineLvl w:val="9"/>
    </w:pPr>
    <w:rPr>
      <w:b w:val="0"/>
      <w:sz w:val="22"/>
    </w:rPr>
  </w:style>
  <w:style w:type="paragraph" w:styleId="TOC5">
    <w:name w:val="toc 5"/>
    <w:basedOn w:val="TOC4"/>
    <w:next w:val="Normal"/>
    <w:autoRedefine/>
    <w:semiHidden/>
    <w:pPr>
      <w:tabs>
        <w:tab w:val="left" w:pos="851"/>
        <w:tab w:val="right" w:pos="7088"/>
      </w:tabs>
      <w:spacing w:before="120" w:after="60"/>
      <w:ind w:left="1701" w:hanging="567"/>
    </w:pPr>
    <w:rPr>
      <w:b/>
      <w:sz w:val="28"/>
    </w:rPr>
  </w:style>
  <w:style w:type="paragraph" w:styleId="TOC6">
    <w:name w:val="toc 6"/>
    <w:basedOn w:val="TOC4"/>
    <w:next w:val="Normal"/>
    <w:autoRedefine/>
    <w:semiHidden/>
    <w:pPr>
      <w:spacing w:before="60" w:after="20"/>
      <w:ind w:left="1701" w:hanging="567"/>
    </w:pPr>
    <w:rPr>
      <w:i/>
      <w:sz w:val="24"/>
    </w:rPr>
  </w:style>
  <w:style w:type="paragraph" w:styleId="TOC7">
    <w:name w:val="toc 7"/>
    <w:basedOn w:val="TOC4"/>
    <w:next w:val="Normal"/>
    <w:autoRedefine/>
    <w:semiHidden/>
    <w:pPr>
      <w:spacing w:before="60" w:after="20"/>
      <w:ind w:left="1701" w:hanging="567"/>
    </w:pPr>
  </w:style>
  <w:style w:type="paragraph" w:styleId="TOC8">
    <w:name w:val="toc 8"/>
    <w:basedOn w:val="Normal"/>
    <w:next w:val="Normal"/>
    <w:autoRedefine/>
    <w:semiHidden/>
    <w:pPr>
      <w:ind w:left="1400"/>
    </w:pPr>
    <w:rPr>
      <w:i/>
      <w:sz w:val="18"/>
    </w:rPr>
  </w:style>
  <w:style w:type="paragraph" w:styleId="TOC9">
    <w:name w:val="toc 9"/>
    <w:basedOn w:val="Heading9"/>
    <w:next w:val="Normal"/>
    <w:autoRedefine/>
    <w:semiHidden/>
    <w:pPr>
      <w:keepLines w:val="0"/>
      <w:pageBreakBefore w:val="0"/>
      <w:spacing w:before="0"/>
      <w:ind w:left="1600"/>
      <w:jc w:val="left"/>
      <w:outlineLvl w:val="9"/>
    </w:pPr>
    <w:rPr>
      <w:b w:val="0"/>
      <w:i w:val="0"/>
      <w:kern w:val="0"/>
      <w:sz w:val="18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Normal"/>
    <w:pPr>
      <w:tabs>
        <w:tab w:val="right" w:pos="3459"/>
        <w:tab w:val="left" w:pos="3771"/>
      </w:tabs>
      <w:spacing w:before="80" w:line="260" w:lineRule="atLeast"/>
      <w:ind w:left="3686" w:right="284" w:hanging="851"/>
    </w:p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2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egTblHist">
    <w:name w:val="LegTblHist"/>
    <w:basedOn w:val="Heading2"/>
    <w:rPr>
      <w:bCs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."/>
    <w:pPr>
      <w:outlineLvl w:val="0"/>
    </w:pPr>
    <w:rPr>
      <w:b/>
      <w:noProof/>
      <w:sz w:val="28"/>
    </w:rPr>
  </w:style>
  <w:style w:type="paragraph" w:customStyle="1" w:styleId="yEdnotedefitem">
    <w:name w:val="yEdnote(defitem)"/>
    <w:basedOn w:val="Ednotedefitem"/>
    <w:rPr>
      <w:i w:val="0"/>
      <w:sz w:val="22"/>
    </w:rPr>
  </w:style>
  <w:style w:type="paragraph" w:customStyle="1" w:styleId="yEdnotedefpara">
    <w:name w:val="yEdnote(defpara)"/>
    <w:basedOn w:val="Ednotedefpara"/>
    <w:rPr>
      <w:sz w:val="22"/>
    </w:rPr>
  </w:style>
  <w:style w:type="paragraph" w:customStyle="1" w:styleId="yEdnotedefsubpara">
    <w:name w:val="yEdnote(defsubpara)"/>
    <w:basedOn w:val="Ednotedefsubpara"/>
    <w:rPr>
      <w:i w:val="0"/>
      <w:sz w:val="22"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basedOn w:val="NotesPerm"/>
    <w:pPr>
      <w:tabs>
        <w:tab w:val="clear" w:pos="879"/>
      </w:tabs>
      <w:spacing w:before="60"/>
      <w:ind w:left="0" w:firstLine="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geNo">
    <w:name w:val="CharPageNo"/>
    <w:rPr>
      <w:noProof w:val="0"/>
      <w:sz w:val="2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customStyle="1" w:styleId="Defpara">
    <w:name w:val="Defpara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paragraph" w:customStyle="1" w:styleId="HeaderActNameLeft">
    <w:name w:val="Header.ActName.Left"/>
    <w:rPr>
      <w:rFonts w:ascii="Arial" w:hAnsi="Arial"/>
      <w:b/>
      <w:i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paragraph" w:customStyle="1" w:styleId="HeaderSectionLeft">
    <w:name w:val="Header.Section.Left"/>
    <w:pPr>
      <w:spacing w:before="120"/>
    </w:pPr>
    <w:rPr>
      <w:rFonts w:ascii="Arial" w:hAnsi="Arial"/>
      <w:b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</w:rPr>
  </w:style>
  <w:style w:type="paragraph" w:customStyle="1" w:styleId="HeaderTextLeft">
    <w:name w:val="Header.Text.Left"/>
    <w:pPr>
      <w:spacing w:before="40"/>
    </w:pPr>
    <w:rPr>
      <w:rFonts w:ascii="Arial" w:hAnsi="Arial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semiHidden/>
    <w:pPr>
      <w:numPr>
        <w:numId w:val="4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semiHidden/>
    <w:pPr>
      <w:numPr>
        <w:numId w:val="5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semiHidden/>
    <w:pPr>
      <w:numPr>
        <w:numId w:val="6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semiHidden/>
    <w:pPr>
      <w:numPr>
        <w:numId w:val="9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numPr>
        <w:numId w:val="10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semiHidden/>
    <w:pPr>
      <w:numPr>
        <w:numId w:val="11"/>
      </w:numPr>
      <w:tabs>
        <w:tab w:val="clear" w:pos="1492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customStyle="1" w:styleId="Mainnumbers">
    <w:name w:val="Mainnumbers"/>
    <w:basedOn w:val="Normal"/>
    <w:pPr>
      <w:tabs>
        <w:tab w:val="num" w:pos="1440"/>
      </w:tabs>
      <w:ind w:left="360" w:hanging="360"/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line="240" w:lineRule="auto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  <w:rPr>
      <w:snapToGrid w:val="0"/>
    </w:r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Normal"/>
    <w:pPr>
      <w:tabs>
        <w:tab w:val="left" w:pos="312"/>
      </w:tabs>
      <w:spacing w:before="80" w:line="260" w:lineRule="atLeast"/>
      <w:ind w:left="1446" w:right="284" w:hanging="312"/>
    </w:pPr>
    <w:rPr>
      <w:snapToGrid w:val="0"/>
    </w:r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Normal"/>
    <w:pPr>
      <w:keepLines/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tabs>
        <w:tab w:val="num" w:pos="0"/>
        <w:tab w:val="right" w:pos="1152"/>
      </w:tabs>
      <w:spacing w:line="260" w:lineRule="atLeast"/>
    </w:p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autoRedefine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basedOn w:val="Heading2"/>
    <w:next w:val="Normal"/>
    <w:autoRedefine/>
    <w:uiPriority w:val="39"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3">
    <w:name w:val="toc 3"/>
    <w:basedOn w:val="TOC4"/>
    <w:next w:val="Normal"/>
    <w:autoRedefine/>
    <w:semiHidden/>
    <w:pPr>
      <w:spacing w:before="60" w:after="20"/>
      <w:ind w:left="1701" w:hanging="567"/>
    </w:pPr>
    <w:rPr>
      <w:b/>
    </w:rPr>
  </w:style>
  <w:style w:type="paragraph" w:styleId="TOC4">
    <w:name w:val="toc 4"/>
    <w:basedOn w:val="Heading4"/>
    <w:next w:val="Normal"/>
    <w:autoRedefine/>
    <w:uiPriority w:val="39"/>
    <w:pPr>
      <w:keepNext w:val="0"/>
      <w:tabs>
        <w:tab w:val="left" w:pos="1134"/>
        <w:tab w:val="right" w:pos="6804"/>
      </w:tabs>
      <w:spacing w:before="0"/>
      <w:ind w:left="1135" w:right="1134" w:hanging="851"/>
      <w:jc w:val="left"/>
      <w:outlineLvl w:val="9"/>
    </w:pPr>
    <w:rPr>
      <w:b w:val="0"/>
      <w:sz w:val="22"/>
    </w:rPr>
  </w:style>
  <w:style w:type="paragraph" w:styleId="TOC5">
    <w:name w:val="toc 5"/>
    <w:basedOn w:val="TOC4"/>
    <w:next w:val="Normal"/>
    <w:autoRedefine/>
    <w:semiHidden/>
    <w:pPr>
      <w:tabs>
        <w:tab w:val="left" w:pos="851"/>
        <w:tab w:val="right" w:pos="7088"/>
      </w:tabs>
      <w:spacing w:before="120" w:after="60"/>
      <w:ind w:left="1701" w:hanging="567"/>
    </w:pPr>
    <w:rPr>
      <w:b/>
      <w:sz w:val="28"/>
    </w:rPr>
  </w:style>
  <w:style w:type="paragraph" w:styleId="TOC6">
    <w:name w:val="toc 6"/>
    <w:basedOn w:val="TOC4"/>
    <w:next w:val="Normal"/>
    <w:autoRedefine/>
    <w:semiHidden/>
    <w:pPr>
      <w:spacing w:before="60" w:after="20"/>
      <w:ind w:left="1701" w:hanging="567"/>
    </w:pPr>
    <w:rPr>
      <w:i/>
      <w:sz w:val="24"/>
    </w:rPr>
  </w:style>
  <w:style w:type="paragraph" w:styleId="TOC7">
    <w:name w:val="toc 7"/>
    <w:basedOn w:val="TOC4"/>
    <w:next w:val="Normal"/>
    <w:autoRedefine/>
    <w:semiHidden/>
    <w:pPr>
      <w:spacing w:before="60" w:after="20"/>
      <w:ind w:left="1701" w:hanging="567"/>
    </w:pPr>
  </w:style>
  <w:style w:type="paragraph" w:styleId="TOC8">
    <w:name w:val="toc 8"/>
    <w:basedOn w:val="Normal"/>
    <w:next w:val="Normal"/>
    <w:autoRedefine/>
    <w:semiHidden/>
    <w:pPr>
      <w:ind w:left="1400"/>
    </w:pPr>
    <w:rPr>
      <w:i/>
      <w:sz w:val="18"/>
    </w:rPr>
  </w:style>
  <w:style w:type="paragraph" w:styleId="TOC9">
    <w:name w:val="toc 9"/>
    <w:basedOn w:val="Heading9"/>
    <w:next w:val="Normal"/>
    <w:autoRedefine/>
    <w:semiHidden/>
    <w:pPr>
      <w:keepLines w:val="0"/>
      <w:pageBreakBefore w:val="0"/>
      <w:spacing w:before="0"/>
      <w:ind w:left="1600"/>
      <w:jc w:val="left"/>
      <w:outlineLvl w:val="9"/>
    </w:pPr>
    <w:rPr>
      <w:b w:val="0"/>
      <w:i w:val="0"/>
      <w:kern w:val="0"/>
      <w:sz w:val="18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Normal"/>
    <w:pPr>
      <w:tabs>
        <w:tab w:val="right" w:pos="3459"/>
        <w:tab w:val="left" w:pos="3771"/>
      </w:tabs>
      <w:spacing w:before="80" w:line="260" w:lineRule="atLeast"/>
      <w:ind w:left="3686" w:right="284" w:hanging="851"/>
    </w:p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2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egTblHist">
    <w:name w:val="LegTblHist"/>
    <w:basedOn w:val="Heading2"/>
    <w:rPr>
      <w:bCs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."/>
    <w:pPr>
      <w:outlineLvl w:val="0"/>
    </w:pPr>
    <w:rPr>
      <w:b/>
      <w:noProof/>
      <w:sz w:val="28"/>
    </w:rPr>
  </w:style>
  <w:style w:type="paragraph" w:customStyle="1" w:styleId="yEdnotedefitem">
    <w:name w:val="yEdnote(defitem)"/>
    <w:basedOn w:val="Ednotedefitem"/>
    <w:rPr>
      <w:i w:val="0"/>
      <w:sz w:val="22"/>
    </w:rPr>
  </w:style>
  <w:style w:type="paragraph" w:customStyle="1" w:styleId="yEdnotedefpara">
    <w:name w:val="yEdnote(defpara)"/>
    <w:basedOn w:val="Ednotedefpara"/>
    <w:rPr>
      <w:sz w:val="22"/>
    </w:rPr>
  </w:style>
  <w:style w:type="paragraph" w:customStyle="1" w:styleId="yEdnotedefsubpara">
    <w:name w:val="yEdnote(defsubpara)"/>
    <w:basedOn w:val="Ednotedefsubpara"/>
    <w:rPr>
      <w:i w:val="0"/>
      <w:sz w:val="22"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basedOn w:val="NotesPerm"/>
    <w:pPr>
      <w:tabs>
        <w:tab w:val="clear" w:pos="879"/>
      </w:tabs>
      <w:spacing w:before="60"/>
      <w:ind w:left="0" w:firstLine="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386</Words>
  <Characters>2319</Characters>
  <Application>Microsoft Office Word</Application>
  <DocSecurity>0</DocSecurity>
  <Lines>89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Drafting Template (Regs)</vt:lpstr>
      <vt:lpstr>    Notes</vt:lpstr>
    </vt:vector>
  </TitlesOfParts>
  <Company>Parliamentary Counsel's Office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Protection (Goldfields Residential Areas) (Sulfur Dioxide) Regulations 2003 - 00-a0-09</dc:title>
  <dc:subject>Subsidiary Legislation</dc:subject>
  <dc:creator>Matthew Pether</dc:creator>
  <cp:keywords>Brought into Production 7 June 2002</cp:keywords>
  <dc:description>This template was originally constructed by Paul O'Neill  and has been modified by Mark Dungey to operate with the PCO DLL (constructed by Mark Dungey)</dc:description>
  <cp:lastModifiedBy>svcMRProcess</cp:lastModifiedBy>
  <cp:revision>4</cp:revision>
  <cp:lastPrinted>2003-03-17T09:00:00Z</cp:lastPrinted>
  <dcterms:created xsi:type="dcterms:W3CDTF">2014-01-23T03:24:00Z</dcterms:created>
  <dcterms:modified xsi:type="dcterms:W3CDTF">2014-01-23T03:24:00Z</dcterms:modified>
  <cp:category>Reg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18 March 2003 p.806-7</vt:lpwstr>
  </property>
  <property fmtid="{D5CDD505-2E9C-101B-9397-08002B2CF9AE}" pid="3" name="CommencementDate">
    <vt:lpwstr>20030318</vt:lpwstr>
  </property>
  <property fmtid="{D5CDD505-2E9C-101B-9397-08002B2CF9AE}" pid="4" name="DocumentType">
    <vt:lpwstr>Reg</vt:lpwstr>
  </property>
  <property fmtid="{D5CDD505-2E9C-101B-9397-08002B2CF9AE}" pid="5" name="AsAtDate">
    <vt:lpwstr>18 Mar 2003</vt:lpwstr>
  </property>
  <property fmtid="{D5CDD505-2E9C-101B-9397-08002B2CF9AE}" pid="6" name="Suffix">
    <vt:lpwstr>00-a0-09</vt:lpwstr>
  </property>
</Properties>
</file>