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Environmental Protection (NEPM-UPM)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State">
        <w:smartTag w:uri="urn:schemas-microsoft-com:office:smarttags" w:element="place">
          <w:r>
            <w:lastRenderedPageBreak/>
            <w:t>Western Australia</w:t>
          </w:r>
        </w:smartTag>
      </w:smartTag>
    </w:p>
    <w:p>
      <w:pPr>
        <w:pStyle w:val="NameofActRegPage1"/>
        <w:spacing w:after="480"/>
      </w:pPr>
      <w:bookmarkStart w:id="1" w:name="Arrangement"/>
      <w:bookmarkEnd w:id="1"/>
      <w:r>
        <w:t>Environmental Protection (NEPM-UPM) Regulations 2007</w:t>
      </w:r>
    </w:p>
    <w:p>
      <w:pPr>
        <w:pStyle w:val="Arrangement"/>
        <w:pBdr>
          <w:top w:val="single" w:sz="4" w:space="5" w:color="auto"/>
          <w:bottom w:val="single" w:sz="4" w:space="5" w:color="auto"/>
        </w:pBdr>
      </w:pPr>
      <w:r>
        <w:t>CONTENTS</w:t>
      </w:r>
    </w:p>
    <w:p>
      <w:pPr>
        <w:pStyle w:val="TOC2"/>
        <w:tabs>
          <w:tab w:val="right" w:leader="dot" w:pos="7076"/>
        </w:tabs>
        <w:rPr>
          <w:b w:val="0"/>
          <w:sz w:val="24"/>
          <w:szCs w:val="24"/>
        </w:rPr>
      </w:pPr>
      <w:r>
        <w:rPr>
          <w:szCs w:val="30"/>
        </w:rPr>
        <w:t xml:space="preserve">Part </w:t>
      </w:r>
      <w:r>
        <w:t>1</w:t>
      </w:r>
      <w:r>
        <w:rPr>
          <w:szCs w:val="30"/>
        </w:rPr>
        <w:t> — Preliminary</w:t>
      </w:r>
    </w:p>
    <w:p>
      <w:pPr>
        <w:pStyle w:val="TOC8"/>
        <w:rPr>
          <w:sz w:val="24"/>
          <w:szCs w:val="24"/>
        </w:rPr>
      </w:pPr>
      <w:r>
        <w:t>1.</w:t>
      </w:r>
      <w:r>
        <w:rPr>
          <w:szCs w:val="24"/>
        </w:rPr>
        <w:tab/>
        <w:t>Citation</w:t>
      </w:r>
      <w:r>
        <w:tab/>
        <w:t>1</w:t>
      </w:r>
    </w:p>
    <w:p>
      <w:pPr>
        <w:pStyle w:val="TOC8"/>
        <w:rPr>
          <w:sz w:val="24"/>
          <w:szCs w:val="24"/>
        </w:rPr>
      </w:pPr>
      <w:r>
        <w:t>2.</w:t>
      </w:r>
      <w:r>
        <w:rPr>
          <w:szCs w:val="24"/>
        </w:rPr>
        <w:tab/>
        <w:t>Terms used in these regulations</w:t>
      </w:r>
      <w:r>
        <w:tab/>
        <w:t>1</w:t>
      </w:r>
    </w:p>
    <w:p>
      <w:pPr>
        <w:pStyle w:val="TOC8"/>
        <w:rPr>
          <w:sz w:val="24"/>
          <w:szCs w:val="24"/>
        </w:rPr>
      </w:pPr>
      <w:r>
        <w:t>3.</w:t>
      </w:r>
      <w:r>
        <w:rPr>
          <w:szCs w:val="24"/>
        </w:rPr>
        <w:tab/>
        <w:t>Purpose</w:t>
      </w:r>
      <w:r>
        <w:tab/>
        <w:t>4</w:t>
      </w:r>
    </w:p>
    <w:p>
      <w:pPr>
        <w:pStyle w:val="TOC2"/>
        <w:tabs>
          <w:tab w:val="right" w:leader="dot" w:pos="7076"/>
        </w:tabs>
        <w:rPr>
          <w:b w:val="0"/>
          <w:sz w:val="24"/>
          <w:szCs w:val="24"/>
        </w:rPr>
      </w:pPr>
      <w:r>
        <w:rPr>
          <w:szCs w:val="30"/>
        </w:rPr>
        <w:t xml:space="preserve">Part </w:t>
      </w:r>
      <w:r>
        <w:t>2</w:t>
      </w:r>
      <w:r>
        <w:rPr>
          <w:szCs w:val="30"/>
        </w:rPr>
        <w:t> — Responsibilities of certain brand owners</w:t>
      </w:r>
    </w:p>
    <w:p>
      <w:pPr>
        <w:pStyle w:val="TOC4"/>
        <w:tabs>
          <w:tab w:val="right" w:leader="dot" w:pos="7076"/>
        </w:tabs>
        <w:rPr>
          <w:b w:val="0"/>
          <w:sz w:val="24"/>
          <w:szCs w:val="24"/>
        </w:rPr>
      </w:pPr>
      <w:r>
        <w:rPr>
          <w:szCs w:val="26"/>
        </w:rPr>
        <w:t xml:space="preserve">Division </w:t>
      </w:r>
      <w:r>
        <w:t>1</w:t>
      </w:r>
      <w:r>
        <w:rPr>
          <w:szCs w:val="26"/>
        </w:rPr>
        <w:t> — Application</w:t>
      </w:r>
    </w:p>
    <w:p>
      <w:pPr>
        <w:pStyle w:val="TOC8"/>
        <w:rPr>
          <w:sz w:val="24"/>
          <w:szCs w:val="24"/>
        </w:rPr>
      </w:pPr>
      <w:r>
        <w:t>4.</w:t>
      </w:r>
      <w:r>
        <w:rPr>
          <w:szCs w:val="24"/>
        </w:rPr>
        <w:tab/>
        <w:t>Application of this Part</w:t>
      </w:r>
      <w:r>
        <w:tab/>
        <w:t>5</w:t>
      </w:r>
    </w:p>
    <w:p>
      <w:pPr>
        <w:pStyle w:val="TOC4"/>
        <w:tabs>
          <w:tab w:val="right" w:leader="dot" w:pos="7076"/>
        </w:tabs>
        <w:rPr>
          <w:b w:val="0"/>
          <w:sz w:val="24"/>
          <w:szCs w:val="24"/>
        </w:rPr>
      </w:pPr>
      <w:r>
        <w:rPr>
          <w:szCs w:val="26"/>
        </w:rPr>
        <w:t xml:space="preserve">Division </w:t>
      </w:r>
      <w:r>
        <w:t>2</w:t>
      </w:r>
      <w:r>
        <w:rPr>
          <w:szCs w:val="26"/>
        </w:rPr>
        <w:t> — Action plans</w:t>
      </w:r>
    </w:p>
    <w:p>
      <w:pPr>
        <w:pStyle w:val="TOC8"/>
        <w:rPr>
          <w:sz w:val="24"/>
          <w:szCs w:val="24"/>
        </w:rPr>
      </w:pPr>
      <w:r>
        <w:t>5.</w:t>
      </w:r>
      <w:r>
        <w:rPr>
          <w:szCs w:val="24"/>
        </w:rPr>
        <w:tab/>
        <w:t>Action plans</w:t>
      </w:r>
      <w:r>
        <w:tab/>
        <w:t>5</w:t>
      </w:r>
    </w:p>
    <w:p>
      <w:pPr>
        <w:pStyle w:val="TOC8"/>
        <w:rPr>
          <w:sz w:val="24"/>
          <w:szCs w:val="24"/>
        </w:rPr>
      </w:pPr>
      <w:r>
        <w:t>6.</w:t>
      </w:r>
      <w:r>
        <w:rPr>
          <w:szCs w:val="24"/>
        </w:rPr>
        <w:tab/>
        <w:t>Approval of action plans</w:t>
      </w:r>
      <w:r>
        <w:tab/>
        <w:t>7</w:t>
      </w:r>
    </w:p>
    <w:p>
      <w:pPr>
        <w:pStyle w:val="TOC8"/>
        <w:rPr>
          <w:sz w:val="24"/>
          <w:szCs w:val="24"/>
        </w:rPr>
      </w:pPr>
      <w:r>
        <w:t>7.</w:t>
      </w:r>
      <w:r>
        <w:rPr>
          <w:szCs w:val="24"/>
        </w:rPr>
        <w:tab/>
        <w:t>Review of action plans</w:t>
      </w:r>
      <w:r>
        <w:tab/>
        <w:t>8</w:t>
      </w:r>
    </w:p>
    <w:p>
      <w:pPr>
        <w:pStyle w:val="TOC4"/>
        <w:tabs>
          <w:tab w:val="right" w:leader="dot" w:pos="7076"/>
        </w:tabs>
        <w:rPr>
          <w:b w:val="0"/>
          <w:sz w:val="24"/>
          <w:szCs w:val="24"/>
        </w:rPr>
      </w:pPr>
      <w:r>
        <w:rPr>
          <w:szCs w:val="26"/>
        </w:rPr>
        <w:t xml:space="preserve">Division </w:t>
      </w:r>
      <w:r>
        <w:t>3</w:t>
      </w:r>
      <w:r>
        <w:rPr>
          <w:szCs w:val="26"/>
        </w:rPr>
        <w:t> — Targets</w:t>
      </w:r>
    </w:p>
    <w:p>
      <w:pPr>
        <w:pStyle w:val="TOC8"/>
        <w:rPr>
          <w:sz w:val="24"/>
          <w:szCs w:val="24"/>
        </w:rPr>
      </w:pPr>
      <w:r>
        <w:t>8.</w:t>
      </w:r>
      <w:r>
        <w:rPr>
          <w:szCs w:val="24"/>
        </w:rPr>
        <w:tab/>
        <w:t>Targets</w:t>
      </w:r>
      <w:r>
        <w:tab/>
        <w:t>8</w:t>
      </w:r>
    </w:p>
    <w:p>
      <w:pPr>
        <w:pStyle w:val="TOC4"/>
        <w:tabs>
          <w:tab w:val="right" w:leader="dot" w:pos="7076"/>
        </w:tabs>
        <w:rPr>
          <w:b w:val="0"/>
          <w:sz w:val="24"/>
          <w:szCs w:val="24"/>
        </w:rPr>
      </w:pPr>
      <w:r>
        <w:rPr>
          <w:szCs w:val="26"/>
        </w:rPr>
        <w:t xml:space="preserve">Division </w:t>
      </w:r>
      <w:r>
        <w:t>4</w:t>
      </w:r>
      <w:r>
        <w:rPr>
          <w:szCs w:val="26"/>
        </w:rPr>
        <w:t> — Record keeping</w:t>
      </w:r>
    </w:p>
    <w:p>
      <w:pPr>
        <w:pStyle w:val="TOC8"/>
        <w:rPr>
          <w:sz w:val="24"/>
          <w:szCs w:val="24"/>
        </w:rPr>
      </w:pPr>
      <w:r>
        <w:t>9.</w:t>
      </w:r>
      <w:r>
        <w:rPr>
          <w:szCs w:val="24"/>
        </w:rPr>
        <w:tab/>
        <w:t>Brand owner to keep information</w:t>
      </w:r>
      <w:r>
        <w:tab/>
        <w:t>9</w:t>
      </w:r>
    </w:p>
    <w:p>
      <w:pPr>
        <w:pStyle w:val="TOC4"/>
        <w:tabs>
          <w:tab w:val="right" w:leader="dot" w:pos="7076"/>
        </w:tabs>
        <w:rPr>
          <w:b w:val="0"/>
          <w:sz w:val="24"/>
          <w:szCs w:val="24"/>
        </w:rPr>
      </w:pPr>
      <w:r>
        <w:rPr>
          <w:szCs w:val="26"/>
        </w:rPr>
        <w:t xml:space="preserve">Division </w:t>
      </w:r>
      <w:r>
        <w:t>5</w:t>
      </w:r>
      <w:r>
        <w:rPr>
          <w:szCs w:val="26"/>
        </w:rPr>
        <w:t> — Compliance notice</w:t>
      </w:r>
    </w:p>
    <w:p>
      <w:pPr>
        <w:pStyle w:val="TOC8"/>
        <w:rPr>
          <w:sz w:val="24"/>
          <w:szCs w:val="24"/>
        </w:rPr>
      </w:pPr>
      <w:r>
        <w:t>10.</w:t>
      </w:r>
      <w:r>
        <w:rPr>
          <w:szCs w:val="24"/>
        </w:rPr>
        <w:tab/>
        <w:t>Authorised person may give notice to comply</w:t>
      </w:r>
      <w:r>
        <w:tab/>
        <w:t>10</w:t>
      </w:r>
    </w:p>
    <w:p>
      <w:pPr>
        <w:pStyle w:val="TOC2"/>
        <w:tabs>
          <w:tab w:val="right" w:leader="dot" w:pos="7076"/>
        </w:tabs>
        <w:rPr>
          <w:b w:val="0"/>
          <w:sz w:val="24"/>
          <w:szCs w:val="24"/>
        </w:rPr>
      </w:pPr>
      <w:r>
        <w:rPr>
          <w:szCs w:val="30"/>
        </w:rPr>
        <w:t xml:space="preserve">Part </w:t>
      </w:r>
      <w:r>
        <w:t>3</w:t>
      </w:r>
      <w:r>
        <w:rPr>
          <w:szCs w:val="30"/>
        </w:rPr>
        <w:t> — Operators of materials recovery systems to give information to the CEO</w:t>
      </w:r>
    </w:p>
    <w:p>
      <w:pPr>
        <w:pStyle w:val="TOC8"/>
        <w:rPr>
          <w:sz w:val="24"/>
          <w:szCs w:val="24"/>
        </w:rPr>
      </w:pPr>
      <w:r>
        <w:t>11.</w:t>
      </w:r>
      <w:r>
        <w:rPr>
          <w:szCs w:val="24"/>
        </w:rPr>
        <w:tab/>
        <w:t>Local governments</w:t>
      </w:r>
      <w:r>
        <w:tab/>
        <w:t>12</w:t>
      </w:r>
    </w:p>
    <w:p>
      <w:pPr>
        <w:pStyle w:val="TOC8"/>
        <w:rPr>
          <w:sz w:val="24"/>
          <w:szCs w:val="24"/>
        </w:rPr>
      </w:pPr>
      <w:r>
        <w:t>12.</w:t>
      </w:r>
      <w:r>
        <w:rPr>
          <w:szCs w:val="24"/>
        </w:rPr>
        <w:tab/>
        <w:t>Other operators</w:t>
      </w:r>
      <w:r>
        <w:tab/>
        <w:t>12</w:t>
      </w:r>
    </w:p>
    <w:p>
      <w:pPr>
        <w:pStyle w:val="TOC2"/>
        <w:tabs>
          <w:tab w:val="right" w:leader="dot" w:pos="7076"/>
        </w:tabs>
        <w:rPr>
          <w:b w:val="0"/>
          <w:sz w:val="24"/>
          <w:szCs w:val="24"/>
        </w:rPr>
      </w:pPr>
      <w:r>
        <w:rPr>
          <w:szCs w:val="30"/>
        </w:rPr>
        <w:lastRenderedPageBreak/>
        <w:t xml:space="preserve">Part </w:t>
      </w:r>
      <w:r>
        <w:t>4</w:t>
      </w:r>
      <w:r>
        <w:rPr>
          <w:szCs w:val="30"/>
        </w:rPr>
        <w:t> — Appeals</w:t>
      </w:r>
    </w:p>
    <w:p>
      <w:pPr>
        <w:pStyle w:val="TOC8"/>
        <w:rPr>
          <w:sz w:val="24"/>
          <w:szCs w:val="24"/>
        </w:rPr>
      </w:pPr>
      <w:r>
        <w:t>13.</w:t>
      </w:r>
      <w:r>
        <w:rPr>
          <w:szCs w:val="24"/>
        </w:rPr>
        <w:tab/>
        <w:t>Appeals</w:t>
      </w:r>
      <w:r>
        <w:tab/>
        <w:t>14</w:t>
      </w:r>
    </w:p>
    <w:p>
      <w:pPr>
        <w:pStyle w:val="TOC2"/>
        <w:tabs>
          <w:tab w:val="right" w:leader="dot" w:pos="7076"/>
        </w:tabs>
        <w:rPr>
          <w:b w:val="0"/>
          <w:sz w:val="24"/>
          <w:szCs w:val="24"/>
        </w:rPr>
      </w:pPr>
      <w:r>
        <w:rPr>
          <w:szCs w:val="30"/>
        </w:rPr>
        <w:t xml:space="preserve">Part </w:t>
      </w:r>
      <w:r>
        <w:t>5</w:t>
      </w:r>
      <w:r>
        <w:rPr>
          <w:szCs w:val="30"/>
        </w:rPr>
        <w:t> — Expiry</w:t>
      </w:r>
    </w:p>
    <w:p>
      <w:pPr>
        <w:pStyle w:val="TOC8"/>
        <w:rPr>
          <w:sz w:val="24"/>
          <w:szCs w:val="24"/>
        </w:rPr>
      </w:pPr>
      <w:r>
        <w:t>14.</w:t>
      </w:r>
      <w:r>
        <w:rPr>
          <w:szCs w:val="24"/>
        </w:rPr>
        <w:tab/>
        <w:t>Expiry</w:t>
      </w:r>
      <w:r>
        <w:tab/>
        <w:t>15</w:t>
      </w:r>
    </w:p>
    <w:p>
      <w:pPr>
        <w:pStyle w:val="TOC2"/>
        <w:tabs>
          <w:tab w:val="right" w:leader="dot" w:pos="7076"/>
        </w:tabs>
        <w:rPr>
          <w:b w:val="0"/>
          <w:sz w:val="24"/>
          <w:szCs w:val="24"/>
        </w:rPr>
      </w:pPr>
      <w:r>
        <w:rPr>
          <w:szCs w:val="30"/>
        </w:rPr>
        <w:t xml:space="preserve">Part </w:t>
      </w:r>
      <w:r>
        <w:t>6</w:t>
      </w:r>
      <w:r>
        <w:rPr>
          <w:szCs w:val="30"/>
        </w:rPr>
        <w:t xml:space="preserve"> — Amendments to the </w:t>
      </w:r>
      <w:r>
        <w:rPr>
          <w:i/>
          <w:iCs/>
          <w:szCs w:val="30"/>
        </w:rPr>
        <w:t>Environmental Protection Regulations 1987</w:t>
      </w:r>
    </w:p>
    <w:p>
      <w:pPr>
        <w:pStyle w:val="TOC8"/>
        <w:rPr>
          <w:sz w:val="24"/>
          <w:szCs w:val="24"/>
        </w:rPr>
      </w:pPr>
      <w:r>
        <w:t>15.</w:t>
      </w:r>
      <w:r>
        <w:rPr>
          <w:snapToGrid w:val="0"/>
          <w:szCs w:val="24"/>
        </w:rPr>
        <w:tab/>
        <w:t xml:space="preserve">The </w:t>
      </w:r>
      <w:r>
        <w:rPr>
          <w:i/>
          <w:szCs w:val="24"/>
        </w:rPr>
        <w:t xml:space="preserve">Environmental Protection Regulations 1987 </w:t>
      </w:r>
      <w:r>
        <w:rPr>
          <w:snapToGrid w:val="0"/>
          <w:szCs w:val="24"/>
        </w:rPr>
        <w:t>amended</w:t>
      </w:r>
      <w:r>
        <w:tab/>
        <w:t>16</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Environmental Protection Act 1986</w:t>
      </w:r>
    </w:p>
    <w:p>
      <w:pPr>
        <w:pStyle w:val="NameofActReg"/>
      </w:pPr>
      <w:r>
        <w:t>Environmental Protection (NEPM-UPM) Regulations 2007</w:t>
      </w:r>
    </w:p>
    <w:p>
      <w:pPr>
        <w:pStyle w:val="Heading2"/>
        <w:keepNext w:val="0"/>
        <w:pageBreakBefore w:val="0"/>
        <w:spacing w:before="240"/>
      </w:pPr>
      <w:bookmarkStart w:id="2" w:name="_Toc134423420"/>
      <w:bookmarkStart w:id="3" w:name="_Toc134425332"/>
      <w:bookmarkStart w:id="4" w:name="_Toc134427279"/>
      <w:bookmarkStart w:id="5" w:name="_Toc134427840"/>
      <w:bookmarkStart w:id="6" w:name="_Toc134430390"/>
      <w:bookmarkStart w:id="7" w:name="_Toc134515492"/>
      <w:bookmarkStart w:id="8" w:name="_Toc134515519"/>
      <w:bookmarkStart w:id="9" w:name="_Toc134515546"/>
      <w:bookmarkStart w:id="10" w:name="_Toc134518173"/>
      <w:bookmarkStart w:id="11" w:name="_Toc134518849"/>
      <w:bookmarkStart w:id="12" w:name="_Toc136224601"/>
      <w:bookmarkStart w:id="13" w:name="_Toc136225194"/>
      <w:bookmarkStart w:id="14" w:name="_Toc136240879"/>
      <w:bookmarkStart w:id="15" w:name="_Toc136243200"/>
      <w:bookmarkStart w:id="16" w:name="_Toc136243534"/>
      <w:bookmarkStart w:id="17" w:name="_Toc136244186"/>
      <w:bookmarkStart w:id="18" w:name="_Toc136244936"/>
      <w:bookmarkStart w:id="19" w:name="_Toc136246670"/>
      <w:bookmarkStart w:id="20" w:name="_Toc136321339"/>
      <w:bookmarkStart w:id="21" w:name="_Toc136324093"/>
      <w:bookmarkStart w:id="22" w:name="_Toc136324123"/>
      <w:bookmarkStart w:id="23" w:name="_Toc136651523"/>
      <w:bookmarkStart w:id="24" w:name="_Toc136751172"/>
      <w:bookmarkStart w:id="25" w:name="_Toc136830531"/>
      <w:bookmarkStart w:id="26" w:name="_Toc136831651"/>
      <w:bookmarkStart w:id="27" w:name="_Toc136831832"/>
      <w:bookmarkStart w:id="28" w:name="_Toc136835900"/>
      <w:bookmarkStart w:id="29" w:name="_Toc137534294"/>
      <w:bookmarkStart w:id="30" w:name="_Toc137536053"/>
      <w:bookmarkStart w:id="31" w:name="_Toc138663263"/>
      <w:bookmarkStart w:id="32" w:name="_Toc139083219"/>
      <w:bookmarkStart w:id="33" w:name="_Toc139083245"/>
      <w:bookmarkStart w:id="34" w:name="_Toc139083272"/>
      <w:bookmarkStart w:id="35" w:name="_Toc139156872"/>
      <w:bookmarkStart w:id="36" w:name="_Toc139156898"/>
      <w:bookmarkStart w:id="37" w:name="_Toc139250183"/>
      <w:bookmarkStart w:id="38" w:name="_Toc139256663"/>
      <w:bookmarkStart w:id="39" w:name="_Toc139261656"/>
      <w:bookmarkStart w:id="40" w:name="_Toc139329847"/>
      <w:bookmarkStart w:id="41" w:name="_Toc139329930"/>
      <w:bookmarkStart w:id="42" w:name="_Toc139330380"/>
      <w:bookmarkStart w:id="43" w:name="_Toc139330426"/>
      <w:bookmarkStart w:id="44" w:name="_Toc139330452"/>
      <w:bookmarkStart w:id="45" w:name="_Toc140020306"/>
      <w:bookmarkStart w:id="46" w:name="_Toc140021948"/>
      <w:bookmarkStart w:id="47" w:name="_Toc140021985"/>
      <w:bookmarkStart w:id="48" w:name="_Toc140035424"/>
      <w:bookmarkStart w:id="49" w:name="_Toc140295043"/>
      <w:bookmarkStart w:id="50" w:name="_Toc140295327"/>
      <w:bookmarkStart w:id="51" w:name="_Toc144623888"/>
      <w:bookmarkStart w:id="52" w:name="_Toc144627754"/>
      <w:bookmarkStart w:id="53" w:name="_Toc144713994"/>
      <w:bookmarkStart w:id="54" w:name="_Toc150826642"/>
      <w:bookmarkStart w:id="55" w:name="_Toc150826676"/>
      <w:bookmarkStart w:id="56" w:name="_Toc150933246"/>
      <w:bookmarkStart w:id="57" w:name="_Toc150933272"/>
      <w:bookmarkStart w:id="58" w:name="_Toc150934793"/>
      <w:bookmarkStart w:id="59" w:name="_Toc150936906"/>
      <w:bookmarkStart w:id="60" w:name="_Toc150936993"/>
      <w:bookmarkStart w:id="61" w:name="_Toc151278365"/>
      <w:bookmarkStart w:id="62" w:name="_Toc151278445"/>
      <w:bookmarkStart w:id="63" w:name="_Toc153852516"/>
      <w:bookmarkStart w:id="64" w:name="_Toc153852895"/>
      <w:bookmarkStart w:id="65" w:name="_Toc153856891"/>
      <w:bookmarkStart w:id="66" w:name="_Toc153857695"/>
      <w:bookmarkStart w:id="67" w:name="_Toc1581012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158101242"/>
      <w:r>
        <w:rPr>
          <w:rStyle w:val="CharSectno"/>
        </w:rPr>
        <w:t>1</w:t>
      </w:r>
      <w:r>
        <w:t>.</w:t>
      </w:r>
      <w:r>
        <w:tab/>
        <w:t>Citation</w:t>
      </w:r>
      <w:bookmarkEnd w:id="68"/>
      <w:bookmarkEnd w:id="69"/>
      <w:bookmarkEnd w:id="70"/>
      <w:bookmarkEnd w:id="71"/>
      <w:bookmarkEnd w:id="72"/>
      <w:bookmarkEnd w:id="73"/>
      <w:bookmarkEnd w:id="74"/>
      <w:bookmarkEnd w:id="75"/>
    </w:p>
    <w:p>
      <w:pPr>
        <w:pStyle w:val="Subsection"/>
        <w:ind w:right="565"/>
        <w:rPr>
          <w:i/>
        </w:rPr>
      </w:pPr>
      <w:r>
        <w:tab/>
      </w:r>
      <w:r>
        <w:tab/>
      </w:r>
      <w:bookmarkStart w:id="76" w:name="Start_Cursor"/>
      <w:bookmarkEnd w:id="76"/>
      <w:r>
        <w:rPr>
          <w:spacing w:val="-2"/>
        </w:rPr>
        <w:t>These</w:t>
      </w:r>
      <w:r>
        <w:t xml:space="preserve"> </w:t>
      </w:r>
      <w:r>
        <w:rPr>
          <w:spacing w:val="-2"/>
        </w:rPr>
        <w:t>regulations</w:t>
      </w:r>
      <w:r>
        <w:t xml:space="preserve"> are the </w:t>
      </w:r>
      <w:r>
        <w:rPr>
          <w:i/>
        </w:rPr>
        <w:t>Environmental Protection (NEPM-UPM) Regulations 2007</w:t>
      </w:r>
      <w:r>
        <w:rPr>
          <w:iCs/>
        </w:rPr>
        <w:t> </w:t>
      </w:r>
      <w:r>
        <w:rPr>
          <w:iCs/>
          <w:vertAlign w:val="superscript"/>
        </w:rPr>
        <w:t>1</w:t>
      </w:r>
      <w:r>
        <w:t>.</w:t>
      </w:r>
    </w:p>
    <w:p>
      <w:pPr>
        <w:pStyle w:val="Heading5"/>
      </w:pPr>
      <w:bookmarkStart w:id="77" w:name="_Toc158101243"/>
      <w:r>
        <w:rPr>
          <w:rStyle w:val="CharSectno"/>
        </w:rPr>
        <w:t>2</w:t>
      </w:r>
      <w:r>
        <w:t>.</w:t>
      </w:r>
      <w:r>
        <w:tab/>
        <w:t>Terms used in these regulations</w:t>
      </w:r>
      <w:bookmarkEnd w:id="77"/>
    </w:p>
    <w:p>
      <w:pPr>
        <w:pStyle w:val="Subsection"/>
      </w:pPr>
      <w:r>
        <w:tab/>
      </w:r>
      <w:r>
        <w:tab/>
        <w:t xml:space="preserve">In these regulations, unless the contrary intention appears — </w:t>
      </w:r>
    </w:p>
    <w:p>
      <w:pPr>
        <w:pStyle w:val="Defstart"/>
      </w:pPr>
      <w:r>
        <w:rPr>
          <w:b/>
        </w:rPr>
        <w:tab/>
      </w:r>
      <w:r>
        <w:rPr>
          <w:rStyle w:val="CharDefText"/>
        </w:rPr>
        <w:t>brand owner</w:t>
      </w:r>
      <w:r>
        <w:t xml:space="preserve"> means —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country-region">
        <w:smartTag w:uri="urn:schemas-microsoft-com:office:smarttags" w:element="place">
          <w:r>
            <w:t>Australia</w:t>
          </w:r>
        </w:smartTag>
      </w:smartTag>
      <w:r>
        <w:t xml:space="preserve"> of a business arrangement which allows an individual, partnership or company to operate under the name of an already established business; or</w:t>
      </w:r>
    </w:p>
    <w:p>
      <w:pPr>
        <w:pStyle w:val="Defpara"/>
      </w:pPr>
      <w:r>
        <w:tab/>
        <w:t>(c)</w:t>
      </w:r>
      <w:r>
        <w:tab/>
        <w:t xml:space="preserve">in the case of a product which has been imported, the first person to sell that product in </w:t>
      </w:r>
      <w:smartTag w:uri="urn:schemas-microsoft-com:office:smarttags" w:element="country-region">
        <w:smartTag w:uri="urn:schemas-microsoft-com:office:smarttags" w:element="place">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rPr>
          <w:b/>
        </w:rPr>
        <w:tab/>
      </w:r>
      <w:r>
        <w:rPr>
          <w:rStyle w:val="CharDefText"/>
        </w:rPr>
        <w:t>consumer packaging</w:t>
      </w:r>
      <w:r>
        <w:t xml:space="preserve"> means all packaging products, including distribution packaging, made of any material, or combination of materials, for the containment, protection, marketing and handling of retail consumer products;</w:t>
      </w:r>
    </w:p>
    <w:p>
      <w:pPr>
        <w:pStyle w:val="Defstart"/>
      </w:pPr>
      <w:r>
        <w:rPr>
          <w:b/>
        </w:rPr>
        <w:tab/>
      </w:r>
      <w:r>
        <w:rPr>
          <w:rStyle w:val="CharDefText"/>
        </w:rPr>
        <w:t>Covenant</w:t>
      </w:r>
      <w:r>
        <w:t xml:space="preserve"> means the National Packaging Covenant of July 2005;</w:t>
      </w:r>
    </w:p>
    <w:p>
      <w:pPr>
        <w:pStyle w:val="Defstart"/>
      </w:pPr>
      <w:r>
        <w:rPr>
          <w:b/>
        </w:rP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rPr>
          <w:b/>
        </w:rPr>
        <w:tab/>
      </w:r>
      <w:r>
        <w:rPr>
          <w:rStyle w:val="CharDefText"/>
        </w:rPr>
        <w:t>landfill site</w:t>
      </w:r>
      <w:r>
        <w:t xml:space="preserve"> means — </w:t>
      </w:r>
    </w:p>
    <w:p>
      <w:pPr>
        <w:pStyle w:val="Defpara"/>
      </w:pPr>
      <w:r>
        <w:tab/>
        <w:t>(a)</w:t>
      </w:r>
      <w:r>
        <w:tab/>
        <w:t xml:space="preserve">a landfill site set apart by a local government under the </w:t>
      </w:r>
      <w:r>
        <w:rPr>
          <w:i/>
        </w:rPr>
        <w:t>Health Act 1911</w:t>
      </w:r>
      <w:r>
        <w:t xml:space="preserve"> section 119; or</w:t>
      </w:r>
    </w:p>
    <w:p>
      <w:pPr>
        <w:pStyle w:val="Defpara"/>
      </w:pPr>
      <w:r>
        <w:tab/>
        <w:t>(b)</w:t>
      </w:r>
      <w:r>
        <w:tab/>
        <w:t>a landfill site licensed under the Act Part V; or</w:t>
      </w:r>
    </w:p>
    <w:p>
      <w:pPr>
        <w:pStyle w:val="Defpara"/>
      </w:pPr>
      <w:r>
        <w:tab/>
        <w:t>(c)</w:t>
      </w:r>
      <w:r>
        <w:tab/>
        <w:t xml:space="preserve">premises to which the </w:t>
      </w:r>
      <w:r>
        <w:rPr>
          <w:i/>
        </w:rPr>
        <w:t>Environmental Protection (Rural Landfill) Regulations 2002</w:t>
      </w:r>
      <w:r>
        <w:t xml:space="preserve"> apply;</w:t>
      </w:r>
    </w:p>
    <w:p>
      <w:pPr>
        <w:pStyle w:val="Defstart"/>
      </w:pPr>
      <w:r>
        <w:rPr>
          <w:b/>
        </w:rP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rPr>
          <w:b/>
        </w:rPr>
        <w:tab/>
      </w:r>
      <w:r>
        <w:rPr>
          <w:rStyle w:val="CharDefText"/>
        </w:rPr>
        <w:t>plastic bags</w:t>
      </w:r>
      <w:r>
        <w:t xml:space="preserve"> includes a single use lightweight plastic carry bag made from virgin or recycled plastic;</w:t>
      </w:r>
    </w:p>
    <w:p>
      <w:pPr>
        <w:pStyle w:val="Defstart"/>
      </w:pPr>
      <w:r>
        <w:rPr>
          <w:b/>
        </w:rP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rPr>
          <w:b/>
        </w:rPr>
        <w:tab/>
      </w:r>
      <w:r>
        <w:rPr>
          <w:rStyle w:val="CharDefText"/>
        </w:rPr>
        <w:t>recovery rate</w:t>
      </w:r>
      <w:r>
        <w:rPr>
          <w:bCs/>
        </w:rPr>
        <w:t>, in relation to</w:t>
      </w:r>
      <w:r>
        <w:t xml:space="preserve"> a type of consumer packaging listed in column 1 of the Tables to regulation 8(1) and (2), means the rate determined using the equation — </w:t>
      </w:r>
    </w:p>
    <w:p>
      <w:pPr>
        <w:pStyle w:val="Equation"/>
        <w:spacing w:before="120"/>
        <w:ind w:left="1418"/>
        <w:rPr>
          <w:snapToGrid w:val="0"/>
        </w:rPr>
      </w:pPr>
      <w:r>
        <w:rPr>
          <w:position w:val="-44"/>
          <w:lang w:val="en-AU" w:eastAsia="en-AU"/>
        </w:rPr>
        <w:drawing>
          <wp:inline distT="0" distB="0" distL="0" distR="0">
            <wp:extent cx="10572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pPr>
        <w:pStyle w:val="Defstart"/>
        <w:spacing w:before="0"/>
      </w:pPr>
      <w:r>
        <w:tab/>
        <w:t xml:space="preserve">where — </w:t>
      </w:r>
    </w:p>
    <w:p>
      <w:pPr>
        <w:pStyle w:val="Defstart"/>
      </w:pPr>
      <w:r>
        <w:tab/>
      </w:r>
      <w:r>
        <w:rPr>
          <w:rStyle w:val="CharDefText"/>
        </w:rPr>
        <w:t>R</w:t>
      </w:r>
      <w:r>
        <w:t xml:space="preserve"> is the recovery rate;</w:t>
      </w:r>
    </w:p>
    <w:p>
      <w:pPr>
        <w:pStyle w:val="Defstart"/>
        <w:tabs>
          <w:tab w:val="left" w:pos="1560"/>
        </w:tabs>
      </w:pPr>
      <w:r>
        <w:tab/>
      </w:r>
      <w:r>
        <w:rPr>
          <w:rStyle w:val="CharDefText"/>
        </w:rPr>
        <w:t>WR</w:t>
      </w:r>
      <w:r>
        <w:t xml:space="preserve"> is the weight of the consumer packaging recovered from the post</w:t>
      </w:r>
      <w:r>
        <w:noBreakHyphen/>
        <w:t>consumer waste stream;</w:t>
      </w:r>
    </w:p>
    <w:p>
      <w:pPr>
        <w:pStyle w:val="Defstart"/>
      </w:pPr>
      <w:r>
        <w:tab/>
      </w:r>
      <w:r>
        <w:rPr>
          <w:rStyle w:val="CharDefText"/>
        </w:rPr>
        <w:t>WS</w:t>
      </w:r>
      <w:r>
        <w:t xml:space="preserve"> is the weight of the consumer packaging sold as packaging within </w:t>
      </w:r>
      <w:smartTag w:uri="urn:schemas-microsoft-com:office:smarttags" w:element="country-region">
        <w:smartTag w:uri="urn:schemas-microsoft-com:office:smarttags" w:element="place">
          <w:r>
            <w:t>Australia</w:t>
          </w:r>
        </w:smartTag>
      </w:smartTag>
      <w:r>
        <w:t>;</w:t>
      </w:r>
    </w:p>
    <w:p>
      <w:pPr>
        <w:pStyle w:val="Defstart"/>
        <w:rPr>
          <w:bCs/>
        </w:rPr>
      </w:pPr>
      <w:r>
        <w:rPr>
          <w:b/>
        </w:rPr>
        <w:tab/>
      </w:r>
      <w:r>
        <w:rPr>
          <w:rStyle w:val="CharDefText"/>
        </w:rPr>
        <w:t>recyclable material</w:t>
      </w:r>
      <w:r>
        <w:rPr>
          <w:bCs/>
        </w:rPr>
        <w:t xml:space="preserve"> means material reasonably able to be recovered, reprocessed and used as raw material</w:t>
      </w:r>
      <w:r>
        <w:t xml:space="preserve"> for the manufacture of a new product;</w:t>
      </w:r>
    </w:p>
    <w:p>
      <w:pPr>
        <w:pStyle w:val="Defstart"/>
      </w:pPr>
      <w:r>
        <w:rPr>
          <w:b/>
        </w:rPr>
        <w:tab/>
      </w:r>
      <w:r>
        <w:rPr>
          <w:rStyle w:val="CharDefText"/>
        </w:rPr>
        <w:t>recycle</w:t>
      </w:r>
      <w:r>
        <w:t xml:space="preserve"> means recover a thing and use it as a raw material to produce another thing;</w:t>
      </w:r>
    </w:p>
    <w:p>
      <w:pPr>
        <w:pStyle w:val="Defstart"/>
      </w:pPr>
      <w:r>
        <w:rPr>
          <w:b/>
        </w:rP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rPr>
          <w:b/>
        </w:rP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rPr>
          <w:b/>
        </w:rP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Heading5"/>
      </w:pPr>
      <w:bookmarkStart w:id="78" w:name="_Toc158101244"/>
      <w:r>
        <w:rPr>
          <w:rStyle w:val="CharSectno"/>
        </w:rPr>
        <w:t>3</w:t>
      </w:r>
      <w:r>
        <w:t>.</w:t>
      </w:r>
      <w:r>
        <w:tab/>
        <w:t>Purpose</w:t>
      </w:r>
      <w:bookmarkEnd w:id="78"/>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w:t>
      </w:r>
      <w:r>
        <w:t>.</w:t>
      </w:r>
    </w:p>
    <w:p>
      <w:pPr>
        <w:pStyle w:val="Heading2"/>
      </w:pPr>
      <w:bookmarkStart w:id="79" w:name="_Toc134423424"/>
      <w:bookmarkStart w:id="80" w:name="_Toc134425336"/>
      <w:bookmarkStart w:id="81" w:name="_Toc134427283"/>
      <w:bookmarkStart w:id="82" w:name="_Toc134427844"/>
      <w:bookmarkStart w:id="83" w:name="_Toc134430394"/>
      <w:bookmarkStart w:id="84" w:name="_Toc134515496"/>
      <w:bookmarkStart w:id="85" w:name="_Toc134515523"/>
      <w:bookmarkStart w:id="86" w:name="_Toc134515550"/>
      <w:bookmarkStart w:id="87" w:name="_Toc134518177"/>
      <w:bookmarkStart w:id="88" w:name="_Toc134518853"/>
      <w:bookmarkStart w:id="89" w:name="_Toc136224605"/>
      <w:bookmarkStart w:id="90" w:name="_Toc136225198"/>
      <w:bookmarkStart w:id="91" w:name="_Toc136240883"/>
      <w:bookmarkStart w:id="92" w:name="_Toc136243204"/>
      <w:bookmarkStart w:id="93" w:name="_Toc136243538"/>
      <w:bookmarkStart w:id="94" w:name="_Toc136244190"/>
      <w:bookmarkStart w:id="95" w:name="_Toc136244940"/>
      <w:bookmarkStart w:id="96" w:name="_Toc136246674"/>
      <w:bookmarkStart w:id="97" w:name="_Toc136321344"/>
      <w:bookmarkStart w:id="98" w:name="_Toc136324098"/>
      <w:bookmarkStart w:id="99" w:name="_Toc136324128"/>
      <w:bookmarkStart w:id="100" w:name="_Toc136651528"/>
      <w:bookmarkStart w:id="101" w:name="_Toc136751177"/>
      <w:bookmarkStart w:id="102" w:name="_Toc136830536"/>
      <w:bookmarkStart w:id="103" w:name="_Toc136831656"/>
      <w:bookmarkStart w:id="104" w:name="_Toc136831837"/>
      <w:bookmarkStart w:id="105" w:name="_Toc136835905"/>
      <w:bookmarkStart w:id="106" w:name="_Toc137534299"/>
      <w:bookmarkStart w:id="107" w:name="_Toc137536058"/>
      <w:bookmarkStart w:id="108" w:name="_Toc138663268"/>
      <w:bookmarkStart w:id="109" w:name="_Toc139083223"/>
      <w:bookmarkStart w:id="110" w:name="_Toc139083249"/>
      <w:bookmarkStart w:id="111" w:name="_Toc139083276"/>
      <w:bookmarkStart w:id="112" w:name="_Toc139156876"/>
      <w:bookmarkStart w:id="113" w:name="_Toc139156902"/>
      <w:bookmarkStart w:id="114" w:name="_Toc139250187"/>
      <w:bookmarkStart w:id="115" w:name="_Toc139256667"/>
      <w:bookmarkStart w:id="116" w:name="_Toc139261660"/>
      <w:bookmarkStart w:id="117" w:name="_Toc139329851"/>
      <w:bookmarkStart w:id="118" w:name="_Toc139329934"/>
      <w:bookmarkStart w:id="119" w:name="_Toc139330384"/>
      <w:bookmarkStart w:id="120" w:name="_Toc139330430"/>
      <w:bookmarkStart w:id="121" w:name="_Toc139330456"/>
      <w:bookmarkStart w:id="122" w:name="_Toc140020310"/>
      <w:bookmarkStart w:id="123" w:name="_Toc140021952"/>
      <w:bookmarkStart w:id="124" w:name="_Toc140021989"/>
      <w:bookmarkStart w:id="125" w:name="_Toc140035428"/>
      <w:bookmarkStart w:id="126" w:name="_Toc140295047"/>
      <w:bookmarkStart w:id="127" w:name="_Toc140295331"/>
      <w:bookmarkStart w:id="128" w:name="_Toc144623892"/>
      <w:bookmarkStart w:id="129" w:name="_Toc144627758"/>
      <w:bookmarkStart w:id="130" w:name="_Toc144713998"/>
      <w:bookmarkStart w:id="131" w:name="_Toc150826646"/>
      <w:bookmarkStart w:id="132" w:name="_Toc150826680"/>
      <w:bookmarkStart w:id="133" w:name="_Toc150933250"/>
      <w:bookmarkStart w:id="134" w:name="_Toc150933276"/>
      <w:bookmarkStart w:id="135" w:name="_Toc150934797"/>
      <w:bookmarkStart w:id="136" w:name="_Toc150936910"/>
      <w:bookmarkStart w:id="137" w:name="_Toc150936997"/>
      <w:bookmarkStart w:id="138" w:name="_Toc151278369"/>
      <w:bookmarkStart w:id="139" w:name="_Toc151278449"/>
      <w:bookmarkStart w:id="140" w:name="_Toc153852520"/>
      <w:bookmarkStart w:id="141" w:name="_Toc153852899"/>
      <w:bookmarkStart w:id="142" w:name="_Toc153856895"/>
      <w:bookmarkStart w:id="143" w:name="_Toc153857699"/>
      <w:bookmarkStart w:id="144" w:name="_Toc158101245"/>
      <w:r>
        <w:rPr>
          <w:rStyle w:val="CharPartNo"/>
        </w:rPr>
        <w:t>Part 2</w:t>
      </w:r>
      <w:r>
        <w:t> — </w:t>
      </w:r>
      <w:r>
        <w:rPr>
          <w:rStyle w:val="CharPartText"/>
        </w:rPr>
        <w:t>Responsibilities of certain brand owners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134423425"/>
      <w:bookmarkStart w:id="146" w:name="_Toc134425337"/>
      <w:bookmarkStart w:id="147" w:name="_Toc134427284"/>
      <w:bookmarkStart w:id="148" w:name="_Toc134427845"/>
      <w:bookmarkStart w:id="149" w:name="_Toc134430395"/>
      <w:bookmarkStart w:id="150" w:name="_Toc134515497"/>
      <w:bookmarkStart w:id="151" w:name="_Toc134515524"/>
      <w:bookmarkStart w:id="152" w:name="_Toc134515551"/>
      <w:bookmarkStart w:id="153" w:name="_Toc134518178"/>
      <w:bookmarkStart w:id="154" w:name="_Toc134518854"/>
      <w:bookmarkStart w:id="155" w:name="_Toc136224606"/>
      <w:bookmarkStart w:id="156" w:name="_Toc136225199"/>
      <w:bookmarkStart w:id="157" w:name="_Toc136240884"/>
      <w:bookmarkStart w:id="158" w:name="_Toc136243205"/>
      <w:bookmarkStart w:id="159" w:name="_Toc136243539"/>
      <w:bookmarkStart w:id="160" w:name="_Toc136244191"/>
      <w:bookmarkStart w:id="161" w:name="_Toc136244941"/>
      <w:bookmarkStart w:id="162" w:name="_Toc136246675"/>
      <w:bookmarkStart w:id="163" w:name="_Toc136321345"/>
      <w:bookmarkStart w:id="164" w:name="_Toc136324099"/>
      <w:bookmarkStart w:id="165" w:name="_Toc136324129"/>
      <w:bookmarkStart w:id="166" w:name="_Toc136651529"/>
      <w:bookmarkStart w:id="167" w:name="_Toc136751178"/>
      <w:bookmarkStart w:id="168" w:name="_Toc136830537"/>
      <w:bookmarkStart w:id="169" w:name="_Toc136831657"/>
      <w:bookmarkStart w:id="170" w:name="_Toc136831838"/>
      <w:bookmarkStart w:id="171" w:name="_Toc136835906"/>
      <w:bookmarkStart w:id="172" w:name="_Toc137534300"/>
      <w:bookmarkStart w:id="173" w:name="_Toc137536059"/>
      <w:bookmarkStart w:id="174" w:name="_Toc138663269"/>
      <w:bookmarkStart w:id="175" w:name="_Toc139083224"/>
      <w:bookmarkStart w:id="176" w:name="_Toc139083250"/>
      <w:bookmarkStart w:id="177" w:name="_Toc139083277"/>
      <w:bookmarkStart w:id="178" w:name="_Toc139156877"/>
      <w:bookmarkStart w:id="179" w:name="_Toc139156903"/>
      <w:bookmarkStart w:id="180" w:name="_Toc139250188"/>
      <w:bookmarkStart w:id="181" w:name="_Toc139256668"/>
      <w:bookmarkStart w:id="182" w:name="_Toc139261661"/>
      <w:bookmarkStart w:id="183" w:name="_Toc139329852"/>
      <w:bookmarkStart w:id="184" w:name="_Toc139329935"/>
      <w:bookmarkStart w:id="185" w:name="_Toc139330385"/>
      <w:bookmarkStart w:id="186" w:name="_Toc139330431"/>
      <w:bookmarkStart w:id="187" w:name="_Toc139330457"/>
      <w:bookmarkStart w:id="188" w:name="_Toc140020311"/>
      <w:bookmarkStart w:id="189" w:name="_Toc140021953"/>
      <w:bookmarkStart w:id="190" w:name="_Toc140021990"/>
      <w:bookmarkStart w:id="191" w:name="_Toc140035429"/>
      <w:bookmarkStart w:id="192" w:name="_Toc140295048"/>
      <w:bookmarkStart w:id="193" w:name="_Toc140295332"/>
      <w:bookmarkStart w:id="194" w:name="_Toc144623893"/>
      <w:bookmarkStart w:id="195" w:name="_Toc144627759"/>
      <w:bookmarkStart w:id="196" w:name="_Toc144713999"/>
      <w:bookmarkStart w:id="197" w:name="_Toc150826647"/>
      <w:bookmarkStart w:id="198" w:name="_Toc150826681"/>
      <w:bookmarkStart w:id="199" w:name="_Toc150933251"/>
      <w:bookmarkStart w:id="200" w:name="_Toc150933277"/>
      <w:bookmarkStart w:id="201" w:name="_Toc150934798"/>
      <w:bookmarkStart w:id="202" w:name="_Toc150936911"/>
      <w:bookmarkStart w:id="203" w:name="_Toc150936998"/>
      <w:bookmarkStart w:id="204" w:name="_Toc151278370"/>
      <w:bookmarkStart w:id="205" w:name="_Toc151278450"/>
      <w:bookmarkStart w:id="206" w:name="_Toc153852521"/>
      <w:bookmarkStart w:id="207" w:name="_Toc153852900"/>
      <w:bookmarkStart w:id="208" w:name="_Toc153856896"/>
      <w:bookmarkStart w:id="209" w:name="_Toc153857700"/>
      <w:bookmarkStart w:id="210" w:name="_Toc158101246"/>
      <w:r>
        <w:rPr>
          <w:rStyle w:val="CharDivNo"/>
        </w:rPr>
        <w:t>Division 1</w:t>
      </w:r>
      <w:r>
        <w:t> — </w:t>
      </w:r>
      <w:r>
        <w:rPr>
          <w:rStyle w:val="CharDivText"/>
        </w:rPr>
        <w:t>Application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158101247"/>
      <w:r>
        <w:rPr>
          <w:rStyle w:val="CharSectno"/>
        </w:rPr>
        <w:t>4</w:t>
      </w:r>
      <w:r>
        <w:t>.</w:t>
      </w:r>
      <w:r>
        <w:tab/>
        <w:t>Application of this Part</w:t>
      </w:r>
      <w:bookmarkEnd w:id="211"/>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pPr>
      <w:bookmarkStart w:id="212" w:name="_Toc134423427"/>
      <w:bookmarkStart w:id="213" w:name="_Toc134425339"/>
      <w:bookmarkStart w:id="214" w:name="_Toc134427286"/>
      <w:bookmarkStart w:id="215" w:name="_Toc134427847"/>
      <w:bookmarkStart w:id="216" w:name="_Toc134430397"/>
      <w:bookmarkStart w:id="217" w:name="_Toc134515499"/>
      <w:bookmarkStart w:id="218" w:name="_Toc134515526"/>
      <w:bookmarkStart w:id="219" w:name="_Toc134515553"/>
      <w:bookmarkStart w:id="220" w:name="_Toc134518180"/>
      <w:bookmarkStart w:id="221" w:name="_Toc134518856"/>
      <w:bookmarkStart w:id="222" w:name="_Toc136224608"/>
      <w:bookmarkStart w:id="223" w:name="_Toc136225201"/>
      <w:bookmarkStart w:id="224" w:name="_Toc136240886"/>
      <w:bookmarkStart w:id="225" w:name="_Toc136243207"/>
      <w:bookmarkStart w:id="226" w:name="_Toc136243541"/>
      <w:bookmarkStart w:id="227" w:name="_Toc136244193"/>
      <w:bookmarkStart w:id="228" w:name="_Toc136244943"/>
      <w:bookmarkStart w:id="229" w:name="_Toc136246677"/>
      <w:bookmarkStart w:id="230" w:name="_Toc136321347"/>
      <w:bookmarkStart w:id="231" w:name="_Toc136324101"/>
      <w:bookmarkStart w:id="232" w:name="_Toc136324131"/>
      <w:bookmarkStart w:id="233" w:name="_Toc136651531"/>
      <w:bookmarkStart w:id="234" w:name="_Toc136751180"/>
      <w:bookmarkStart w:id="235" w:name="_Toc136830539"/>
      <w:bookmarkStart w:id="236" w:name="_Toc136831659"/>
      <w:bookmarkStart w:id="237" w:name="_Toc136831840"/>
      <w:bookmarkStart w:id="238" w:name="_Toc136835908"/>
      <w:bookmarkStart w:id="239" w:name="_Toc137534302"/>
      <w:bookmarkStart w:id="240" w:name="_Toc137536061"/>
      <w:bookmarkStart w:id="241" w:name="_Toc138663271"/>
      <w:bookmarkStart w:id="242" w:name="_Toc139083226"/>
      <w:bookmarkStart w:id="243" w:name="_Toc139083252"/>
      <w:bookmarkStart w:id="244" w:name="_Toc139083279"/>
      <w:bookmarkStart w:id="245" w:name="_Toc139156879"/>
      <w:bookmarkStart w:id="246" w:name="_Toc139156905"/>
      <w:bookmarkStart w:id="247" w:name="_Toc139250190"/>
      <w:bookmarkStart w:id="248" w:name="_Toc139256670"/>
      <w:bookmarkStart w:id="249" w:name="_Toc139261663"/>
      <w:bookmarkStart w:id="250" w:name="_Toc139329854"/>
      <w:bookmarkStart w:id="251" w:name="_Toc139329937"/>
      <w:bookmarkStart w:id="252" w:name="_Toc139330387"/>
      <w:bookmarkStart w:id="253" w:name="_Toc139330433"/>
      <w:bookmarkStart w:id="254" w:name="_Toc139330459"/>
      <w:bookmarkStart w:id="255" w:name="_Toc140020313"/>
      <w:bookmarkStart w:id="256" w:name="_Toc140021955"/>
      <w:bookmarkStart w:id="257" w:name="_Toc140021992"/>
      <w:bookmarkStart w:id="258" w:name="_Toc140035431"/>
      <w:bookmarkStart w:id="259" w:name="_Toc140295050"/>
      <w:bookmarkStart w:id="260" w:name="_Toc140295334"/>
      <w:bookmarkStart w:id="261" w:name="_Toc144623895"/>
      <w:bookmarkStart w:id="262" w:name="_Toc144627761"/>
      <w:bookmarkStart w:id="263" w:name="_Toc144714001"/>
      <w:bookmarkStart w:id="264" w:name="_Toc150826649"/>
      <w:bookmarkStart w:id="265" w:name="_Toc150826683"/>
      <w:bookmarkStart w:id="266" w:name="_Toc150933253"/>
      <w:bookmarkStart w:id="267" w:name="_Toc150933279"/>
      <w:bookmarkStart w:id="268" w:name="_Toc150934800"/>
      <w:bookmarkStart w:id="269" w:name="_Toc150936913"/>
      <w:bookmarkStart w:id="270" w:name="_Toc150937000"/>
      <w:bookmarkStart w:id="271" w:name="_Toc151278372"/>
      <w:bookmarkStart w:id="272" w:name="_Toc151278452"/>
      <w:bookmarkStart w:id="273" w:name="_Toc153852523"/>
      <w:bookmarkStart w:id="274" w:name="_Toc153852902"/>
      <w:bookmarkStart w:id="275" w:name="_Toc153856898"/>
      <w:bookmarkStart w:id="276" w:name="_Toc153857702"/>
      <w:bookmarkStart w:id="277" w:name="_Toc158101248"/>
      <w:r>
        <w:rPr>
          <w:rStyle w:val="CharDivNo"/>
        </w:rPr>
        <w:t>Division 2</w:t>
      </w:r>
      <w:r>
        <w:t> — </w:t>
      </w:r>
      <w:r>
        <w:rPr>
          <w:rStyle w:val="CharDivText"/>
        </w:rPr>
        <w:t>Action plans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58101249"/>
      <w:r>
        <w:rPr>
          <w:rStyle w:val="CharSectno"/>
        </w:rPr>
        <w:t>5</w:t>
      </w:r>
      <w:r>
        <w:t>.</w:t>
      </w:r>
      <w:r>
        <w:tab/>
        <w:t>Action plans</w:t>
      </w:r>
      <w:bookmarkEnd w:id="278"/>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7(2)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keepNext/>
        <w:keepLines/>
      </w:pPr>
      <w:r>
        <w:tab/>
        <w:t>(3)</w:t>
      </w:r>
      <w:r>
        <w:tab/>
        <w:t xml:space="preserve">The action plan must contain the following information — </w:t>
      </w:r>
    </w:p>
    <w:p>
      <w:pPr>
        <w:pStyle w:val="Indenta"/>
        <w:keepNext/>
        <w:keepLines/>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8.</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 or</w:t>
      </w:r>
    </w:p>
    <w:p>
      <w:pPr>
        <w:pStyle w:val="Indenti"/>
      </w:pPr>
      <w:r>
        <w:tab/>
        <w:t>(ii)</w:t>
      </w:r>
      <w:r>
        <w:tab/>
        <w:t>for use within the State as a secondary resource; or</w:t>
      </w:r>
    </w:p>
    <w:p>
      <w:pPr>
        <w:pStyle w:val="Indenti"/>
      </w:pPr>
      <w:r>
        <w:tab/>
        <w:t>(iii)</w:t>
      </w:r>
      <w:r>
        <w:tab/>
        <w:t xml:space="preserve">for use within </w:t>
      </w:r>
      <w:smartTag w:uri="urn:schemas-microsoft-com:office:smarttags" w:element="country-region">
        <w:smartTag w:uri="urn:schemas-microsoft-com:office:smarttags" w:element="place">
          <w:r>
            <w:t>Australia</w:t>
          </w:r>
        </w:smartTag>
      </w:smartTag>
      <w:r>
        <w:t xml:space="preserve"> as a secondary resource; or</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279" w:name="_Toc158101250"/>
      <w:r>
        <w:rPr>
          <w:rStyle w:val="CharSectno"/>
        </w:rPr>
        <w:t>6</w:t>
      </w:r>
      <w:r>
        <w:t>.</w:t>
      </w:r>
      <w:r>
        <w:tab/>
        <w:t>Approval of action plans</w:t>
      </w:r>
      <w:bookmarkEnd w:id="279"/>
    </w:p>
    <w:p>
      <w:pPr>
        <w:pStyle w:val="Subsection"/>
      </w:pPr>
      <w:r>
        <w:tab/>
        <w:t>(1)</w:t>
      </w:r>
      <w:r>
        <w:tab/>
        <w:t xml:space="preserve">If a person submits an action plan to the CEO under regulation 5(1),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280" w:name="_Toc158101251"/>
      <w:r>
        <w:rPr>
          <w:rStyle w:val="CharSectno"/>
        </w:rPr>
        <w:t>7</w:t>
      </w:r>
      <w:r>
        <w:t>.</w:t>
      </w:r>
      <w:r>
        <w:tab/>
        <w:t>Review of action plans</w:t>
      </w:r>
      <w:bookmarkEnd w:id="280"/>
    </w:p>
    <w:p>
      <w:pPr>
        <w:pStyle w:val="Subsection"/>
      </w:pPr>
      <w:r>
        <w:tab/>
        <w:t>(1)</w:t>
      </w:r>
      <w:r>
        <w:tab/>
        <w:t>The CEO may review an action plan approved under regulation 6(1)(b)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pPr>
      <w:bookmarkStart w:id="281" w:name="_Toc134515503"/>
      <w:bookmarkStart w:id="282" w:name="_Toc134515530"/>
      <w:bookmarkStart w:id="283" w:name="_Toc134515557"/>
      <w:bookmarkStart w:id="284" w:name="_Toc134518184"/>
      <w:bookmarkStart w:id="285" w:name="_Toc134518860"/>
      <w:bookmarkStart w:id="286" w:name="_Toc136224612"/>
      <w:bookmarkStart w:id="287" w:name="_Toc136225205"/>
      <w:bookmarkStart w:id="288" w:name="_Toc136240890"/>
      <w:bookmarkStart w:id="289" w:name="_Toc136243211"/>
      <w:bookmarkStart w:id="290" w:name="_Toc136243545"/>
      <w:bookmarkStart w:id="291" w:name="_Toc136244197"/>
      <w:bookmarkStart w:id="292" w:name="_Toc136244947"/>
      <w:bookmarkStart w:id="293" w:name="_Toc136246681"/>
      <w:bookmarkStart w:id="294" w:name="_Toc136321351"/>
      <w:bookmarkStart w:id="295" w:name="_Toc136324105"/>
      <w:bookmarkStart w:id="296" w:name="_Toc136324135"/>
      <w:bookmarkStart w:id="297" w:name="_Toc136651535"/>
      <w:bookmarkStart w:id="298" w:name="_Toc136751184"/>
      <w:bookmarkStart w:id="299" w:name="_Toc136830543"/>
      <w:bookmarkStart w:id="300" w:name="_Toc136831663"/>
      <w:bookmarkStart w:id="301" w:name="_Toc136831844"/>
      <w:bookmarkStart w:id="302" w:name="_Toc136835912"/>
      <w:bookmarkStart w:id="303" w:name="_Toc137534306"/>
      <w:bookmarkStart w:id="304" w:name="_Toc137536065"/>
      <w:bookmarkStart w:id="305" w:name="_Toc138663275"/>
      <w:bookmarkStart w:id="306" w:name="_Toc139083230"/>
      <w:bookmarkStart w:id="307" w:name="_Toc139083256"/>
      <w:bookmarkStart w:id="308" w:name="_Toc139083283"/>
      <w:bookmarkStart w:id="309" w:name="_Toc139156883"/>
      <w:bookmarkStart w:id="310" w:name="_Toc139156909"/>
      <w:bookmarkStart w:id="311" w:name="_Toc139250194"/>
      <w:bookmarkStart w:id="312" w:name="_Toc139256674"/>
      <w:bookmarkStart w:id="313" w:name="_Toc139261667"/>
      <w:bookmarkStart w:id="314" w:name="_Toc139329858"/>
      <w:bookmarkStart w:id="315" w:name="_Toc139329941"/>
      <w:bookmarkStart w:id="316" w:name="_Toc139330391"/>
      <w:bookmarkStart w:id="317" w:name="_Toc139330437"/>
      <w:bookmarkStart w:id="318" w:name="_Toc139330463"/>
      <w:bookmarkStart w:id="319" w:name="_Toc140020317"/>
      <w:bookmarkStart w:id="320" w:name="_Toc140021959"/>
      <w:bookmarkStart w:id="321" w:name="_Toc140021996"/>
      <w:bookmarkStart w:id="322" w:name="_Toc140035435"/>
      <w:bookmarkStart w:id="323" w:name="_Toc140295054"/>
      <w:bookmarkStart w:id="324" w:name="_Toc140295338"/>
      <w:bookmarkStart w:id="325" w:name="_Toc144623899"/>
      <w:bookmarkStart w:id="326" w:name="_Toc144627765"/>
      <w:bookmarkStart w:id="327" w:name="_Toc144714005"/>
      <w:bookmarkStart w:id="328" w:name="_Toc150826653"/>
      <w:bookmarkStart w:id="329" w:name="_Toc150826687"/>
      <w:bookmarkStart w:id="330" w:name="_Toc150933257"/>
      <w:bookmarkStart w:id="331" w:name="_Toc150933283"/>
      <w:bookmarkStart w:id="332" w:name="_Toc150934804"/>
      <w:bookmarkStart w:id="333" w:name="_Toc150936917"/>
      <w:bookmarkStart w:id="334" w:name="_Toc150937004"/>
      <w:bookmarkStart w:id="335" w:name="_Toc151278376"/>
      <w:bookmarkStart w:id="336" w:name="_Toc151278456"/>
      <w:bookmarkStart w:id="337" w:name="_Toc153852527"/>
      <w:bookmarkStart w:id="338" w:name="_Toc153852906"/>
      <w:bookmarkStart w:id="339" w:name="_Toc153856902"/>
      <w:bookmarkStart w:id="340" w:name="_Toc153857706"/>
      <w:bookmarkStart w:id="341" w:name="_Toc158101252"/>
      <w:r>
        <w:rPr>
          <w:rStyle w:val="CharDivNo"/>
        </w:rPr>
        <w:t>Division 3</w:t>
      </w:r>
      <w:r>
        <w:t> — </w:t>
      </w:r>
      <w:r>
        <w:rPr>
          <w:rStyle w:val="CharDivText"/>
        </w:rPr>
        <w:t>Targets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58101253"/>
      <w:r>
        <w:rPr>
          <w:rStyle w:val="CharSectno"/>
        </w:rPr>
        <w:t>8</w:t>
      </w:r>
      <w:r>
        <w:t>.</w:t>
      </w:r>
      <w:r>
        <w:tab/>
        <w:t>Targets</w:t>
      </w:r>
      <w:bookmarkEnd w:id="342"/>
    </w:p>
    <w:p>
      <w:pPr>
        <w:pStyle w:val="Subsection"/>
      </w:pPr>
      <w:r>
        <w:tab/>
        <w:t>(1)</w:t>
      </w:r>
      <w:r>
        <w:tab/>
        <w:t>For the period beginning on 1 July 2007 and ending on 30 June 2008, a brand owner to which this Part applies must ensure that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69%</w:t>
            </w:r>
          </w:p>
        </w:tc>
      </w:tr>
      <w:tr>
        <w:tc>
          <w:tcPr>
            <w:tcW w:w="2692" w:type="dxa"/>
          </w:tcPr>
          <w:p>
            <w:pPr>
              <w:pStyle w:val="Table"/>
            </w:pPr>
            <w:r>
              <w:t>Glass</w:t>
            </w:r>
          </w:p>
        </w:tc>
        <w:tc>
          <w:tcPr>
            <w:tcW w:w="3403" w:type="dxa"/>
          </w:tcPr>
          <w:p>
            <w:pPr>
              <w:pStyle w:val="Table"/>
              <w:jc w:val="center"/>
            </w:pPr>
            <w:r>
              <w:t>47%</w:t>
            </w:r>
          </w:p>
        </w:tc>
      </w:tr>
      <w:tr>
        <w:tc>
          <w:tcPr>
            <w:tcW w:w="2692" w:type="dxa"/>
          </w:tcPr>
          <w:p>
            <w:pPr>
              <w:pStyle w:val="Table"/>
            </w:pPr>
            <w:r>
              <w:t>Paper and cardboard</w:t>
            </w:r>
          </w:p>
        </w:tc>
        <w:tc>
          <w:tcPr>
            <w:tcW w:w="3403" w:type="dxa"/>
          </w:tcPr>
          <w:p>
            <w:pPr>
              <w:pStyle w:val="Table"/>
              <w:jc w:val="center"/>
            </w:pPr>
            <w:r>
              <w:t>72%</w:t>
            </w:r>
          </w:p>
        </w:tc>
      </w:tr>
      <w:tr>
        <w:tc>
          <w:tcPr>
            <w:tcW w:w="2692" w:type="dxa"/>
          </w:tcPr>
          <w:p>
            <w:pPr>
              <w:pStyle w:val="Table"/>
            </w:pPr>
            <w:r>
              <w:t>Plastics: high</w:t>
            </w:r>
            <w:r>
              <w:noBreakHyphen/>
              <w:t>density polyethylene (HDPE)</w:t>
            </w:r>
          </w:p>
        </w:tc>
        <w:tc>
          <w:tcPr>
            <w:tcW w:w="3403" w:type="dxa"/>
          </w:tcPr>
          <w:p>
            <w:pPr>
              <w:pStyle w:val="Table"/>
              <w:jc w:val="center"/>
            </w:pPr>
            <w:r>
              <w:br/>
              <w:t>47%</w:t>
            </w:r>
          </w:p>
        </w:tc>
      </w:tr>
      <w:tr>
        <w:tc>
          <w:tcPr>
            <w:tcW w:w="2692" w:type="dxa"/>
          </w:tcPr>
          <w:p>
            <w:pPr>
              <w:pStyle w:val="Table"/>
            </w:pPr>
            <w:r>
              <w:t>Plastics: polyethylene terephthalate (PET)</w:t>
            </w:r>
          </w:p>
        </w:tc>
        <w:tc>
          <w:tcPr>
            <w:tcW w:w="3403" w:type="dxa"/>
          </w:tcPr>
          <w:p>
            <w:pPr>
              <w:pStyle w:val="Table"/>
              <w:jc w:val="center"/>
            </w:pPr>
            <w:r>
              <w:br/>
              <w:t>47%</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27%</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54%</w:t>
            </w:r>
          </w:p>
        </w:tc>
      </w:tr>
    </w:tbl>
    <w:p>
      <w:pPr>
        <w:pStyle w:val="Subsection"/>
      </w:pPr>
      <w:r>
        <w:tab/>
        <w:t>(2)</w:t>
      </w:r>
      <w:r>
        <w:tab/>
        <w:t>Beginning with the financial year commencing on 1 July 2010 and for each financial year after that year, a brand owner to which this Part applies must ensure that in each financial year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75%</w:t>
            </w:r>
          </w:p>
        </w:tc>
      </w:tr>
      <w:tr>
        <w:tc>
          <w:tcPr>
            <w:tcW w:w="2692" w:type="dxa"/>
          </w:tcPr>
          <w:p>
            <w:pPr>
              <w:pStyle w:val="Table"/>
            </w:pPr>
            <w:r>
              <w:t>Glass</w:t>
            </w:r>
          </w:p>
        </w:tc>
        <w:tc>
          <w:tcPr>
            <w:tcW w:w="3403" w:type="dxa"/>
          </w:tcPr>
          <w:p>
            <w:pPr>
              <w:pStyle w:val="Table"/>
              <w:jc w:val="center"/>
            </w:pPr>
            <w:r>
              <w:t>60%</w:t>
            </w:r>
          </w:p>
        </w:tc>
      </w:tr>
      <w:tr>
        <w:tc>
          <w:tcPr>
            <w:tcW w:w="2692" w:type="dxa"/>
          </w:tcPr>
          <w:p>
            <w:pPr>
              <w:pStyle w:val="Table"/>
            </w:pPr>
            <w:r>
              <w:t>Paper and cardboard</w:t>
            </w:r>
          </w:p>
        </w:tc>
        <w:tc>
          <w:tcPr>
            <w:tcW w:w="3403" w:type="dxa"/>
          </w:tcPr>
          <w:p>
            <w:pPr>
              <w:pStyle w:val="Table"/>
              <w:jc w:val="center"/>
            </w:pPr>
            <w:r>
              <w:t>80%</w:t>
            </w:r>
          </w:p>
        </w:tc>
      </w:tr>
      <w:tr>
        <w:tc>
          <w:tcPr>
            <w:tcW w:w="2692" w:type="dxa"/>
          </w:tcPr>
          <w:p>
            <w:pPr>
              <w:pStyle w:val="Table"/>
            </w:pPr>
            <w:r>
              <w:t>Plastics: high</w:t>
            </w:r>
            <w:r>
              <w:noBreakHyphen/>
              <w:t>density polyethylene (HDPE)</w:t>
            </w:r>
          </w:p>
        </w:tc>
        <w:tc>
          <w:tcPr>
            <w:tcW w:w="3403" w:type="dxa"/>
          </w:tcPr>
          <w:p>
            <w:pPr>
              <w:pStyle w:val="Table"/>
              <w:jc w:val="center"/>
            </w:pPr>
            <w:r>
              <w:br/>
              <w:t>60%</w:t>
            </w:r>
          </w:p>
        </w:tc>
      </w:tr>
      <w:tr>
        <w:tc>
          <w:tcPr>
            <w:tcW w:w="2692" w:type="dxa"/>
          </w:tcPr>
          <w:p>
            <w:pPr>
              <w:pStyle w:val="Table"/>
            </w:pPr>
            <w:r>
              <w:t>Plastics: polyethylene terephthalate (PET)</w:t>
            </w:r>
          </w:p>
        </w:tc>
        <w:tc>
          <w:tcPr>
            <w:tcW w:w="3403" w:type="dxa"/>
          </w:tcPr>
          <w:p>
            <w:pPr>
              <w:pStyle w:val="Table"/>
              <w:jc w:val="center"/>
            </w:pPr>
            <w:r>
              <w:br/>
              <w:t>60%</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35%</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65%</w:t>
            </w:r>
          </w:p>
        </w:tc>
      </w:tr>
    </w:tbl>
    <w:p>
      <w:pPr>
        <w:pStyle w:val="Heading3"/>
      </w:pPr>
      <w:bookmarkStart w:id="343" w:name="_Toc134423431"/>
      <w:bookmarkStart w:id="344" w:name="_Toc134425343"/>
      <w:bookmarkStart w:id="345" w:name="_Toc134427290"/>
      <w:bookmarkStart w:id="346" w:name="_Toc134427851"/>
      <w:bookmarkStart w:id="347" w:name="_Toc134430401"/>
      <w:bookmarkStart w:id="348" w:name="_Toc134515505"/>
      <w:bookmarkStart w:id="349" w:name="_Toc134515532"/>
      <w:bookmarkStart w:id="350" w:name="_Toc134515559"/>
      <w:bookmarkStart w:id="351" w:name="_Toc134518186"/>
      <w:bookmarkStart w:id="352" w:name="_Toc134518862"/>
      <w:bookmarkStart w:id="353" w:name="_Toc136224614"/>
      <w:bookmarkStart w:id="354" w:name="_Toc136225207"/>
      <w:bookmarkStart w:id="355" w:name="_Toc136240892"/>
      <w:bookmarkStart w:id="356" w:name="_Toc136243213"/>
      <w:bookmarkStart w:id="357" w:name="_Toc136243547"/>
      <w:bookmarkStart w:id="358" w:name="_Toc136244199"/>
      <w:bookmarkStart w:id="359" w:name="_Toc136244949"/>
      <w:bookmarkStart w:id="360" w:name="_Toc136246683"/>
      <w:bookmarkStart w:id="361" w:name="_Toc136321353"/>
      <w:bookmarkStart w:id="362" w:name="_Toc136324107"/>
      <w:bookmarkStart w:id="363" w:name="_Toc136324137"/>
      <w:bookmarkStart w:id="364" w:name="_Toc136651537"/>
      <w:bookmarkStart w:id="365" w:name="_Toc136751186"/>
      <w:bookmarkStart w:id="366" w:name="_Toc136830545"/>
      <w:bookmarkStart w:id="367" w:name="_Toc136831665"/>
      <w:bookmarkStart w:id="368" w:name="_Toc136831846"/>
      <w:bookmarkStart w:id="369" w:name="_Toc136835914"/>
      <w:bookmarkStart w:id="370" w:name="_Toc137534308"/>
      <w:bookmarkStart w:id="371" w:name="_Toc137536067"/>
      <w:bookmarkStart w:id="372" w:name="_Toc138663277"/>
      <w:bookmarkStart w:id="373" w:name="_Toc139083232"/>
      <w:bookmarkStart w:id="374" w:name="_Toc139083258"/>
      <w:bookmarkStart w:id="375" w:name="_Toc139083285"/>
      <w:bookmarkStart w:id="376" w:name="_Toc139156885"/>
      <w:bookmarkStart w:id="377" w:name="_Toc139156911"/>
      <w:bookmarkStart w:id="378" w:name="_Toc139250196"/>
      <w:bookmarkStart w:id="379" w:name="_Toc139256676"/>
      <w:bookmarkStart w:id="380" w:name="_Toc139261669"/>
      <w:bookmarkStart w:id="381" w:name="_Toc139329860"/>
      <w:bookmarkStart w:id="382" w:name="_Toc139329943"/>
      <w:bookmarkStart w:id="383" w:name="_Toc139330393"/>
      <w:bookmarkStart w:id="384" w:name="_Toc139330439"/>
      <w:bookmarkStart w:id="385" w:name="_Toc139330465"/>
      <w:bookmarkStart w:id="386" w:name="_Toc140020319"/>
      <w:bookmarkStart w:id="387" w:name="_Toc140021961"/>
      <w:bookmarkStart w:id="388" w:name="_Toc140021998"/>
      <w:bookmarkStart w:id="389" w:name="_Toc140035437"/>
      <w:bookmarkStart w:id="390" w:name="_Toc140295056"/>
      <w:bookmarkStart w:id="391" w:name="_Toc140295340"/>
      <w:bookmarkStart w:id="392" w:name="_Toc144623901"/>
      <w:bookmarkStart w:id="393" w:name="_Toc144627767"/>
      <w:bookmarkStart w:id="394" w:name="_Toc144714007"/>
      <w:bookmarkStart w:id="395" w:name="_Toc150826655"/>
      <w:bookmarkStart w:id="396" w:name="_Toc150826689"/>
      <w:bookmarkStart w:id="397" w:name="_Toc150933259"/>
      <w:bookmarkStart w:id="398" w:name="_Toc150933285"/>
      <w:bookmarkStart w:id="399" w:name="_Toc150934806"/>
      <w:bookmarkStart w:id="400" w:name="_Toc150936919"/>
      <w:bookmarkStart w:id="401" w:name="_Toc150937006"/>
      <w:bookmarkStart w:id="402" w:name="_Toc151278378"/>
      <w:bookmarkStart w:id="403" w:name="_Toc151278458"/>
      <w:bookmarkStart w:id="404" w:name="_Toc153852529"/>
      <w:bookmarkStart w:id="405" w:name="_Toc153852908"/>
      <w:bookmarkStart w:id="406" w:name="_Toc153856904"/>
      <w:bookmarkStart w:id="407" w:name="_Toc153857708"/>
      <w:bookmarkStart w:id="408" w:name="_Toc158101254"/>
      <w:r>
        <w:rPr>
          <w:rStyle w:val="CharDivNo"/>
        </w:rPr>
        <w:t>Division 4</w:t>
      </w:r>
      <w:r>
        <w:t> — </w:t>
      </w:r>
      <w:r>
        <w:rPr>
          <w:rStyle w:val="CharDivText"/>
        </w:rPr>
        <w:t>Record keeping</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58101255"/>
      <w:r>
        <w:rPr>
          <w:rStyle w:val="CharSectno"/>
        </w:rPr>
        <w:t>9</w:t>
      </w:r>
      <w:r>
        <w:t>.</w:t>
      </w:r>
      <w:r>
        <w:tab/>
        <w:t>Brand owner to keep information</w:t>
      </w:r>
      <w:bookmarkEnd w:id="409"/>
    </w:p>
    <w:p>
      <w:pPr>
        <w:pStyle w:val="Subsection"/>
      </w:pPr>
      <w:r>
        <w:tab/>
        <w:t>(1)</w:t>
      </w:r>
      <w:r>
        <w:tab/>
        <w:t>A brand owner to which this Part applies must, for the financial year commencing on 1 July 2007 and for each financial year after that year, keep for at least 5 years the following information for each material used by the brand owner as consumer packaging (</w:t>
      </w:r>
      <w:r>
        <w:rPr>
          <w:rStyle w:val="CharDefText"/>
        </w:rPr>
        <w:t>consumer packaging material</w:t>
      </w:r>
      <w:r>
        <w:t xml:space="preserve">)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country-region">
        <w:smartTag w:uri="urn:schemas-microsoft-com:office:smarttags" w:element="place">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(2)</w:t>
      </w:r>
      <w:r>
        <w:tab/>
        <w:t>A brand owner to which this Part applies must, if requested in writing by the CEO, give the information mentioned in subregulation (1) to the CEO within 28 days after the day the CEO requests it.</w:t>
      </w:r>
    </w:p>
    <w:p>
      <w:pPr>
        <w:pStyle w:val="Penstart"/>
      </w:pPr>
      <w:r>
        <w:tab/>
        <w:t>Penalty: a fine of $5 000.</w:t>
      </w:r>
    </w:p>
    <w:p>
      <w:pPr>
        <w:pStyle w:val="Heading3"/>
      </w:pPr>
      <w:bookmarkStart w:id="410" w:name="_Toc134423433"/>
      <w:bookmarkStart w:id="411" w:name="_Toc134425345"/>
      <w:bookmarkStart w:id="412" w:name="_Toc134427292"/>
      <w:bookmarkStart w:id="413" w:name="_Toc134427853"/>
      <w:bookmarkStart w:id="414" w:name="_Toc134430403"/>
      <w:bookmarkStart w:id="415" w:name="_Toc134515507"/>
      <w:bookmarkStart w:id="416" w:name="_Toc134515534"/>
      <w:bookmarkStart w:id="417" w:name="_Toc134515561"/>
      <w:bookmarkStart w:id="418" w:name="_Toc134518188"/>
      <w:bookmarkStart w:id="419" w:name="_Toc134518864"/>
      <w:bookmarkStart w:id="420" w:name="_Toc136224616"/>
      <w:bookmarkStart w:id="421" w:name="_Toc136225209"/>
      <w:bookmarkStart w:id="422" w:name="_Toc136240894"/>
      <w:bookmarkStart w:id="423" w:name="_Toc136243215"/>
      <w:bookmarkStart w:id="424" w:name="_Toc136243549"/>
      <w:bookmarkStart w:id="425" w:name="_Toc136244201"/>
      <w:bookmarkStart w:id="426" w:name="_Toc136244951"/>
      <w:bookmarkStart w:id="427" w:name="_Toc136246685"/>
      <w:bookmarkStart w:id="428" w:name="_Toc136321355"/>
      <w:bookmarkStart w:id="429" w:name="_Toc136324109"/>
      <w:bookmarkStart w:id="430" w:name="_Toc136324139"/>
      <w:bookmarkStart w:id="431" w:name="_Toc136651539"/>
      <w:bookmarkStart w:id="432" w:name="_Toc136751188"/>
      <w:bookmarkStart w:id="433" w:name="_Toc136830547"/>
      <w:bookmarkStart w:id="434" w:name="_Toc136831667"/>
      <w:bookmarkStart w:id="435" w:name="_Toc136831848"/>
      <w:bookmarkStart w:id="436" w:name="_Toc136835916"/>
      <w:bookmarkStart w:id="437" w:name="_Toc137534310"/>
      <w:bookmarkStart w:id="438" w:name="_Toc137536069"/>
      <w:bookmarkStart w:id="439" w:name="_Toc138663279"/>
      <w:bookmarkStart w:id="440" w:name="_Toc139083234"/>
      <w:bookmarkStart w:id="441" w:name="_Toc139083260"/>
      <w:bookmarkStart w:id="442" w:name="_Toc139083287"/>
      <w:bookmarkStart w:id="443" w:name="_Toc139156887"/>
      <w:bookmarkStart w:id="444" w:name="_Toc139156913"/>
      <w:bookmarkStart w:id="445" w:name="_Toc139250198"/>
      <w:bookmarkStart w:id="446" w:name="_Toc139256678"/>
      <w:bookmarkStart w:id="447" w:name="_Toc139261671"/>
      <w:bookmarkStart w:id="448" w:name="_Toc139329862"/>
      <w:bookmarkStart w:id="449" w:name="_Toc139329945"/>
      <w:bookmarkStart w:id="450" w:name="_Toc139330395"/>
      <w:bookmarkStart w:id="451" w:name="_Toc139330441"/>
      <w:bookmarkStart w:id="452" w:name="_Toc139330467"/>
      <w:bookmarkStart w:id="453" w:name="_Toc140020321"/>
      <w:bookmarkStart w:id="454" w:name="_Toc140021963"/>
      <w:bookmarkStart w:id="455" w:name="_Toc140022000"/>
      <w:bookmarkStart w:id="456" w:name="_Toc140035439"/>
      <w:bookmarkStart w:id="457" w:name="_Toc140295058"/>
      <w:bookmarkStart w:id="458" w:name="_Toc140295342"/>
      <w:bookmarkStart w:id="459" w:name="_Toc144623903"/>
      <w:bookmarkStart w:id="460" w:name="_Toc144627769"/>
      <w:bookmarkStart w:id="461" w:name="_Toc144714009"/>
      <w:bookmarkStart w:id="462" w:name="_Toc150826657"/>
      <w:bookmarkStart w:id="463" w:name="_Toc150826691"/>
      <w:bookmarkStart w:id="464" w:name="_Toc150933261"/>
      <w:bookmarkStart w:id="465" w:name="_Toc150933287"/>
      <w:bookmarkStart w:id="466" w:name="_Toc150934808"/>
      <w:bookmarkStart w:id="467" w:name="_Toc150936921"/>
      <w:bookmarkStart w:id="468" w:name="_Toc150937008"/>
      <w:bookmarkStart w:id="469" w:name="_Toc151278380"/>
      <w:bookmarkStart w:id="470" w:name="_Toc151278460"/>
      <w:bookmarkStart w:id="471" w:name="_Toc153852531"/>
      <w:bookmarkStart w:id="472" w:name="_Toc153852910"/>
      <w:bookmarkStart w:id="473" w:name="_Toc153856906"/>
      <w:bookmarkStart w:id="474" w:name="_Toc153857710"/>
      <w:bookmarkStart w:id="475" w:name="_Toc158101256"/>
      <w:r>
        <w:rPr>
          <w:rStyle w:val="CharDivNo"/>
        </w:rPr>
        <w:t>Division 5</w:t>
      </w:r>
      <w:r>
        <w:t> — </w:t>
      </w:r>
      <w:r>
        <w:rPr>
          <w:rStyle w:val="CharDivText"/>
        </w:rPr>
        <w:t>Compliance notice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58101257"/>
      <w:r>
        <w:rPr>
          <w:rStyle w:val="CharSectno"/>
        </w:rPr>
        <w:t>10</w:t>
      </w:r>
      <w:r>
        <w:t>.</w:t>
      </w:r>
      <w:r>
        <w:tab/>
        <w:t>Authorised person may give notice to comply</w:t>
      </w:r>
      <w:bookmarkEnd w:id="476"/>
    </w:p>
    <w:p>
      <w:pPr>
        <w:pStyle w:val="Subsection"/>
      </w:pPr>
      <w:r>
        <w:tab/>
        <w:t>(1)</w:t>
      </w:r>
      <w:r>
        <w:tab/>
        <w:t>If an authorised person believes on reasonable grounds that a brand owner has contravened regulation 5 or 9,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5 or 9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477" w:name="_Toc134423435"/>
      <w:bookmarkStart w:id="478" w:name="_Toc134425347"/>
      <w:bookmarkStart w:id="479" w:name="_Toc134427294"/>
      <w:bookmarkStart w:id="480" w:name="_Toc134427855"/>
      <w:bookmarkStart w:id="481" w:name="_Toc134430405"/>
      <w:bookmarkStart w:id="482" w:name="_Toc134515509"/>
      <w:bookmarkStart w:id="483" w:name="_Toc134515536"/>
      <w:bookmarkStart w:id="484" w:name="_Toc134515563"/>
      <w:bookmarkStart w:id="485" w:name="_Toc134518190"/>
      <w:bookmarkStart w:id="486" w:name="_Toc134518866"/>
      <w:bookmarkStart w:id="487" w:name="_Toc136224618"/>
      <w:bookmarkStart w:id="488" w:name="_Toc136225211"/>
      <w:bookmarkStart w:id="489" w:name="_Toc136240896"/>
      <w:bookmarkStart w:id="490" w:name="_Toc136243217"/>
      <w:bookmarkStart w:id="491" w:name="_Toc136243551"/>
      <w:bookmarkStart w:id="492" w:name="_Toc136244203"/>
      <w:bookmarkStart w:id="493" w:name="_Toc136244953"/>
      <w:bookmarkStart w:id="494" w:name="_Toc136246687"/>
      <w:bookmarkStart w:id="495" w:name="_Toc136321357"/>
      <w:bookmarkStart w:id="496" w:name="_Toc136324111"/>
      <w:bookmarkStart w:id="497" w:name="_Toc136324141"/>
      <w:bookmarkStart w:id="498" w:name="_Toc136651541"/>
      <w:bookmarkStart w:id="499" w:name="_Toc136751190"/>
      <w:bookmarkStart w:id="500" w:name="_Toc136830549"/>
      <w:bookmarkStart w:id="501" w:name="_Toc136831669"/>
      <w:bookmarkStart w:id="502" w:name="_Toc136831850"/>
      <w:bookmarkStart w:id="503" w:name="_Toc136835918"/>
      <w:bookmarkStart w:id="504" w:name="_Toc137534312"/>
      <w:bookmarkStart w:id="505" w:name="_Toc137536071"/>
      <w:bookmarkStart w:id="506" w:name="_Toc138663281"/>
      <w:bookmarkStart w:id="507" w:name="_Toc139083236"/>
      <w:bookmarkStart w:id="508" w:name="_Toc139083262"/>
      <w:bookmarkStart w:id="509" w:name="_Toc139083289"/>
      <w:bookmarkStart w:id="510" w:name="_Toc139156889"/>
      <w:bookmarkStart w:id="511" w:name="_Toc139156915"/>
      <w:bookmarkStart w:id="512" w:name="_Toc139250200"/>
      <w:bookmarkStart w:id="513" w:name="_Toc139256680"/>
      <w:bookmarkStart w:id="514" w:name="_Toc139261673"/>
      <w:bookmarkStart w:id="515" w:name="_Toc139329864"/>
      <w:bookmarkStart w:id="516" w:name="_Toc139329947"/>
      <w:bookmarkStart w:id="517" w:name="_Toc139330397"/>
      <w:bookmarkStart w:id="518" w:name="_Toc139330443"/>
      <w:bookmarkStart w:id="519" w:name="_Toc139330469"/>
      <w:bookmarkStart w:id="520" w:name="_Toc140020323"/>
      <w:bookmarkStart w:id="521" w:name="_Toc140021965"/>
      <w:bookmarkStart w:id="522" w:name="_Toc140022002"/>
      <w:bookmarkStart w:id="523" w:name="_Toc140035441"/>
      <w:bookmarkStart w:id="524" w:name="_Toc140295060"/>
      <w:bookmarkStart w:id="525" w:name="_Toc140295344"/>
      <w:bookmarkStart w:id="526" w:name="_Toc144623905"/>
      <w:bookmarkStart w:id="527" w:name="_Toc144627771"/>
      <w:bookmarkStart w:id="528" w:name="_Toc144714011"/>
      <w:bookmarkStart w:id="529" w:name="_Toc150826659"/>
      <w:bookmarkStart w:id="530" w:name="_Toc150826693"/>
      <w:bookmarkStart w:id="531" w:name="_Toc150933263"/>
      <w:bookmarkStart w:id="532" w:name="_Toc150933289"/>
      <w:bookmarkStart w:id="533" w:name="_Toc150934810"/>
      <w:bookmarkStart w:id="534" w:name="_Toc150936923"/>
      <w:bookmarkStart w:id="535" w:name="_Toc150937010"/>
      <w:bookmarkStart w:id="536" w:name="_Toc151278382"/>
      <w:bookmarkStart w:id="537" w:name="_Toc151278462"/>
      <w:bookmarkStart w:id="538" w:name="_Toc153852533"/>
      <w:bookmarkStart w:id="539" w:name="_Toc153852912"/>
      <w:bookmarkStart w:id="540" w:name="_Toc153856908"/>
      <w:bookmarkStart w:id="541" w:name="_Toc153857712"/>
      <w:bookmarkStart w:id="542" w:name="_Toc158101258"/>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158101259"/>
      <w:r>
        <w:rPr>
          <w:rStyle w:val="CharSectno"/>
        </w:rPr>
        <w:t>11</w:t>
      </w:r>
      <w:r>
        <w:t>.</w:t>
      </w:r>
      <w:r>
        <w:tab/>
        <w:t>Local governments</w:t>
      </w:r>
      <w:bookmarkEnd w:id="543"/>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544" w:name="_Toc158101260"/>
      <w:r>
        <w:rPr>
          <w:rStyle w:val="CharSectno"/>
        </w:rPr>
        <w:t>12</w:t>
      </w:r>
      <w:r>
        <w:t>.</w:t>
      </w:r>
      <w:r>
        <w:tab/>
        <w:t>Other operators</w:t>
      </w:r>
      <w:bookmarkEnd w:id="544"/>
    </w:p>
    <w:p>
      <w:pPr>
        <w:pStyle w:val="Subsection"/>
      </w:pPr>
      <w:r>
        <w:tab/>
        <w:t>(1)</w:t>
      </w:r>
      <w:r>
        <w:tab/>
        <w:t>This regulation applies to a person, other than a local government, if the person operates a materials recovery system.</w:t>
      </w:r>
    </w:p>
    <w:p>
      <w:pPr>
        <w:pStyle w:val="Subsection"/>
      </w:pPr>
      <w:r>
        <w:tab/>
        <w:t>(2)</w:t>
      </w:r>
      <w:r>
        <w:tab/>
        <w:t>A person to whom this regulation applies must, within 2 months after the end of each financial year in which the system operates, give the CEO the information referred to in regulation 11(2)(a) to (f).</w:t>
      </w:r>
    </w:p>
    <w:p>
      <w:pPr>
        <w:pStyle w:val="Penstart"/>
      </w:pPr>
      <w:r>
        <w:tab/>
        <w:t>Penalty: a fine of $5 000.</w:t>
      </w:r>
    </w:p>
    <w:p>
      <w:pPr>
        <w:pStyle w:val="Heading2"/>
      </w:pPr>
      <w:bookmarkStart w:id="545" w:name="_Toc134515512"/>
      <w:bookmarkStart w:id="546" w:name="_Toc134515539"/>
      <w:bookmarkStart w:id="547" w:name="_Toc134515566"/>
      <w:bookmarkStart w:id="548" w:name="_Toc134518193"/>
      <w:bookmarkStart w:id="549" w:name="_Toc134518869"/>
      <w:bookmarkStart w:id="550" w:name="_Toc136224621"/>
      <w:bookmarkStart w:id="551" w:name="_Toc136225214"/>
      <w:bookmarkStart w:id="552" w:name="_Toc136240899"/>
      <w:bookmarkStart w:id="553" w:name="_Toc136243220"/>
      <w:bookmarkStart w:id="554" w:name="_Toc136243554"/>
      <w:bookmarkStart w:id="555" w:name="_Toc136244206"/>
      <w:bookmarkStart w:id="556" w:name="_Toc136244956"/>
      <w:bookmarkStart w:id="557" w:name="_Toc136246690"/>
      <w:bookmarkStart w:id="558" w:name="_Toc136321360"/>
      <w:bookmarkStart w:id="559" w:name="_Toc136324114"/>
      <w:bookmarkStart w:id="560" w:name="_Toc136324144"/>
      <w:bookmarkStart w:id="561" w:name="_Toc136651544"/>
      <w:bookmarkStart w:id="562" w:name="_Toc136751193"/>
      <w:bookmarkStart w:id="563" w:name="_Toc136830552"/>
      <w:bookmarkStart w:id="564" w:name="_Toc136831672"/>
      <w:bookmarkStart w:id="565" w:name="_Toc136831853"/>
      <w:bookmarkStart w:id="566" w:name="_Toc136835921"/>
      <w:bookmarkStart w:id="567" w:name="_Toc137534315"/>
      <w:bookmarkStart w:id="568" w:name="_Toc137536074"/>
      <w:bookmarkStart w:id="569" w:name="_Toc138663284"/>
      <w:bookmarkStart w:id="570" w:name="_Toc139083239"/>
      <w:bookmarkStart w:id="571" w:name="_Toc139083265"/>
      <w:bookmarkStart w:id="572" w:name="_Toc139083292"/>
      <w:bookmarkStart w:id="573" w:name="_Toc139156892"/>
      <w:bookmarkStart w:id="574" w:name="_Toc139156918"/>
      <w:bookmarkStart w:id="575" w:name="_Toc139250203"/>
      <w:bookmarkStart w:id="576" w:name="_Toc139256683"/>
      <w:bookmarkStart w:id="577" w:name="_Toc139261676"/>
      <w:bookmarkStart w:id="578" w:name="_Toc139329867"/>
      <w:bookmarkStart w:id="579" w:name="_Toc139329950"/>
      <w:bookmarkStart w:id="580" w:name="_Toc139330400"/>
      <w:bookmarkStart w:id="581" w:name="_Toc139330446"/>
      <w:bookmarkStart w:id="582" w:name="_Toc139330472"/>
      <w:bookmarkStart w:id="583" w:name="_Toc140020326"/>
      <w:bookmarkStart w:id="584" w:name="_Toc140021968"/>
      <w:bookmarkStart w:id="585" w:name="_Toc140022005"/>
      <w:bookmarkStart w:id="586" w:name="_Toc140035444"/>
      <w:bookmarkStart w:id="587" w:name="_Toc140295063"/>
      <w:bookmarkStart w:id="588" w:name="_Toc140295347"/>
      <w:bookmarkStart w:id="589" w:name="_Toc144623908"/>
      <w:bookmarkStart w:id="590" w:name="_Toc144627774"/>
      <w:bookmarkStart w:id="591" w:name="_Toc144714014"/>
      <w:bookmarkStart w:id="592" w:name="_Toc150826662"/>
      <w:bookmarkStart w:id="593" w:name="_Toc150826696"/>
      <w:bookmarkStart w:id="594" w:name="_Toc150933266"/>
      <w:bookmarkStart w:id="595" w:name="_Toc150933292"/>
      <w:bookmarkStart w:id="596" w:name="_Toc150934813"/>
      <w:bookmarkStart w:id="597" w:name="_Toc150936926"/>
      <w:bookmarkStart w:id="598" w:name="_Toc150937013"/>
      <w:bookmarkStart w:id="599" w:name="_Toc151278385"/>
      <w:bookmarkStart w:id="600" w:name="_Toc151278465"/>
      <w:bookmarkStart w:id="601" w:name="_Toc153852536"/>
      <w:bookmarkStart w:id="602" w:name="_Toc153852915"/>
      <w:bookmarkStart w:id="603" w:name="_Toc153856911"/>
      <w:bookmarkStart w:id="604" w:name="_Toc153857715"/>
      <w:bookmarkStart w:id="605" w:name="_Toc158101261"/>
      <w:r>
        <w:rPr>
          <w:rStyle w:val="CharPartNo"/>
        </w:rPr>
        <w:t>Part 4</w:t>
      </w:r>
      <w:r>
        <w:rPr>
          <w:rStyle w:val="CharDivNo"/>
        </w:rPr>
        <w:t> </w:t>
      </w:r>
      <w:r>
        <w:t>—</w:t>
      </w:r>
      <w:r>
        <w:rPr>
          <w:rStyle w:val="CharDivText"/>
        </w:rPr>
        <w:t> </w:t>
      </w:r>
      <w:r>
        <w:rPr>
          <w:rStyle w:val="CharPartText"/>
        </w:rPr>
        <w:t>Appeals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158101262"/>
      <w:r>
        <w:rPr>
          <w:rStyle w:val="CharSectno"/>
        </w:rPr>
        <w:t>13</w:t>
      </w:r>
      <w:r>
        <w:t>.</w:t>
      </w:r>
      <w:r>
        <w:tab/>
        <w:t>Appeals</w:t>
      </w:r>
      <w:bookmarkEnd w:id="606"/>
    </w:p>
    <w:p>
      <w:pPr>
        <w:pStyle w:val="Subsection"/>
      </w:pPr>
      <w:r>
        <w:tab/>
        <w:t>(1)</w:t>
      </w:r>
      <w:r>
        <w:tab/>
        <w:t xml:space="preserve">A brand owner aggrieved by — </w:t>
      </w:r>
    </w:p>
    <w:p>
      <w:pPr>
        <w:pStyle w:val="Indenta"/>
      </w:pPr>
      <w:r>
        <w:tab/>
        <w:t>(a)</w:t>
      </w:r>
      <w:r>
        <w:tab/>
        <w:t>the rejection of an action plan under regulation 6(1)(c); or</w:t>
      </w:r>
    </w:p>
    <w:p>
      <w:pPr>
        <w:pStyle w:val="Indenta"/>
      </w:pPr>
      <w:r>
        <w:tab/>
        <w:t>(b)</w:t>
      </w:r>
      <w:r>
        <w:tab/>
        <w:t>a decision of the CEO under regulation 7(1),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pPr>
      <w:bookmarkStart w:id="607" w:name="_Toc140295065"/>
      <w:bookmarkStart w:id="608" w:name="_Toc140295349"/>
      <w:bookmarkStart w:id="609" w:name="_Toc144623910"/>
      <w:bookmarkStart w:id="610" w:name="_Toc144627776"/>
      <w:bookmarkStart w:id="611" w:name="_Toc144714016"/>
      <w:bookmarkStart w:id="612" w:name="_Toc150826664"/>
      <w:bookmarkStart w:id="613" w:name="_Toc150826698"/>
      <w:bookmarkStart w:id="614" w:name="_Toc150933268"/>
      <w:bookmarkStart w:id="615" w:name="_Toc150933294"/>
      <w:bookmarkStart w:id="616" w:name="_Toc150934815"/>
      <w:bookmarkStart w:id="617" w:name="_Toc150936928"/>
      <w:bookmarkStart w:id="618" w:name="_Toc150937015"/>
      <w:bookmarkStart w:id="619" w:name="_Toc151278387"/>
      <w:bookmarkStart w:id="620" w:name="_Toc151278467"/>
      <w:bookmarkStart w:id="621" w:name="_Toc153852538"/>
      <w:bookmarkStart w:id="622" w:name="_Toc153852917"/>
      <w:bookmarkStart w:id="623" w:name="_Toc153856913"/>
      <w:bookmarkStart w:id="624" w:name="_Toc153857717"/>
      <w:bookmarkStart w:id="625" w:name="_Toc158101263"/>
      <w:bookmarkStart w:id="626" w:name="_Toc134423438"/>
      <w:bookmarkStart w:id="627" w:name="_Toc134425350"/>
      <w:bookmarkStart w:id="628" w:name="_Toc134427297"/>
      <w:bookmarkStart w:id="629" w:name="_Toc134427858"/>
      <w:bookmarkStart w:id="630" w:name="_Toc134430408"/>
      <w:bookmarkStart w:id="631" w:name="_Toc134515514"/>
      <w:bookmarkStart w:id="632" w:name="_Toc134515541"/>
      <w:bookmarkStart w:id="633" w:name="_Toc134515568"/>
      <w:bookmarkStart w:id="634" w:name="_Toc134518195"/>
      <w:bookmarkStart w:id="635" w:name="_Toc134518871"/>
      <w:bookmarkStart w:id="636" w:name="_Toc136224623"/>
      <w:bookmarkStart w:id="637" w:name="_Toc136225216"/>
      <w:bookmarkStart w:id="638" w:name="_Toc136240901"/>
      <w:bookmarkStart w:id="639" w:name="_Toc136243222"/>
      <w:bookmarkStart w:id="640" w:name="_Toc136243556"/>
      <w:bookmarkStart w:id="641" w:name="_Toc136244208"/>
      <w:bookmarkStart w:id="642" w:name="_Toc136244958"/>
      <w:bookmarkStart w:id="643" w:name="_Toc136246692"/>
      <w:bookmarkStart w:id="644" w:name="_Toc136321362"/>
      <w:bookmarkStart w:id="645" w:name="_Toc136324116"/>
      <w:bookmarkStart w:id="646" w:name="_Toc136324146"/>
      <w:bookmarkStart w:id="647" w:name="_Toc136651546"/>
      <w:bookmarkStart w:id="648" w:name="_Toc136751195"/>
      <w:bookmarkStart w:id="649" w:name="_Toc136830554"/>
      <w:bookmarkStart w:id="650" w:name="_Toc136831674"/>
      <w:bookmarkStart w:id="651" w:name="_Toc136831855"/>
      <w:bookmarkStart w:id="652" w:name="_Toc136835923"/>
      <w:bookmarkStart w:id="653" w:name="_Toc137534317"/>
      <w:bookmarkStart w:id="654" w:name="_Toc137536076"/>
      <w:bookmarkStart w:id="655" w:name="_Toc138663286"/>
      <w:bookmarkStart w:id="656" w:name="_Toc139083241"/>
      <w:bookmarkStart w:id="657" w:name="_Toc139083267"/>
      <w:bookmarkStart w:id="658" w:name="_Toc139083294"/>
      <w:bookmarkStart w:id="659" w:name="_Toc139156894"/>
      <w:bookmarkStart w:id="660" w:name="_Toc139156920"/>
      <w:bookmarkStart w:id="661" w:name="_Toc139250205"/>
      <w:bookmarkStart w:id="662" w:name="_Toc139256685"/>
      <w:bookmarkStart w:id="663" w:name="_Toc139261678"/>
      <w:bookmarkStart w:id="664" w:name="_Toc139329869"/>
      <w:bookmarkStart w:id="665" w:name="_Toc139329952"/>
      <w:bookmarkStart w:id="666" w:name="_Toc139330402"/>
      <w:bookmarkStart w:id="667" w:name="_Toc139330448"/>
      <w:bookmarkStart w:id="668" w:name="_Toc139330474"/>
      <w:bookmarkStart w:id="669" w:name="_Toc140020328"/>
      <w:bookmarkStart w:id="670" w:name="_Toc140021970"/>
      <w:bookmarkStart w:id="671" w:name="_Toc140022007"/>
      <w:bookmarkStart w:id="672" w:name="_Toc140035446"/>
      <w:r>
        <w:rPr>
          <w:rStyle w:val="CharPartNo"/>
        </w:rPr>
        <w:t>Part 5</w:t>
      </w:r>
      <w:r>
        <w:rPr>
          <w:rStyle w:val="CharDivNo"/>
        </w:rPr>
        <w:t> </w:t>
      </w:r>
      <w:r>
        <w:t>—</w:t>
      </w:r>
      <w:r>
        <w:rPr>
          <w:rStyle w:val="CharDivText"/>
        </w:rPr>
        <w:t> </w:t>
      </w:r>
      <w:r>
        <w:rPr>
          <w:rStyle w:val="CharPartText"/>
        </w:rPr>
        <w:t>Expiry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73" w:name="_Toc158101264"/>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Sectno"/>
        </w:rPr>
        <w:t>14</w:t>
      </w:r>
      <w:r>
        <w:t>.</w:t>
      </w:r>
      <w:r>
        <w:tab/>
        <w:t>Expiry</w:t>
      </w:r>
      <w:bookmarkEnd w:id="673"/>
    </w:p>
    <w:p>
      <w:pPr>
        <w:pStyle w:val="Subsection"/>
      </w:pPr>
      <w:r>
        <w:tab/>
      </w:r>
      <w:r>
        <w:tab/>
        <w:t>These regulations expire on 30 June 2012.</w:t>
      </w:r>
    </w:p>
    <w:p>
      <w:pPr>
        <w:pStyle w:val="Heading2"/>
      </w:pPr>
      <w:bookmarkStart w:id="674" w:name="_Toc134423440"/>
      <w:bookmarkStart w:id="675" w:name="_Toc134425352"/>
      <w:bookmarkStart w:id="676" w:name="_Toc134427299"/>
      <w:bookmarkStart w:id="677" w:name="_Toc134427860"/>
      <w:bookmarkStart w:id="678" w:name="_Toc134430410"/>
      <w:bookmarkStart w:id="679" w:name="_Toc134515516"/>
      <w:bookmarkStart w:id="680" w:name="_Toc134515543"/>
      <w:bookmarkStart w:id="681" w:name="_Toc134515570"/>
      <w:bookmarkStart w:id="682" w:name="_Toc134518197"/>
      <w:bookmarkStart w:id="683" w:name="_Toc134518873"/>
      <w:bookmarkStart w:id="684" w:name="_Toc136224625"/>
      <w:bookmarkStart w:id="685" w:name="_Toc136225218"/>
      <w:bookmarkStart w:id="686" w:name="_Toc136240903"/>
      <w:bookmarkStart w:id="687" w:name="_Toc136243224"/>
      <w:bookmarkStart w:id="688" w:name="_Toc136243558"/>
      <w:bookmarkStart w:id="689" w:name="_Toc136244210"/>
      <w:bookmarkStart w:id="690" w:name="_Toc136244960"/>
      <w:bookmarkStart w:id="691" w:name="_Toc136246694"/>
      <w:bookmarkStart w:id="692" w:name="_Toc136321364"/>
      <w:bookmarkStart w:id="693" w:name="_Toc136324118"/>
      <w:bookmarkStart w:id="694" w:name="_Toc136324148"/>
      <w:bookmarkStart w:id="695" w:name="_Toc136651548"/>
      <w:bookmarkStart w:id="696" w:name="_Toc136751197"/>
      <w:bookmarkStart w:id="697" w:name="_Toc136830556"/>
      <w:bookmarkStart w:id="698" w:name="_Toc136831676"/>
      <w:bookmarkStart w:id="699" w:name="_Toc136831857"/>
      <w:bookmarkStart w:id="700" w:name="_Toc136835925"/>
      <w:bookmarkStart w:id="701" w:name="_Toc137534319"/>
      <w:bookmarkStart w:id="702" w:name="_Toc137536078"/>
      <w:bookmarkStart w:id="703" w:name="_Toc138663288"/>
      <w:bookmarkStart w:id="704" w:name="_Toc139083243"/>
      <w:bookmarkStart w:id="705" w:name="_Toc139083269"/>
      <w:bookmarkStart w:id="706" w:name="_Toc139083296"/>
      <w:bookmarkStart w:id="707" w:name="_Toc139156896"/>
      <w:bookmarkStart w:id="708" w:name="_Toc139156922"/>
      <w:bookmarkStart w:id="709" w:name="_Toc139250207"/>
      <w:bookmarkStart w:id="710" w:name="_Toc139256687"/>
      <w:bookmarkStart w:id="711" w:name="_Toc139261680"/>
      <w:bookmarkStart w:id="712" w:name="_Toc139329871"/>
      <w:bookmarkStart w:id="713" w:name="_Toc139329954"/>
      <w:bookmarkStart w:id="714" w:name="_Toc139330404"/>
      <w:bookmarkStart w:id="715" w:name="_Toc139330450"/>
      <w:bookmarkStart w:id="716" w:name="_Toc139330476"/>
      <w:bookmarkStart w:id="717" w:name="_Toc140020330"/>
      <w:bookmarkStart w:id="718" w:name="_Toc140021972"/>
      <w:bookmarkStart w:id="719" w:name="_Toc140022009"/>
      <w:bookmarkStart w:id="720" w:name="_Toc140035448"/>
      <w:bookmarkStart w:id="721" w:name="_Toc140295067"/>
      <w:bookmarkStart w:id="722" w:name="_Toc140295351"/>
      <w:bookmarkStart w:id="723" w:name="_Toc144623912"/>
      <w:bookmarkStart w:id="724" w:name="_Toc144627778"/>
      <w:bookmarkStart w:id="725" w:name="_Toc144714018"/>
      <w:bookmarkStart w:id="726" w:name="_Toc150826666"/>
      <w:bookmarkStart w:id="727" w:name="_Toc150826700"/>
      <w:bookmarkStart w:id="728" w:name="_Toc150933270"/>
      <w:bookmarkStart w:id="729" w:name="_Toc150933296"/>
      <w:bookmarkStart w:id="730" w:name="_Toc150934817"/>
      <w:bookmarkStart w:id="731" w:name="_Toc150936930"/>
      <w:bookmarkStart w:id="732" w:name="_Toc150937017"/>
      <w:bookmarkStart w:id="733" w:name="_Toc151278389"/>
      <w:bookmarkStart w:id="734" w:name="_Toc151278469"/>
      <w:bookmarkStart w:id="735" w:name="_Toc153852540"/>
      <w:bookmarkStart w:id="736" w:name="_Toc153852919"/>
      <w:bookmarkStart w:id="737" w:name="_Toc153856915"/>
      <w:bookmarkStart w:id="738" w:name="_Toc153857719"/>
      <w:bookmarkStart w:id="739" w:name="_Toc158101265"/>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Environmental Protection Regulations 1987</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423332724"/>
      <w:bookmarkStart w:id="741" w:name="_Toc425219443"/>
      <w:bookmarkStart w:id="742" w:name="_Toc426249310"/>
      <w:bookmarkStart w:id="743" w:name="_Toc449924706"/>
      <w:bookmarkStart w:id="744" w:name="_Toc449947724"/>
      <w:bookmarkStart w:id="745" w:name="_Toc454185715"/>
      <w:bookmarkStart w:id="746" w:name="_Toc515958688"/>
      <w:bookmarkStart w:id="747" w:name="_Toc158101266"/>
      <w:r>
        <w:rPr>
          <w:rStyle w:val="CharSectno"/>
        </w:rPr>
        <w:t>15</w:t>
      </w:r>
      <w:r>
        <w:rPr>
          <w:snapToGrid w:val="0"/>
        </w:rPr>
        <w:t>.</w:t>
      </w:r>
      <w:r>
        <w:rPr>
          <w:snapToGrid w:val="0"/>
        </w:rPr>
        <w:tab/>
        <w:t xml:space="preserve">The </w:t>
      </w:r>
      <w:r>
        <w:rPr>
          <w:i/>
        </w:rPr>
        <w:t xml:space="preserve">Environmental Protection Regulations 1987 </w:t>
      </w:r>
      <w:r>
        <w:rPr>
          <w:snapToGrid w:val="0"/>
        </w:rPr>
        <w:t>amended</w:t>
      </w:r>
      <w:bookmarkEnd w:id="740"/>
      <w:bookmarkEnd w:id="741"/>
      <w:bookmarkEnd w:id="742"/>
      <w:bookmarkEnd w:id="743"/>
      <w:bookmarkEnd w:id="744"/>
      <w:bookmarkEnd w:id="745"/>
      <w:bookmarkEnd w:id="746"/>
      <w:bookmarkEnd w:id="747"/>
    </w:p>
    <w:p>
      <w:pPr>
        <w:pStyle w:val="Subsection"/>
      </w:pPr>
      <w:r>
        <w:tab/>
        <w:t>(1)</w:t>
      </w:r>
      <w:r>
        <w:tab/>
        <w:t xml:space="preserve">The amendments in </w:t>
      </w:r>
      <w:r>
        <w:rPr>
          <w:spacing w:val="-2"/>
        </w:rPr>
        <w:t xml:space="preserve">this regulation </w:t>
      </w:r>
      <w:r>
        <w:t xml:space="preserve">are to the </w:t>
      </w:r>
      <w:r>
        <w:rPr>
          <w:i/>
          <w:iCs/>
        </w:rPr>
        <w:t>Environmental Protection Regulations 1987</w:t>
      </w:r>
      <w:r>
        <w:t>*.</w:t>
      </w:r>
    </w:p>
    <w:p>
      <w:pPr>
        <w:pStyle w:val="Subsection"/>
        <w:tabs>
          <w:tab w:val="clear" w:pos="595"/>
          <w:tab w:val="left" w:pos="1134"/>
        </w:tabs>
        <w:ind w:left="1134" w:hanging="1134"/>
        <w:rPr>
          <w:i/>
        </w:rPr>
      </w:pPr>
      <w:r>
        <w:tab/>
        <w:t>[*</w:t>
      </w:r>
      <w:r>
        <w:tab/>
      </w:r>
      <w:r>
        <w:rPr>
          <w:i/>
        </w:rPr>
        <w:t>Reprint5 as at 11 March 2005</w:t>
      </w:r>
      <w:r>
        <w:rPr>
          <w:i/>
          <w:spacing w:val="-2"/>
        </w:rPr>
        <w:t>.</w:t>
      </w:r>
    </w:p>
    <w:p>
      <w:pPr>
        <w:pStyle w:val="Subsection"/>
        <w:tabs>
          <w:tab w:val="clear" w:pos="595"/>
          <w:tab w:val="left" w:pos="1134"/>
        </w:tabs>
        <w:spacing w:before="0"/>
        <w:ind w:left="1134" w:hanging="1134"/>
      </w:pPr>
      <w:r>
        <w:rPr>
          <w:i/>
        </w:rPr>
        <w:tab/>
      </w:r>
      <w:r>
        <w:rPr>
          <w:i/>
        </w:rPr>
        <w:tab/>
        <w:t>For amendments to 1 February 2007 see Western Australian Legislation Information Tables for 2005, Table 4 and Gazette 29 September 2006</w:t>
      </w:r>
      <w:r>
        <w:t>.]</w:t>
      </w:r>
    </w:p>
    <w:p>
      <w:pPr>
        <w:pStyle w:val="Subsection"/>
      </w:pPr>
      <w:r>
        <w:tab/>
        <w:t>(2)</w:t>
      </w:r>
      <w:r>
        <w:tab/>
        <w:t>Schedule 6 is amended as follows:</w:t>
      </w:r>
    </w:p>
    <w:p>
      <w:pPr>
        <w:pStyle w:val="Indenta"/>
      </w:pPr>
      <w:r>
        <w:tab/>
        <w:t>(a)</w:t>
      </w:r>
      <w:r>
        <w:tab/>
        <w:t xml:space="preserve">by deleting the entry relating to the </w:t>
      </w:r>
      <w:r>
        <w:rPr>
          <w:i/>
          <w:iCs/>
        </w:rPr>
        <w:t>Environmental Protection (NEPM — UPM) Regulations 2003</w:t>
      </w:r>
      <w:r>
        <w:t>;</w:t>
      </w:r>
    </w:p>
    <w:p>
      <w:pPr>
        <w:pStyle w:val="Indenta"/>
      </w:pPr>
      <w:r>
        <w:tab/>
        <w:t>(b)</w:t>
      </w:r>
      <w:r>
        <w:tab/>
        <w:t xml:space="preserve">by inserting at the end of the Schedule — </w:t>
      </w:r>
    </w:p>
    <w:p>
      <w:pPr>
        <w:pStyle w:val="Indenta"/>
        <w:ind w:hanging="765"/>
      </w:pPr>
      <w:r>
        <w:t xml:space="preserve">“    </w:t>
      </w:r>
    </w:p>
    <w:p>
      <w:pPr>
        <w:pStyle w:val="MiscellaneousHeading"/>
        <w:spacing w:before="0" w:after="60"/>
        <w:rPr>
          <w:b/>
          <w:bCs/>
        </w:rPr>
      </w:pPr>
      <w:r>
        <w:rPr>
          <w:b/>
          <w:bCs/>
        </w:rPr>
        <w:t>Table</w:t>
      </w: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
            </w:pPr>
            <w:r>
              <w:rPr>
                <w:i/>
                <w:iCs/>
              </w:rPr>
              <w:t>Environmental Protection (NEPM-UPM) Regulations 2007</w:t>
            </w:r>
          </w:p>
        </w:tc>
        <w:tc>
          <w:tcPr>
            <w:tcW w:w="1701" w:type="dxa"/>
            <w:tcBorders>
              <w:top w:val="single" w:sz="4" w:space="0" w:color="auto"/>
              <w:bottom w:val="single" w:sz="4" w:space="0" w:color="auto"/>
            </w:tcBorders>
          </w:tcPr>
          <w:p>
            <w:pPr>
              <w:pStyle w:val="zytable"/>
              <w:ind w:left="34" w:right="33" w:hanging="34"/>
              <w:rPr>
                <w:b/>
              </w:rPr>
            </w:pPr>
          </w:p>
        </w:tc>
        <w:tc>
          <w:tcPr>
            <w:tcW w:w="1701" w:type="dxa"/>
            <w:tcBorders>
              <w:top w:val="single" w:sz="4" w:space="0" w:color="auto"/>
              <w:bottom w:val="single" w:sz="4" w:space="0" w:color="auto"/>
            </w:tcBorders>
          </w:tcPr>
          <w:p>
            <w:pPr>
              <w:pStyle w:val="yTable"/>
            </w:pPr>
          </w:p>
        </w:tc>
      </w:tr>
      <w:tr>
        <w:tc>
          <w:tcPr>
            <w:tcW w:w="2551" w:type="dxa"/>
          </w:tcPr>
          <w:p>
            <w:pPr>
              <w:pStyle w:val="yTable"/>
              <w:tabs>
                <w:tab w:val="left" w:pos="317"/>
              </w:tabs>
            </w:pPr>
            <w:r>
              <w:t>1.</w:t>
            </w:r>
            <w:r>
              <w:tab/>
              <w:t>regulation 5(1)(a)</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2.</w:t>
            </w:r>
            <w:r>
              <w:tab/>
              <w:t>regulation 5(1)(b)</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3.</w:t>
            </w:r>
            <w:r>
              <w:tab/>
              <w:t>regulation 8(1)</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4.</w:t>
            </w:r>
            <w:r>
              <w:tab/>
              <w:t>regulation 8(2)</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5.</w:t>
            </w:r>
            <w:r>
              <w:tab/>
              <w:t>regulation 9(1)</w:t>
            </w:r>
          </w:p>
        </w:tc>
        <w:tc>
          <w:tcPr>
            <w:tcW w:w="1701" w:type="dxa"/>
          </w:tcPr>
          <w:p>
            <w:pPr>
              <w:pStyle w:val="yTable"/>
              <w:jc w:val="center"/>
            </w:pPr>
            <w:r>
              <w:t>250</w:t>
            </w:r>
          </w:p>
        </w:tc>
        <w:tc>
          <w:tcPr>
            <w:tcW w:w="1701" w:type="dxa"/>
          </w:tcPr>
          <w:p>
            <w:pPr>
              <w:pStyle w:val="yTable"/>
              <w:jc w:val="center"/>
            </w:pPr>
            <w:r>
              <w:t>500</w:t>
            </w:r>
          </w:p>
        </w:tc>
      </w:tr>
      <w:tr>
        <w:tc>
          <w:tcPr>
            <w:tcW w:w="2551" w:type="dxa"/>
            <w:tcBorders>
              <w:bottom w:val="single" w:sz="4" w:space="0" w:color="auto"/>
            </w:tcBorders>
          </w:tcPr>
          <w:p>
            <w:pPr>
              <w:pStyle w:val="yTable"/>
              <w:tabs>
                <w:tab w:val="left" w:pos="317"/>
              </w:tabs>
            </w:pPr>
            <w:r>
              <w:t>6.</w:t>
            </w:r>
            <w:r>
              <w:tab/>
              <w:t>regulation 9(2)</w:t>
            </w:r>
          </w:p>
        </w:tc>
        <w:tc>
          <w:tcPr>
            <w:tcW w:w="1701" w:type="dxa"/>
            <w:tcBorders>
              <w:bottom w:val="single" w:sz="4" w:space="0" w:color="auto"/>
            </w:tcBorders>
          </w:tcPr>
          <w:p>
            <w:pPr>
              <w:pStyle w:val="yTable"/>
              <w:jc w:val="center"/>
            </w:pPr>
            <w:r>
              <w:t>250</w:t>
            </w:r>
          </w:p>
        </w:tc>
        <w:tc>
          <w:tcPr>
            <w:tcW w:w="1701" w:type="dxa"/>
            <w:tcBorders>
              <w:bottom w:val="single" w:sz="4" w:space="0" w:color="auto"/>
            </w:tcBorders>
          </w:tcPr>
          <w:p>
            <w:pPr>
              <w:pStyle w:val="yTable"/>
              <w:jc w:val="center"/>
            </w:pPr>
            <w:r>
              <w:t>500</w:t>
            </w:r>
          </w:p>
        </w:tc>
      </w:tr>
    </w:tbl>
    <w:p>
      <w:pPr>
        <w:pStyle w:val="Indenta"/>
        <w:jc w:val="right"/>
      </w:pPr>
      <w:r>
        <w:t xml:space="preserve">    ”.</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48" w:name="_Toc113695922"/>
    </w:p>
    <w:p>
      <w:pPr>
        <w:pStyle w:val="nHeading2"/>
      </w:pPr>
      <w:r>
        <w:t>Notes</w:t>
      </w:r>
      <w:bookmarkEnd w:id="74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(NEPM-UPM) Regulations 2007</w:t>
      </w:r>
      <w:r>
        <w:rPr>
          <w:noProof/>
          <w:snapToGrid w:val="0"/>
          <w:vertAlign w:val="superscript"/>
        </w:rPr>
        <w:t> 2</w:t>
      </w:r>
      <w:r>
        <w:rPr>
          <w:snapToGrid w:val="0"/>
        </w:rPr>
        <w:t>.  The following table contains information about those regulations.</w:t>
      </w:r>
    </w:p>
    <w:p>
      <w:pPr>
        <w:pStyle w:val="nHeading3"/>
      </w:pPr>
      <w:bookmarkStart w:id="749" w:name="_Toc70311430"/>
      <w:bookmarkStart w:id="750" w:name="_Toc113695923"/>
      <w:r>
        <w:t>Compilation table</w:t>
      </w:r>
      <w:bookmarkEnd w:id="749"/>
      <w:bookmarkEnd w:id="7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Environmental Protection (NEPM-UPM) Regulations 2007</w:t>
            </w:r>
          </w:p>
        </w:tc>
        <w:tc>
          <w:tcPr>
            <w:tcW w:w="1276" w:type="dxa"/>
          </w:tcPr>
          <w:p>
            <w:pPr>
              <w:pStyle w:val="nTable"/>
              <w:spacing w:after="40"/>
              <w:rPr>
                <w:sz w:val="19"/>
              </w:rPr>
            </w:pPr>
            <w:r>
              <w:rPr>
                <w:sz w:val="19"/>
              </w:rPr>
              <w:t>27 Apr 2007 p. 1793</w:t>
            </w:r>
            <w:r>
              <w:rPr>
                <w:sz w:val="19"/>
              </w:rPr>
              <w:noBreakHyphen/>
              <w:t>812</w:t>
            </w:r>
          </w:p>
        </w:tc>
        <w:tc>
          <w:tcPr>
            <w:tcW w:w="2693" w:type="dxa"/>
          </w:tcPr>
          <w:p>
            <w:pPr>
              <w:pStyle w:val="nTable"/>
              <w:spacing w:after="40"/>
              <w:rPr>
                <w:sz w:val="19"/>
              </w:rPr>
            </w:pPr>
            <w:r>
              <w:rPr>
                <w:sz w:val="19"/>
              </w:rPr>
              <w:t>27 Apr 2007</w:t>
            </w:r>
          </w:p>
        </w:tc>
      </w:tr>
    </w:tbl>
    <w:p>
      <w:pPr>
        <w:pStyle w:val="nSubsection"/>
      </w:pPr>
      <w:r>
        <w:rPr>
          <w:vertAlign w:val="superscript"/>
        </w:rPr>
        <w:t>2</w:t>
      </w:r>
      <w:r>
        <w:tab/>
        <w:t>These regulations expire on 30 June 2012 (see r. 14).</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bookmarkStart w:id="751" w:name="UpToHere"/>
      <w:bookmarkEnd w:id="751"/>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(NEPM-UPM) Regulations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(NEPM-UPM)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(NEPM-UPM)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(NEPM-UPM)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(NEPM-UPM)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(NEPM-UPM)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(NEPM-UPM) Regulations 2007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(NEPM-UPM)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2733</Words>
  <Characters>13641</Characters>
  <Application>Microsoft Office Word</Application>
  <DocSecurity>0</DocSecurity>
  <Lines>470</Lines>
  <Paragraphs>308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Responsibilities of certain brand owners</vt:lpstr>
      <vt:lpstr>        Division 1 — Application</vt:lpstr>
      <vt:lpstr>        Division 2 — Action plans</vt:lpstr>
      <vt:lpstr>        Division 3 — Targets</vt:lpstr>
      <vt:lpstr>        Division 4 — Record keeping</vt:lpstr>
      <vt:lpstr>        Division 5 — Compliance notice</vt:lpstr>
      <vt:lpstr>    Part 3 — Operators of materials recovery systems to give information to the CEO</vt:lpstr>
      <vt:lpstr>    Part 4 — Appeals</vt:lpstr>
      <vt:lpstr>    Part 5 — Expiry</vt:lpstr>
      <vt:lpstr>    Part 6 — Amendments to the Environmental Protection Regulations 1987</vt:lpstr>
      <vt:lpstr>    Notes</vt:lpstr>
    </vt:vector>
  </TitlesOfParts>
  <Manager/>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2007 - 00-a0-06</dc:title>
  <dc:subject/>
  <dc:creator/>
  <cp:keywords/>
  <dc:description/>
  <cp:lastModifiedBy>svcMRProcess</cp:lastModifiedBy>
  <cp:revision>4</cp:revision>
  <cp:lastPrinted>2007-02-01T05:52:00Z</cp:lastPrinted>
  <dcterms:created xsi:type="dcterms:W3CDTF">2020-02-20T08:00:00Z</dcterms:created>
  <dcterms:modified xsi:type="dcterms:W3CDTF">2020-02-20T08:00:00Z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 2007 p  1793-812 </vt:lpwstr>
  </property>
  <property fmtid="{D5CDD505-2E9C-101B-9397-08002B2CF9AE}" pid="3" name="CommencementDate">
    <vt:lpwstr>20070427</vt:lpwstr>
  </property>
  <property fmtid="{D5CDD505-2E9C-101B-9397-08002B2CF9AE}" pid="4" name="OwlsUID">
    <vt:i4>38678</vt:i4>
  </property>
  <property fmtid="{D5CDD505-2E9C-101B-9397-08002B2CF9AE}" pid="5" name="AsAtDate">
    <vt:lpwstr>27 Apr 2007</vt:lpwstr>
  </property>
  <property fmtid="{D5CDD505-2E9C-101B-9397-08002B2CF9AE}" pid="6" name="Suffix">
    <vt:lpwstr>00-a0-06</vt:lpwstr>
  </property>
  <property fmtid="{D5CDD505-2E9C-101B-9397-08002B2CF9AE}" pid="7" name="DocumentType">
    <vt:lpwstr>Reg</vt:lpwstr>
  </property>
</Properties>
</file>