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Environmental Protection Act 1986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(Unauthorised Discharges) Regulations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(Unauthorised Discharges)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_Toc418071617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_Toc418071618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Discharges of certain materials prohibited</w:t>
      </w:r>
      <w:r>
        <w:tab/>
      </w:r>
      <w:r>
        <w:fldChar w:fldCharType="begin"/>
      </w:r>
      <w:r>
        <w:instrText xml:space="preserve"> PAGEREF _Toc418071619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Discharges of visible smoke from burning certain materials and dark smoke prohibited</w:t>
      </w:r>
      <w:r>
        <w:tab/>
      </w:r>
      <w:r>
        <w:fldChar w:fldCharType="begin"/>
      </w:r>
      <w:r>
        <w:instrText xml:space="preserve"> PAGEREF _Toc418071620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Defences</w:t>
      </w:r>
      <w:r>
        <w:tab/>
      </w:r>
      <w:r>
        <w:fldChar w:fldCharType="begin"/>
      </w:r>
      <w:r>
        <w:instrText xml:space="preserve"> PAGEREF _Toc418071621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</w:r>
      <w:r>
        <w:rPr>
          <w:i/>
        </w:rPr>
        <w:t>Environmental Protection Regulations 1987</w:t>
      </w:r>
      <w:r>
        <w:t xml:space="preserve"> amended</w:t>
      </w:r>
      <w:r>
        <w:tab/>
      </w:r>
      <w:r>
        <w:fldChar w:fldCharType="begin"/>
      </w:r>
      <w:r>
        <w:instrText xml:space="preserve"> PAGEREF _Toc418071622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</w:rPr>
        <w:t>Clean Air Regulations 1967</w:t>
      </w:r>
      <w:r>
        <w:t xml:space="preserve"> </w:t>
      </w:r>
      <w:r>
        <w:rPr>
          <w:snapToGrid w:val="0"/>
        </w:rPr>
        <w:t>repealed</w:t>
      </w:r>
      <w:r>
        <w:tab/>
      </w:r>
      <w:r>
        <w:fldChar w:fldCharType="begin"/>
      </w:r>
      <w:r>
        <w:instrText xml:space="preserve"> PAGEREF _Toc418071623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Materials that must not be discharged into the environment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Materials that must not be burnt so as to discharge visible smoke into the environment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_Toc418071627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Environmental Protection Act 1986</w:t>
      </w:r>
    </w:p>
    <w:p>
      <w:pPr>
        <w:pStyle w:val="NameofActReg"/>
        <w:spacing w:before="0" w:after="480"/>
      </w:pPr>
      <w:r>
        <w:t>Environmental Protection (Unauthorised Discharges) Regulations 2004</w:t>
      </w:r>
    </w:p>
    <w:p>
      <w:pPr>
        <w:pStyle w:val="Heading5"/>
      </w:pPr>
      <w:bookmarkStart w:id="3" w:name="_Toc378239399"/>
      <w:bookmarkStart w:id="4" w:name="_Toc41807161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Environmental Protection (Unauthorised Discharges) Regulations 2004</w:t>
      </w:r>
      <w:r>
        <w:t>.</w:t>
      </w:r>
    </w:p>
    <w:p>
      <w:pPr>
        <w:pStyle w:val="Heading5"/>
      </w:pPr>
      <w:bookmarkStart w:id="5" w:name="_Toc378239400"/>
      <w:bookmarkStart w:id="6" w:name="_Toc418071618"/>
      <w:r>
        <w:rPr>
          <w:rStyle w:val="CharSectno"/>
        </w:rPr>
        <w:t>2</w:t>
      </w:r>
      <w:r>
        <w:t>.</w:t>
      </w:r>
      <w:r>
        <w:tab/>
        <w:t>Interpretation</w:t>
      </w:r>
      <w:bookmarkEnd w:id="5"/>
      <w:bookmarkEnd w:id="6"/>
    </w:p>
    <w:p>
      <w:pPr>
        <w:pStyle w:val="Subsection"/>
      </w:pPr>
      <w:r>
        <w:tab/>
      </w:r>
      <w:r>
        <w:tab/>
        <w:t xml:space="preserve">In these regulations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dark smoke</w:t>
      </w:r>
      <w:r>
        <w:t xml:space="preserve"> means smoke that, if compared with a chart known as the Australian Miniature Smoke Chart (AS 3543 1989), would appear darker than shade 1 on that chart.</w:t>
      </w:r>
    </w:p>
    <w:p>
      <w:pPr>
        <w:pStyle w:val="Heading5"/>
      </w:pPr>
      <w:bookmarkStart w:id="7" w:name="_Toc378239401"/>
      <w:bookmarkStart w:id="8" w:name="_Toc418071619"/>
      <w:r>
        <w:rPr>
          <w:rStyle w:val="CharSectno"/>
        </w:rPr>
        <w:t>3</w:t>
      </w:r>
      <w:r>
        <w:t>.</w:t>
      </w:r>
      <w:r>
        <w:tab/>
        <w:t>Discharges of certain materials prohibited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A person who, in the course of or in connection with a business or a commercial activity, causes or allows a material listed in Schedule 1 to be discharged into the environment commits an offence.</w:t>
      </w:r>
    </w:p>
    <w:p>
      <w:pPr>
        <w:pStyle w:val="Penstart"/>
      </w:pPr>
      <w:r>
        <w:tab/>
        <w:t>Penalty: $5 000.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Subregulation (1) does not apply if — </w:t>
      </w:r>
    </w:p>
    <w:p>
      <w:pPr>
        <w:pStyle w:val="Indenta"/>
      </w:pPr>
      <w:r>
        <w:tab/>
        <w:t>(a)</w:t>
      </w:r>
      <w:r>
        <w:tab/>
        <w:t xml:space="preserve">the material discharged into the environment is a detergent and the detergent — </w:t>
      </w:r>
    </w:p>
    <w:p>
      <w:pPr>
        <w:pStyle w:val="Indenti"/>
      </w:pPr>
      <w:r>
        <w:tab/>
        <w:t>(i)</w:t>
      </w:r>
      <w:r>
        <w:tab/>
        <w:t>was used as a wetting agent on a lawn or in a garden; and</w:t>
      </w:r>
    </w:p>
    <w:p>
      <w:pPr>
        <w:pStyle w:val="Indenti"/>
      </w:pPr>
      <w:r>
        <w:tab/>
        <w:t>(ii)</w:t>
      </w:r>
      <w:r>
        <w:tab/>
        <w:t>was applied or used at a frequency or rate that was not in excess of that recommended by the manufacturer of the wetting agent;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</w:pPr>
      <w:r>
        <w:tab/>
        <w:t>(b)</w:t>
      </w:r>
      <w:r>
        <w:tab/>
        <w:t>the material discharged into the environment is a pesticide or horticultural product and the pesticide or horticultural product was applied or used at a frequency or rate that was not in excess of that recommended by its manufacturer.</w:t>
      </w:r>
    </w:p>
    <w:p>
      <w:pPr>
        <w:pStyle w:val="Heading5"/>
      </w:pPr>
      <w:bookmarkStart w:id="9" w:name="_Toc378239402"/>
      <w:bookmarkStart w:id="10" w:name="_Toc418071620"/>
      <w:r>
        <w:rPr>
          <w:rStyle w:val="CharSectno"/>
        </w:rPr>
        <w:t>4</w:t>
      </w:r>
      <w:r>
        <w:t>.</w:t>
      </w:r>
      <w:r>
        <w:tab/>
        <w:t>Discharges of visible smoke from burning certain materials and dark smoke prohibited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>A person who, in the course of or in connection with a business or a commercial activity, burns or allows a material listed in Schedule 2 to be burnt so as to cause or allow visible smoke to be discharged into the environment commits an offence.</w:t>
      </w:r>
    </w:p>
    <w:p>
      <w:pPr>
        <w:pStyle w:val="Penstart"/>
      </w:pPr>
      <w:r>
        <w:tab/>
        <w:t>Penalty: $5 000.</w:t>
      </w:r>
    </w:p>
    <w:p>
      <w:pPr>
        <w:pStyle w:val="Subsection"/>
      </w:pPr>
      <w:r>
        <w:tab/>
        <w:t>(2)</w:t>
      </w:r>
      <w:r>
        <w:tab/>
        <w:t>A person who, in the course of or in connection with a business or a commercial activity, burns or allows any material to be burnt so as to cause or allow dark smoke to be discharged into the environment for more than 4 minutes in any hour commits an offence.</w:t>
      </w:r>
    </w:p>
    <w:p>
      <w:pPr>
        <w:pStyle w:val="Penstart"/>
      </w:pPr>
      <w:r>
        <w:tab/>
        <w:t>Penalty: $5 000.</w:t>
      </w:r>
    </w:p>
    <w:p>
      <w:pPr>
        <w:pStyle w:val="Subsection"/>
      </w:pPr>
      <w:r>
        <w:tab/>
        <w:t>(3)</w:t>
      </w:r>
      <w:r>
        <w:tab/>
        <w:t>Subregulation (2) does not apply to a solid or liquid burnt in a vehicle’s engine on a road, a locomotive’s engine while the locomotive is operating on a railway line or an aircraft’s engine while the aircraft is taking off, landing, taxiing or in flight.</w:t>
      </w:r>
    </w:p>
    <w:p>
      <w:pPr>
        <w:pStyle w:val="Heading5"/>
      </w:pPr>
      <w:bookmarkStart w:id="11" w:name="_Toc378239403"/>
      <w:bookmarkStart w:id="12" w:name="_Toc418071621"/>
      <w:r>
        <w:rPr>
          <w:rStyle w:val="CharSectno"/>
        </w:rPr>
        <w:t>5</w:t>
      </w:r>
      <w:r>
        <w:t>.</w:t>
      </w:r>
      <w:r>
        <w:tab/>
        <w:t>Defences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In proceedings against a person for a breach of regulation 3(1) or 4(1) or (2), it is a defence to show that the discharge — </w:t>
      </w:r>
    </w:p>
    <w:p>
      <w:pPr>
        <w:pStyle w:val="Indenta"/>
      </w:pPr>
      <w:r>
        <w:tab/>
        <w:t>(a)</w:t>
      </w:r>
      <w:r>
        <w:tab/>
        <w:t>occurred in accordance with an authorisation given in the exercise of a power under another written law;</w:t>
      </w:r>
    </w:p>
    <w:p>
      <w:pPr>
        <w:pStyle w:val="Indenta"/>
      </w:pPr>
      <w:r>
        <w:tab/>
        <w:t>(b)</w:t>
      </w:r>
      <w:r>
        <w:tab/>
        <w:t>occurred as a result of an emergency or an accident or malfunction caused otherwise than by the negligence of that person; or</w:t>
      </w:r>
    </w:p>
    <w:p>
      <w:pPr>
        <w:pStyle w:val="Indenta"/>
      </w:pPr>
      <w:r>
        <w:tab/>
        <w:t>(c)</w:t>
      </w:r>
      <w:r>
        <w:tab/>
        <w:t>occurred for the purpose of preventing danger to human life or health or irreversible damage to a significant part of the environment.</w:t>
      </w:r>
    </w:p>
    <w:p>
      <w:pPr>
        <w:pStyle w:val="Heading5"/>
      </w:pPr>
      <w:bookmarkStart w:id="13" w:name="_Toc378239404"/>
      <w:bookmarkStart w:id="14" w:name="_Toc418071622"/>
      <w:r>
        <w:rPr>
          <w:rStyle w:val="CharSectno"/>
        </w:rPr>
        <w:t>6</w:t>
      </w:r>
      <w:r>
        <w:t>.</w:t>
      </w:r>
      <w:r>
        <w:tab/>
      </w:r>
      <w:r>
        <w:rPr>
          <w:i/>
        </w:rPr>
        <w:t>Environmental Protection Regulations 1987</w:t>
      </w:r>
      <w:r>
        <w:t xml:space="preserve"> amended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The amendment in this regulation is to the </w:t>
      </w:r>
      <w:r>
        <w:rPr>
          <w:i/>
        </w:rPr>
        <w:t>Environmental Protection Regulations 1987</w:t>
      </w:r>
      <w:r>
        <w:t>.</w:t>
      </w:r>
    </w:p>
    <w:p>
      <w:pPr>
        <w:pStyle w:val="Subsection"/>
        <w:spacing w:before="120"/>
      </w:pPr>
      <w:r>
        <w:tab/>
        <w:t>(2)</w:t>
      </w:r>
      <w:r>
        <w:tab/>
        <w:t xml:space="preserve">Schedule 6 is amended by inserting after item 4 of the entry relating to the </w:t>
      </w:r>
      <w:r>
        <w:rPr>
          <w:i/>
        </w:rPr>
        <w:t xml:space="preserve">Environmental Protection (NEPM </w:t>
      </w:r>
      <w:r>
        <w:rPr>
          <w:i/>
        </w:rPr>
        <w:noBreakHyphen/>
        <w:t xml:space="preserve"> UPM) Regulations 2003</w:t>
      </w:r>
      <w:r>
        <w:t xml:space="preserve"> the following — </w:t>
      </w:r>
    </w:p>
    <w:p>
      <w:pPr>
        <w:pStyle w:val="MiscOpen"/>
        <w:keepNext w:val="0"/>
        <w:keepLines w:val="0"/>
        <w:widowControl w:val="0"/>
        <w:ind w:firstLine="851"/>
      </w:pPr>
      <w:r>
        <w:t xml:space="preserve">“    </w:t>
      </w:r>
    </w:p>
    <w:p>
      <w:pPr>
        <w:pStyle w:val="zMiscellaneousHeading"/>
        <w:rPr>
          <w:b/>
          <w:bCs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977"/>
        <w:gridCol w:w="1417"/>
        <w:gridCol w:w="1134"/>
      </w:tblGrid>
      <w:tr>
        <w:trPr>
          <w:trHeight w:val="439"/>
        </w:trPr>
        <w:tc>
          <w:tcPr>
            <w:tcW w:w="2977" w:type="dxa"/>
          </w:tcPr>
          <w:p>
            <w:pPr>
              <w:pStyle w:val="yTable"/>
              <w:spacing w:after="60"/>
              <w:rPr>
                <w:i/>
              </w:rPr>
            </w:pPr>
            <w:r>
              <w:rPr>
                <w:i/>
              </w:rPr>
              <w:t>Environmental Protection (Unauthorised Discharges) Regulations 2004</w:t>
            </w:r>
          </w:p>
        </w:tc>
        <w:tc>
          <w:tcPr>
            <w:tcW w:w="1417" w:type="dxa"/>
          </w:tcPr>
          <w:p>
            <w:pPr>
              <w:pStyle w:val="yTable"/>
            </w:pPr>
          </w:p>
        </w:tc>
        <w:tc>
          <w:tcPr>
            <w:tcW w:w="1134" w:type="dxa"/>
          </w:tcPr>
          <w:p>
            <w:pPr>
              <w:pStyle w:val="yTable"/>
            </w:pPr>
          </w:p>
        </w:tc>
      </w:tr>
      <w:tr>
        <w:trPr>
          <w:trHeight w:val="440"/>
        </w:trPr>
        <w:tc>
          <w:tcPr>
            <w:tcW w:w="2977" w:type="dxa"/>
          </w:tcPr>
          <w:p>
            <w:pPr>
              <w:pStyle w:val="yTable"/>
              <w:tabs>
                <w:tab w:val="left" w:pos="459"/>
              </w:tabs>
            </w:pPr>
            <w:r>
              <w:t>1.</w:t>
            </w:r>
            <w:r>
              <w:tab/>
              <w:t>regulation 3(1)</w:t>
            </w:r>
          </w:p>
        </w:tc>
        <w:tc>
          <w:tcPr>
            <w:tcW w:w="1417" w:type="dxa"/>
          </w:tcPr>
          <w:p>
            <w:pPr>
              <w:pStyle w:val="yTable"/>
            </w:pPr>
            <w:r>
              <w:t>250</w:t>
            </w:r>
          </w:p>
        </w:tc>
        <w:tc>
          <w:tcPr>
            <w:tcW w:w="1134" w:type="dxa"/>
          </w:tcPr>
          <w:p>
            <w:pPr>
              <w:pStyle w:val="yTable"/>
            </w:pPr>
            <w:r>
              <w:t>500</w:t>
            </w:r>
          </w:p>
        </w:tc>
      </w:tr>
      <w:tr>
        <w:trPr>
          <w:trHeight w:val="440"/>
        </w:trPr>
        <w:tc>
          <w:tcPr>
            <w:tcW w:w="2977" w:type="dxa"/>
          </w:tcPr>
          <w:p>
            <w:pPr>
              <w:pStyle w:val="yTable"/>
              <w:tabs>
                <w:tab w:val="left" w:pos="459"/>
              </w:tabs>
            </w:pPr>
            <w:r>
              <w:t>2.</w:t>
            </w:r>
            <w:r>
              <w:tab/>
              <w:t xml:space="preserve">regulation 4(1) </w:t>
            </w:r>
          </w:p>
        </w:tc>
        <w:tc>
          <w:tcPr>
            <w:tcW w:w="1417" w:type="dxa"/>
          </w:tcPr>
          <w:p>
            <w:pPr>
              <w:pStyle w:val="yTable"/>
            </w:pPr>
            <w:r>
              <w:t>250</w:t>
            </w:r>
          </w:p>
        </w:tc>
        <w:tc>
          <w:tcPr>
            <w:tcW w:w="1134" w:type="dxa"/>
          </w:tcPr>
          <w:p>
            <w:pPr>
              <w:pStyle w:val="yTable"/>
            </w:pPr>
            <w:r>
              <w:t>500</w:t>
            </w:r>
          </w:p>
        </w:tc>
      </w:tr>
      <w:tr>
        <w:trPr>
          <w:trHeight w:val="440"/>
        </w:trPr>
        <w:tc>
          <w:tcPr>
            <w:tcW w:w="2977" w:type="dxa"/>
          </w:tcPr>
          <w:p>
            <w:pPr>
              <w:pStyle w:val="yTable"/>
              <w:tabs>
                <w:tab w:val="left" w:pos="459"/>
              </w:tabs>
            </w:pPr>
            <w:r>
              <w:t>3.</w:t>
            </w:r>
            <w:r>
              <w:tab/>
              <w:t>regulation 4(2)</w:t>
            </w:r>
          </w:p>
        </w:tc>
        <w:tc>
          <w:tcPr>
            <w:tcW w:w="1417" w:type="dxa"/>
          </w:tcPr>
          <w:p>
            <w:pPr>
              <w:pStyle w:val="yTable"/>
            </w:pPr>
            <w:r>
              <w:t>250</w:t>
            </w:r>
          </w:p>
        </w:tc>
        <w:tc>
          <w:tcPr>
            <w:tcW w:w="1134" w:type="dxa"/>
          </w:tcPr>
          <w:p>
            <w:pPr>
              <w:pStyle w:val="yTable"/>
            </w:pPr>
            <w:r>
              <w:t>500</w:t>
            </w:r>
          </w:p>
        </w:tc>
      </w:tr>
    </w:tbl>
    <w:p>
      <w:pPr>
        <w:pStyle w:val="MiscClose"/>
      </w:pPr>
      <w:r>
        <w:t xml:space="preserve">    ”.</w:t>
      </w:r>
    </w:p>
    <w:p>
      <w:pPr>
        <w:pStyle w:val="Heading5"/>
        <w:rPr>
          <w:snapToGrid w:val="0"/>
        </w:rPr>
      </w:pPr>
      <w:bookmarkStart w:id="15" w:name="_Toc378239405"/>
      <w:bookmarkStart w:id="16" w:name="_Toc418071623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</w:rPr>
        <w:t>Clean Air Regulations 1967</w:t>
      </w:r>
      <w:r>
        <w:t xml:space="preserve"> </w:t>
      </w:r>
      <w:r>
        <w:rPr>
          <w:snapToGrid w:val="0"/>
        </w:rPr>
        <w:t>repealed</w:t>
      </w:r>
      <w:bookmarkEnd w:id="15"/>
      <w:bookmarkEnd w:id="16"/>
    </w:p>
    <w:p>
      <w:pPr>
        <w:pStyle w:val="Subsection"/>
        <w:spacing w:before="120"/>
      </w:pPr>
      <w:r>
        <w:tab/>
      </w:r>
      <w:r>
        <w:tab/>
        <w:t xml:space="preserve">The </w:t>
      </w:r>
      <w:r>
        <w:rPr>
          <w:i/>
        </w:rPr>
        <w:t>Clean Air Regulations 1967</w:t>
      </w:r>
      <w:r>
        <w:t xml:space="preserve"> are repealed.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7" w:name="_Toc378239406"/>
      <w:bookmarkStart w:id="18" w:name="_Toc418071577"/>
      <w:bookmarkStart w:id="19" w:name="_Toc418071624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Materials that must not be discharged into the environment</w:t>
      </w:r>
      <w:bookmarkEnd w:id="17"/>
      <w:bookmarkEnd w:id="18"/>
      <w:bookmarkEnd w:id="19"/>
    </w:p>
    <w:p>
      <w:pPr>
        <w:pStyle w:val="yShoulderClause"/>
        <w:spacing w:after="120"/>
      </w:pPr>
      <w:r>
        <w:t>[r. 3]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</w:tblGrid>
      <w:tr>
        <w:tc>
          <w:tcPr>
            <w:tcW w:w="6379" w:type="dxa"/>
          </w:tcPr>
          <w:p>
            <w:pPr>
              <w:pStyle w:val="yTable"/>
            </w:pPr>
            <w:r>
              <w:t>Acid with a pH less than 4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Alkali with a pH more than 10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Animal waste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Animal oil, fat or grease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Compounds or solutions of cyanide, chromium, cadmium, lead, arsenic, mercury, nickel, zinc or copper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Degreaser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Detergent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Dust produced by a mechanical process including cutting, grinding, sawing, sanding or polishing a material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Dye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Engine coolant or engine corrosion inhibitor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Food waste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Laundry waste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Mineral oil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Organic solvent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Paint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Petrol, diesel or other hydrocarbon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Pesticide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Sediment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Sewage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Vegetable oil, fat or grease</w:t>
            </w:r>
          </w:p>
        </w:tc>
      </w:tr>
    </w:tbl>
    <w:p>
      <w:pPr>
        <w:pStyle w:val="yScheduleHeading"/>
      </w:pPr>
      <w:bookmarkStart w:id="20" w:name="_Toc378239407"/>
      <w:bookmarkStart w:id="21" w:name="_Toc418071578"/>
      <w:bookmarkStart w:id="22" w:name="_Toc418071625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Materials that must not be burnt so as to discharge visible smoke into the environment</w:t>
      </w:r>
      <w:bookmarkEnd w:id="20"/>
      <w:bookmarkEnd w:id="21"/>
      <w:bookmarkEnd w:id="22"/>
    </w:p>
    <w:p>
      <w:pPr>
        <w:pStyle w:val="yShoulderClause"/>
        <w:spacing w:after="120"/>
      </w:pPr>
      <w:r>
        <w:t>[r. 4(1)]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</w:tblGrid>
      <w:tr>
        <w:tc>
          <w:tcPr>
            <w:tcW w:w="6379" w:type="dxa"/>
          </w:tcPr>
          <w:p>
            <w:pPr>
              <w:pStyle w:val="yTable"/>
            </w:pPr>
            <w:r>
              <w:t>Carpet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Electrical cables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Fabrics or textiles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Organic solvent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Paint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Plastic, including polystyrene and the like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Printed circuit boards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Printing waste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Rubber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Timber that has been treated with preservatives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Tyres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Vehicles or vessels and their parts</w:t>
            </w:r>
          </w:p>
        </w:tc>
      </w:tr>
      <w:tr>
        <w:tc>
          <w:tcPr>
            <w:tcW w:w="6379" w:type="dxa"/>
          </w:tcPr>
          <w:p>
            <w:pPr>
              <w:pStyle w:val="yTable"/>
            </w:pPr>
            <w:r>
              <w:t>Waste oil, fats or grease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4" w:name="_Toc378239408"/>
      <w:bookmarkStart w:id="25" w:name="_Toc418071579"/>
      <w:bookmarkStart w:id="26" w:name="_Toc418071626"/>
      <w:r>
        <w:t>Notes</w:t>
      </w:r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Environmental Protection (Unauthorised Discharges) Regulations 2004.</w:t>
      </w:r>
      <w:r>
        <w:t xml:space="preserve">  </w:t>
      </w:r>
      <w:r>
        <w:rPr>
          <w:snapToGrid w:val="0"/>
        </w:rPr>
        <w:t>The following table contains information about those regulation.</w:t>
      </w:r>
    </w:p>
    <w:p>
      <w:pPr>
        <w:pStyle w:val="nHeading3"/>
      </w:pPr>
      <w:bookmarkStart w:id="27" w:name="_Toc378239409"/>
      <w:bookmarkStart w:id="28" w:name="_Toc418071627"/>
      <w:r>
        <w:t>Compilation table</w:t>
      </w:r>
      <w:bookmarkEnd w:id="27"/>
      <w:bookmarkEnd w:id="2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Environmental Protection (Unauthorised Discharges) Regulations 2004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12 Mar 2004 p. 747-50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12 Mar 2004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0" w:name="_Toc418071628"/>
      <w:r>
        <w:rPr>
          <w:sz w:val="28"/>
        </w:rPr>
        <w:t>Defined terms</w:t>
      </w:r>
      <w:bookmarkEnd w:id="3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dark smoke</w:t>
      </w:r>
      <w:r>
        <w:tab/>
        <w:t>2</w:t>
      </w:r>
    </w:p>
    <w:p/>
    <w:p>
      <w:pPr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(Unauthorised Discharges)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(Unauthorised Discharges)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3" w:name="Schedule"/>
    <w:bookmarkEnd w:id="2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(Unauthorised Discharges)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(Unauthorised Discharges)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(Unauthorised Discharges)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(Unauthorised Discharges)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1" w:name="DefinedTerms"/>
    <w:bookmarkEnd w:id="31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2" w:name="Coversheet"/>
    <w:bookmarkEnd w:id="3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(Unauthorised Discharges)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(Unauthorised Discharges)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(Unauthorised Discharges)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(Unauthorised Discharges)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6EF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301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966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400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A6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9E8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4A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E6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700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E67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D666C6C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24825"/>
    <w:docVar w:name="WAFER_20140123110940" w:val="RemoveTocBookmarks,RemoveUnusedBookmarks,RemoveLanguageTags,UsedStyles,ResetPageSize,UpdateArrangement"/>
    <w:docVar w:name="WAFER_20140123110940_GUID" w:val="690ae656-d732-49a8-8d74-3874845af1eb"/>
    <w:docVar w:name="WAFER_20140123111717" w:val="RemoveTocBookmarks,RunningHeaders"/>
    <w:docVar w:name="WAFER_20140123111717_GUID" w:val="320fd5c2-b234-4887-a645-e6fa419f7e99"/>
    <w:docVar w:name="WAFER_20150429111314" w:val="ResetPageSize,UpdateArrangement,UpdateNTable"/>
    <w:docVar w:name="WAFER_20150429111314_GUID" w:val="1a5f5f90-0913-44e0-8dd3-9bcb87639d97"/>
    <w:docVar w:name="WAFER_20151105124815" w:val="UpdateStyles,UsedStyles"/>
    <w:docVar w:name="WAFER_20151105124815_GUID" w:val="c8a86421-f6d7-46ce-9c2e-bba49d5cb790"/>
    <w:docVar w:name="WAFER_20151105124825" w:val="UpdateStyles,UsedStyles"/>
    <w:docVar w:name="WAFER_20151105124825_GUID" w:val="3c721c21-3a8a-4c3e-9f2c-469a7eae1bc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989</Words>
  <Characters>5198</Characters>
  <Application>Microsoft Office Word</Application>
  <DocSecurity>0</DocSecurity>
  <Lines>207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(Unauthorised Discharges) Regulations 2004 - 00-a0-10</dc:title>
  <dc:subject/>
  <dc:creator/>
  <cp:keywords/>
  <dc:description/>
  <cp:lastModifiedBy>svcMRProcess</cp:lastModifiedBy>
  <cp:revision>4</cp:revision>
  <cp:lastPrinted>2004-03-12T02:16:00Z</cp:lastPrinted>
  <dcterms:created xsi:type="dcterms:W3CDTF">2019-01-17T07:43:00Z</dcterms:created>
  <dcterms:modified xsi:type="dcterms:W3CDTF">2019-01-17T07:43:00Z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 2004 p 747-50</vt:lpwstr>
  </property>
  <property fmtid="{D5CDD505-2E9C-101B-9397-08002B2CF9AE}" pid="3" name="CommencementDate">
    <vt:lpwstr>20040312</vt:lpwstr>
  </property>
  <property fmtid="{D5CDD505-2E9C-101B-9397-08002B2CF9AE}" pid="4" name="DocumentType">
    <vt:lpwstr>Reg</vt:lpwstr>
  </property>
  <property fmtid="{D5CDD505-2E9C-101B-9397-08002B2CF9AE}" pid="5" name="OwlsUID">
    <vt:i4>3153</vt:i4>
  </property>
  <property fmtid="{D5CDD505-2E9C-101B-9397-08002B2CF9AE}" pid="6" name="AsAtDate">
    <vt:lpwstr>12 Mar 2004</vt:lpwstr>
  </property>
  <property fmtid="{D5CDD505-2E9C-101B-9397-08002B2CF9AE}" pid="7" name="Suffix">
    <vt:lpwstr>00-a0-10</vt:lpwstr>
  </property>
</Properties>
</file>