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8" w:rsidRDefault="00DC1775">
      <w:pPr>
        <w:pStyle w:val="WA"/>
      </w:pPr>
      <w:bookmarkStart w:id="0" w:name="_GoBack"/>
      <w:bookmarkEnd w:id="0"/>
      <w:r>
        <w:t>Western Australia</w:t>
      </w:r>
    </w:p>
    <w:p w:rsidR="009C33E8" w:rsidRDefault="00DC177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13D12">
        <w:rPr>
          <w:noProof/>
        </w:rPr>
        <w:t>Fair Trading (Infringement Notices) Regulations 2006</w:t>
      </w:r>
      <w:r>
        <w:fldChar w:fldCharType="end"/>
      </w:r>
    </w:p>
    <w:p w:rsidR="009C33E8" w:rsidRDefault="009C33E8">
      <w:pPr>
        <w:jc w:val="center"/>
        <w:rPr>
          <w:b/>
        </w:rPr>
        <w:sectPr w:rsidR="009C3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C33E8" w:rsidRDefault="00DC1775">
      <w:pPr>
        <w:pStyle w:val="WA"/>
      </w:pPr>
      <w:r>
        <w:lastRenderedPageBreak/>
        <w:t>Western Australia</w:t>
      </w:r>
    </w:p>
    <w:p w:rsidR="009C33E8" w:rsidRDefault="00DC1775">
      <w:pPr>
        <w:pStyle w:val="NameofActRegPage1"/>
        <w:ind w:left="426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13D12">
        <w:rPr>
          <w:noProof/>
        </w:rPr>
        <w:t>Fair Trading (Infringement Notices) Regulations 2006</w:t>
      </w:r>
      <w:r>
        <w:fldChar w:fldCharType="end"/>
      </w:r>
    </w:p>
    <w:p w:rsidR="009C33E8" w:rsidRDefault="00DC1775">
      <w:pPr>
        <w:pStyle w:val="Arrangement"/>
      </w:pPr>
      <w:r>
        <w:t>CONTENTS</w:t>
      </w:r>
    </w:p>
    <w:p w:rsidR="009C33E8" w:rsidRDefault="00DC177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_Toc156357024 \h </w:instrText>
      </w:r>
      <w:r>
        <w:fldChar w:fldCharType="separate"/>
      </w:r>
      <w:r w:rsidR="00C13D12">
        <w:t>1</w:t>
      </w:r>
      <w:r>
        <w:fldChar w:fldCharType="end"/>
      </w:r>
    </w:p>
    <w:p w:rsidR="009C33E8" w:rsidRDefault="00DC1775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Prescribed offences and modified penalties</w:t>
      </w:r>
      <w:r>
        <w:tab/>
      </w:r>
      <w:r>
        <w:fldChar w:fldCharType="begin"/>
      </w:r>
      <w:r>
        <w:instrText xml:space="preserve"> PAGEREF _Toc156357025 \h </w:instrText>
      </w:r>
      <w:r>
        <w:fldChar w:fldCharType="separate"/>
      </w:r>
      <w:r w:rsidR="00C13D12">
        <w:t>1</w:t>
      </w:r>
      <w:r>
        <w:fldChar w:fldCharType="end"/>
      </w:r>
    </w:p>
    <w:p w:rsidR="009C33E8" w:rsidRDefault="00DC1775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_Toc156357026 \h </w:instrText>
      </w:r>
      <w:r>
        <w:fldChar w:fldCharType="separate"/>
      </w:r>
      <w:r w:rsidR="00C13D12">
        <w:t>1</w:t>
      </w:r>
      <w:r>
        <w:fldChar w:fldCharType="end"/>
      </w:r>
    </w:p>
    <w:p w:rsidR="009C33E8" w:rsidRDefault="00DC177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Prescribed offences and modified penalties</w:t>
      </w:r>
    </w:p>
    <w:p w:rsidR="009C33E8" w:rsidRDefault="00DC177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2 — Forms</w:t>
      </w:r>
    </w:p>
    <w:p w:rsidR="009C33E8" w:rsidRDefault="00DC177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9C33E8" w:rsidRDefault="00DC1775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_Toc156357030 \h </w:instrText>
      </w:r>
      <w:r>
        <w:fldChar w:fldCharType="separate"/>
      </w:r>
      <w:r w:rsidR="00C13D12">
        <w:t>2</w:t>
      </w:r>
      <w:r>
        <w:fldChar w:fldCharType="end"/>
      </w:r>
    </w:p>
    <w:p w:rsidR="009C33E8" w:rsidRDefault="00DC1775">
      <w:pPr>
        <w:pStyle w:val="TOC8"/>
      </w:pPr>
      <w:r>
        <w:fldChar w:fldCharType="end"/>
      </w:r>
    </w:p>
    <w:p w:rsidR="009C33E8" w:rsidRDefault="00DC177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C33E8" w:rsidRDefault="009C33E8">
      <w:pPr>
        <w:pStyle w:val="NoteHeading"/>
        <w:sectPr w:rsidR="009C33E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C33E8" w:rsidRDefault="00DC1775">
      <w:pPr>
        <w:pStyle w:val="WA"/>
      </w:pPr>
      <w:r>
        <w:lastRenderedPageBreak/>
        <w:t>Western Australia</w:t>
      </w:r>
    </w:p>
    <w:p w:rsidR="009C33E8" w:rsidRDefault="00DC1775">
      <w:pPr>
        <w:pStyle w:val="PrincipalActReg"/>
      </w:pPr>
      <w:r>
        <w:t>Fair Trading Act 1987</w:t>
      </w:r>
    </w:p>
    <w:p w:rsidR="009C33E8" w:rsidRDefault="00DC1775">
      <w:pPr>
        <w:pStyle w:val="NameofActReg"/>
      </w:pPr>
      <w:r>
        <w:t>Fair Trading (Infringement Notices) Regulations 2006</w:t>
      </w:r>
    </w:p>
    <w:p w:rsidR="009C33E8" w:rsidRDefault="00DC1775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5635702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C33E8" w:rsidRDefault="00DC1775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 w:rsidR="009C33E8" w:rsidRDefault="00DC1775">
      <w:pPr>
        <w:pStyle w:val="Heading5"/>
      </w:pPr>
      <w:bookmarkStart w:id="10" w:name="_Toc156357025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0"/>
    </w:p>
    <w:p w:rsidR="009C33E8" w:rsidRDefault="00DC1775"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 w:rsidR="009C33E8" w:rsidRDefault="00DC1775"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 w:rsidR="009C33E8" w:rsidRDefault="00DC1775">
      <w:pPr>
        <w:pStyle w:val="Heading5"/>
      </w:pPr>
      <w:bookmarkStart w:id="11" w:name="_Toc156357026"/>
      <w:r>
        <w:rPr>
          <w:rStyle w:val="CharSectno"/>
        </w:rPr>
        <w:t>3</w:t>
      </w:r>
      <w:r>
        <w:t>.</w:t>
      </w:r>
      <w:r>
        <w:tab/>
        <w:t>Forms</w:t>
      </w:r>
      <w:bookmarkEnd w:id="11"/>
    </w:p>
    <w:p w:rsidR="009C33E8" w:rsidRDefault="00DC1775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9C33E8" w:rsidRDefault="009C33E8">
      <w:pPr>
        <w:sectPr w:rsidR="009C33E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2" w:name="_Toc146613351"/>
      <w:bookmarkStart w:id="13" w:name="_Toc146613955"/>
    </w:p>
    <w:p w:rsidR="009C33E8" w:rsidRDefault="00DC1775">
      <w:pPr>
        <w:pStyle w:val="yScheduleHeading"/>
      </w:pPr>
      <w:bookmarkStart w:id="14" w:name="_Toc146614552"/>
      <w:bookmarkStart w:id="15" w:name="_Toc146693435"/>
      <w:bookmarkStart w:id="16" w:name="_Toc146693548"/>
      <w:bookmarkStart w:id="17" w:name="_Toc156292121"/>
      <w:bookmarkStart w:id="18" w:name="_Toc156357027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19" w:name="AutoSch"/>
      <w:bookmarkEnd w:id="19"/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9C33E8" w:rsidRDefault="00DC1775"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9C33E8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54(10)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</w:tcPr>
          <w:p w:rsidR="009C33E8" w:rsidRDefault="00DC1775"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 w:rsidR="009C33E8" w:rsidRDefault="00DC1775"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 w:rsidR="009C33E8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 w:rsidR="009C33E8" w:rsidRDefault="00DC1775">
      <w:pPr>
        <w:pStyle w:val="yScheduleHeading"/>
      </w:pPr>
      <w:bookmarkStart w:id="20" w:name="_Toc146613352"/>
      <w:bookmarkStart w:id="21" w:name="_Toc146613956"/>
      <w:bookmarkStart w:id="22" w:name="_Toc146614553"/>
      <w:bookmarkStart w:id="23" w:name="_Toc146693436"/>
      <w:bookmarkStart w:id="24" w:name="_Toc146693549"/>
      <w:bookmarkStart w:id="25" w:name="_Toc156292122"/>
      <w:bookmarkStart w:id="26" w:name="_Toc156357028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9C33E8" w:rsidRDefault="00DC1775">
      <w:pPr>
        <w:pStyle w:val="yShoulderClause"/>
      </w:pPr>
      <w:r>
        <w:t>[r. 3]</w:t>
      </w:r>
    </w:p>
    <w:p w:rsidR="009C33E8" w:rsidRDefault="00DC1775"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9C33E8">
        <w:trPr>
          <w:cantSplit/>
          <w:trHeight w:val="282"/>
        </w:trPr>
        <w:tc>
          <w:tcPr>
            <w:tcW w:w="4820" w:type="dxa"/>
            <w:gridSpan w:val="2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 w:rsidR="009C33E8" w:rsidRDefault="00DC1775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9C33E8" w:rsidRDefault="00DC1775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9C33E8" w:rsidRDefault="00DC1775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9C33E8">
        <w:trPr>
          <w:cantSplit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9C33E8" w:rsidRDefault="009C33E8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 w:rsidR="009C33E8">
        <w:trPr>
          <w:cantSplit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9C33E8">
        <w:tc>
          <w:tcPr>
            <w:tcW w:w="1276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9C33E8">
        <w:tc>
          <w:tcPr>
            <w:tcW w:w="1276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9C33E8" w:rsidRDefault="00DC1775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9C33E8" w:rsidRDefault="00DC1775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 w:rsidR="009C33E8" w:rsidRDefault="00DC1775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 w:rsidR="009C33E8" w:rsidRDefault="00DC1775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9C33E8" w:rsidRDefault="00DC1775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9C33E8" w:rsidRDefault="00DC1775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9C33E8" w:rsidRDefault="00DC1775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9C33E8" w:rsidRDefault="00DC1775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9C33E8" w:rsidRDefault="00DC1775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9C33E8" w:rsidRDefault="00DC1775"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 w:rsidR="009C33E8">
        <w:tc>
          <w:tcPr>
            <w:tcW w:w="1276" w:type="dxa"/>
            <w:tcBorders>
              <w:top w:val="single" w:sz="4" w:space="0" w:color="auto"/>
            </w:tcBorders>
          </w:tcPr>
          <w:p w:rsidR="009C33E8" w:rsidRDefault="009C33E8"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for Consumer Protection at the above postal address. </w:t>
            </w:r>
          </w:p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Commissioner for Consumer Protection at the above postal address within 21 days after the date of this notice.</w:t>
            </w:r>
          </w:p>
        </w:tc>
      </w:tr>
    </w:tbl>
    <w:p w:rsidR="009C33E8" w:rsidRDefault="00DC1775">
      <w:pPr>
        <w:pStyle w:val="yFootnotesection"/>
      </w:pPr>
      <w:r>
        <w:tab/>
        <w:t>[Form 1 amended in Gazette 12 Jan 2007 p. 47.]</w:t>
      </w:r>
    </w:p>
    <w:p w:rsidR="009C33E8" w:rsidRDefault="00DC1775">
      <w:pPr>
        <w:pStyle w:val="yMiscellaneousHeading"/>
        <w:pageBreakBefore/>
        <w:spacing w:after="6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9C33E8">
        <w:trPr>
          <w:cantSplit/>
          <w:trHeight w:val="282"/>
        </w:trPr>
        <w:tc>
          <w:tcPr>
            <w:tcW w:w="4820" w:type="dxa"/>
            <w:gridSpan w:val="2"/>
          </w:tcPr>
          <w:p w:rsidR="009C33E8" w:rsidRDefault="00DC1775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 w:rsidR="009C33E8" w:rsidRDefault="00DC1775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9C33E8" w:rsidRDefault="00DC1775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9C33E8">
        <w:trPr>
          <w:cantSplit/>
          <w:trHeight w:val="150"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9C33E8" w:rsidRDefault="00DC1775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9C33E8">
        <w:trPr>
          <w:cantSplit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9C33E8">
        <w:trPr>
          <w:cantSplit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9C33E8" w:rsidRDefault="009C33E8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9C33E8">
        <w:trPr>
          <w:cantSplit/>
        </w:trPr>
        <w:tc>
          <w:tcPr>
            <w:tcW w:w="1276" w:type="dxa"/>
            <w:vMerge w:val="restart"/>
          </w:tcPr>
          <w:p w:rsidR="009C33E8" w:rsidRDefault="00DC1775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9C33E8">
        <w:trPr>
          <w:cantSplit/>
        </w:trPr>
        <w:tc>
          <w:tcPr>
            <w:tcW w:w="1276" w:type="dxa"/>
            <w:vMerge/>
          </w:tcPr>
          <w:p w:rsidR="009C33E8" w:rsidRDefault="009C33E8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9C33E8">
        <w:tc>
          <w:tcPr>
            <w:tcW w:w="1276" w:type="dxa"/>
          </w:tcPr>
          <w:p w:rsidR="009C33E8" w:rsidRDefault="00DC1775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9C33E8">
        <w:tc>
          <w:tcPr>
            <w:tcW w:w="1276" w:type="dxa"/>
          </w:tcPr>
          <w:p w:rsidR="009C33E8" w:rsidRDefault="00DC1775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9C33E8" w:rsidRDefault="009C33E8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9C33E8" w:rsidRDefault="00DC1775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9C33E8" w:rsidRDefault="00DC1775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9C33E8" w:rsidRDefault="00DC1775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9C33E8" w:rsidRDefault="00DC1775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9C33E8" w:rsidRDefault="00DC1775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9C33E8" w:rsidRDefault="00DC1775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 w:rsidR="009C33E8" w:rsidRDefault="00DC1775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9C33E8" w:rsidRDefault="00DC1775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9C33E8" w:rsidRDefault="00DC1775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9C33E8" w:rsidRDefault="00DC1775"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9C33E8" w:rsidRDefault="00DC1775">
      <w:pPr>
        <w:pStyle w:val="yMiscellaneousHeading"/>
        <w:keepNext w:val="0"/>
        <w:pageBreakBefore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9C33E8"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 w:rsidR="009C33E8" w:rsidRDefault="00DC1775"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 w:rsidR="009C33E8" w:rsidRDefault="00DC1775"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 w:rsidR="009C33E8">
        <w:trPr>
          <w:cantSplit/>
        </w:trPr>
        <w:tc>
          <w:tcPr>
            <w:tcW w:w="6804" w:type="dxa"/>
            <w:tcBorders>
              <w:top w:val="nil"/>
            </w:tcBorders>
          </w:tcPr>
          <w:p w:rsidR="009C33E8" w:rsidRDefault="00DC1775"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 w:rsidR="009C33E8" w:rsidRDefault="00DC1775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 w:rsidR="009C33E8" w:rsidRDefault="009C33E8">
            <w:pPr>
              <w:pStyle w:val="yTable"/>
              <w:rPr>
                <w:sz w:val="20"/>
              </w:rPr>
            </w:pPr>
          </w:p>
          <w:p w:rsidR="009C33E8" w:rsidRDefault="00DC1775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9C33E8" w:rsidRDefault="00DC1775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Commissioner  for Consumer Protection</w:t>
            </w:r>
          </w:p>
          <w:p w:rsidR="009C33E8" w:rsidRDefault="009C33E8">
            <w:pPr>
              <w:pStyle w:val="yTable"/>
              <w:rPr>
                <w:sz w:val="20"/>
              </w:rPr>
            </w:pPr>
          </w:p>
          <w:p w:rsidR="009C33E8" w:rsidRDefault="00DC1775"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 w:rsidR="009C33E8" w:rsidRDefault="009C33E8">
            <w:pPr>
              <w:pStyle w:val="yTable"/>
              <w:rPr>
                <w:sz w:val="20"/>
              </w:rPr>
            </w:pPr>
          </w:p>
        </w:tc>
      </w:tr>
    </w:tbl>
    <w:p w:rsidR="009C33E8" w:rsidRDefault="00DC1775">
      <w:pPr>
        <w:pStyle w:val="yFootnotesection"/>
      </w:pPr>
      <w:bookmarkStart w:id="27" w:name="_Toc113695922"/>
      <w:bookmarkStart w:id="28" w:name="_Toc146613957"/>
      <w:r>
        <w:tab/>
        <w:t>[Form 3 amended in Gazette 12 Jan 2007 p. 47.]</w:t>
      </w:r>
    </w:p>
    <w:p w:rsidR="009C33E8" w:rsidRDefault="009C33E8">
      <w:pPr>
        <w:sectPr w:rsidR="009C33E8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9C33E8" w:rsidRDefault="00DC1775">
      <w:pPr>
        <w:pStyle w:val="nHeading2"/>
      </w:pPr>
      <w:bookmarkStart w:id="29" w:name="_Toc146614554"/>
      <w:bookmarkStart w:id="30" w:name="_Toc146693437"/>
      <w:bookmarkStart w:id="31" w:name="_Toc146693550"/>
      <w:bookmarkStart w:id="32" w:name="_Toc156292123"/>
      <w:bookmarkStart w:id="33" w:name="_Toc156357029"/>
      <w:r>
        <w:t>Notes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9C33E8" w:rsidRDefault="00DC177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 of the </w:t>
      </w:r>
      <w:r>
        <w:rPr>
          <w:i/>
          <w:noProof/>
          <w:snapToGrid w:val="0"/>
        </w:rPr>
        <w:t>Fair Trading (Infringement Notices)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9C33E8" w:rsidRDefault="00DC1775">
      <w:pPr>
        <w:pStyle w:val="nHeading3"/>
      </w:pPr>
      <w:bookmarkStart w:id="34" w:name="_Toc70311430"/>
      <w:bookmarkStart w:id="35" w:name="_Toc113695923"/>
      <w:bookmarkStart w:id="36" w:name="_Toc156357030"/>
      <w:r>
        <w:t>Compilation table</w:t>
      </w:r>
      <w:bookmarkEnd w:id="34"/>
      <w:bookmarkEnd w:id="35"/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C33E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9C33E8" w:rsidRDefault="00DC1775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C33E8" w:rsidRDefault="00DC1775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C33E8" w:rsidRDefault="00DC1775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C33E8">
        <w:tc>
          <w:tcPr>
            <w:tcW w:w="3118" w:type="dxa"/>
            <w:tcBorders>
              <w:top w:val="single" w:sz="8" w:space="0" w:color="auto"/>
            </w:tcBorders>
          </w:tcPr>
          <w:p w:rsidR="009C33E8" w:rsidRDefault="00DC1775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C33E8" w:rsidRDefault="00DC17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4112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C33E8" w:rsidRDefault="00DC17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</w:t>
            </w:r>
          </w:p>
        </w:tc>
      </w:tr>
      <w:tr w:rsidR="009C33E8">
        <w:tc>
          <w:tcPr>
            <w:tcW w:w="3118" w:type="dxa"/>
            <w:tcBorders>
              <w:bottom w:val="single" w:sz="4" w:space="0" w:color="auto"/>
            </w:tcBorders>
          </w:tcPr>
          <w:p w:rsidR="009C33E8" w:rsidRDefault="00DC1775">
            <w:pPr>
              <w:pStyle w:val="nTable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Fair Trading (Infringement Notices)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3E8" w:rsidRDefault="00DC17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12 Jan 2007 p. 47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33E8" w:rsidRDefault="00DC17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12 Jan 2007</w:t>
            </w:r>
          </w:p>
        </w:tc>
      </w:tr>
    </w:tbl>
    <w:p w:rsidR="009C33E8" w:rsidRDefault="009C33E8">
      <w:bookmarkStart w:id="37" w:name="UpToHere"/>
      <w:bookmarkEnd w:id="37"/>
    </w:p>
    <w:p w:rsidR="009C33E8" w:rsidRDefault="009C33E8">
      <w:pPr>
        <w:sectPr w:rsidR="009C33E8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C33E8" w:rsidRDefault="009C33E8"/>
    <w:sectPr w:rsidR="009C33E8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E8" w:rsidRDefault="00DC1775">
      <w:pPr>
        <w:rPr>
          <w:b/>
          <w:sz w:val="28"/>
        </w:rPr>
      </w:pPr>
      <w:r>
        <w:rPr>
          <w:b/>
          <w:sz w:val="28"/>
        </w:rPr>
        <w:t>Endnotes</w:t>
      </w:r>
    </w:p>
    <w:p w:rsidR="009C33E8" w:rsidRDefault="00DC177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9C33E8" w:rsidRDefault="009C33E8"/>
  </w:endnote>
  <w:endnote w:type="continuationSeparator" w:id="0">
    <w:p w:rsidR="009C33E8" w:rsidRDefault="009C33E8">
      <w:pPr>
        <w:pStyle w:val="Footer"/>
      </w:pPr>
    </w:p>
    <w:p w:rsidR="009C33E8" w:rsidRDefault="009C3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13D1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13D12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13D12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Footer"/>
      <w:tabs>
        <w:tab w:val="clear" w:pos="4153"/>
        <w:tab w:val="right" w:pos="7088"/>
      </w:tabs>
      <w:rPr>
        <w:rStyle w:val="PageNumber"/>
      </w:rPr>
    </w:pPr>
  </w:p>
  <w:p w:rsidR="009C33E8" w:rsidRDefault="00DC17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12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3D12"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13D1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C33E8" w:rsidRDefault="00DC17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E8" w:rsidRDefault="00DC1775">
      <w:r>
        <w:separator/>
      </w:r>
    </w:p>
  </w:footnote>
  <w:footnote w:type="continuationSeparator" w:id="0">
    <w:p w:rsidR="009C33E8" w:rsidRDefault="00DC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DC17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13D12">
      <w:rPr>
        <w:i/>
        <w:noProof/>
      </w:rPr>
      <w:t>Fair Trading (Infringement Notices) Regulations 2006</w:t>
    </w:r>
    <w:r>
      <w:rPr>
        <w:i/>
      </w:rPr>
      <w:fldChar w:fldCharType="end"/>
    </w:r>
  </w:p>
  <w:p w:rsidR="009C33E8" w:rsidRDefault="00DC177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C33E8" w:rsidRDefault="00DC177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C33E8" w:rsidRDefault="009C33E8">
    <w:pPr>
      <w:pStyle w:val="headerpart"/>
    </w:pPr>
  </w:p>
  <w:p w:rsidR="009C33E8" w:rsidRDefault="009C33E8">
    <w:pPr>
      <w:pBdr>
        <w:bottom w:val="single" w:sz="6" w:space="1" w:color="auto"/>
      </w:pBdr>
      <w:rPr>
        <w:b/>
      </w:rPr>
    </w:pPr>
  </w:p>
  <w:p w:rsidR="009C33E8" w:rsidRDefault="009C33E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Right"/>
            <w:ind w:right="17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5715" w:type="dxa"/>
          <w:vAlign w:val="bottom"/>
        </w:tcPr>
        <w:p w:rsidR="009C33E8" w:rsidRDefault="00DC1775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9C33E8" w:rsidRDefault="00DC17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9C33E8">
      <w:tc>
        <w:tcPr>
          <w:tcW w:w="5715" w:type="dxa"/>
        </w:tcPr>
        <w:p w:rsidR="009C33E8" w:rsidRDefault="00DC1775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9C33E8" w:rsidRDefault="00DC1775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9C33E8">
      <w:tc>
        <w:tcPr>
          <w:tcW w:w="5715" w:type="dxa"/>
        </w:tcPr>
        <w:p w:rsidR="009C33E8" w:rsidRDefault="009C33E8">
          <w:pPr>
            <w:pStyle w:val="HeaderTextRight"/>
          </w:pPr>
        </w:p>
      </w:tc>
      <w:tc>
        <w:tcPr>
          <w:tcW w:w="1548" w:type="dxa"/>
        </w:tcPr>
        <w:p w:rsidR="009C33E8" w:rsidRDefault="009C33E8">
          <w:pPr>
            <w:pStyle w:val="HeaderNumberRight"/>
            <w:ind w:right="17"/>
            <w:rPr>
              <w:bCs/>
            </w:rPr>
          </w:pPr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Left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1548" w:type="dxa"/>
        </w:tcPr>
        <w:p w:rsidR="009C33E8" w:rsidRDefault="009C33E8">
          <w:pPr>
            <w:pStyle w:val="HeaderNumberLeft"/>
          </w:pPr>
        </w:p>
      </w:tc>
      <w:tc>
        <w:tcPr>
          <w:tcW w:w="5715" w:type="dxa"/>
        </w:tcPr>
        <w:p w:rsidR="009C33E8" w:rsidRDefault="009C33E8">
          <w:pPr>
            <w:pStyle w:val="HeaderTextLeft"/>
          </w:pPr>
        </w:p>
      </w:tc>
    </w:tr>
    <w:tr w:rsidR="009C33E8">
      <w:tc>
        <w:tcPr>
          <w:tcW w:w="1548" w:type="dxa"/>
        </w:tcPr>
        <w:p w:rsidR="009C33E8" w:rsidRDefault="009C33E8">
          <w:pPr>
            <w:pStyle w:val="HeaderNumberLeft"/>
          </w:pPr>
        </w:p>
      </w:tc>
      <w:tc>
        <w:tcPr>
          <w:tcW w:w="5715" w:type="dxa"/>
        </w:tcPr>
        <w:p w:rsidR="009C33E8" w:rsidRDefault="009C33E8">
          <w:pPr>
            <w:pStyle w:val="HeaderTextLeft"/>
          </w:pPr>
        </w:p>
      </w:tc>
    </w:tr>
    <w:tr w:rsidR="009C33E8">
      <w:trPr>
        <w:cantSplit/>
      </w:trPr>
      <w:tc>
        <w:tcPr>
          <w:tcW w:w="7263" w:type="dxa"/>
          <w:gridSpan w:val="2"/>
        </w:tcPr>
        <w:p w:rsidR="009C33E8" w:rsidRDefault="009C33E8">
          <w:pPr>
            <w:pStyle w:val="HeaderSectionRight"/>
            <w:ind w:right="17"/>
            <w:jc w:val="left"/>
          </w:pPr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Right"/>
            <w:ind w:right="17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5715" w:type="dxa"/>
        </w:tcPr>
        <w:p w:rsidR="009C33E8" w:rsidRDefault="009C33E8">
          <w:pPr>
            <w:pStyle w:val="HeaderTextRight"/>
          </w:pPr>
        </w:p>
      </w:tc>
      <w:tc>
        <w:tcPr>
          <w:tcW w:w="1548" w:type="dxa"/>
        </w:tcPr>
        <w:p w:rsidR="009C33E8" w:rsidRDefault="009C33E8">
          <w:pPr>
            <w:pStyle w:val="HeaderNumberRight"/>
            <w:ind w:right="17"/>
          </w:pPr>
        </w:p>
      </w:tc>
    </w:tr>
    <w:tr w:rsidR="009C33E8">
      <w:tc>
        <w:tcPr>
          <w:tcW w:w="5715" w:type="dxa"/>
        </w:tcPr>
        <w:p w:rsidR="009C33E8" w:rsidRDefault="009C33E8">
          <w:pPr>
            <w:pStyle w:val="HeaderTextRight"/>
          </w:pPr>
        </w:p>
      </w:tc>
      <w:tc>
        <w:tcPr>
          <w:tcW w:w="1548" w:type="dxa"/>
        </w:tcPr>
        <w:p w:rsidR="009C33E8" w:rsidRDefault="009C33E8">
          <w:pPr>
            <w:pStyle w:val="HeaderNumberRight"/>
            <w:ind w:right="17"/>
          </w:pPr>
        </w:p>
      </w:tc>
    </w:tr>
    <w:tr w:rsidR="009C33E8">
      <w:trPr>
        <w:cantSplit/>
      </w:trPr>
      <w:tc>
        <w:tcPr>
          <w:tcW w:w="7263" w:type="dxa"/>
          <w:gridSpan w:val="2"/>
        </w:tcPr>
        <w:p w:rsidR="009C33E8" w:rsidRDefault="009C33E8">
          <w:pPr>
            <w:pStyle w:val="HeaderSectionRight"/>
            <w:ind w:right="17"/>
          </w:pPr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2" w:rsidRDefault="00C13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12" w:rsidRDefault="00C13D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Left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1548" w:type="dxa"/>
        </w:tcPr>
        <w:p w:rsidR="009C33E8" w:rsidRDefault="009C33E8">
          <w:pPr>
            <w:pStyle w:val="HeaderNumberLeft"/>
          </w:pPr>
        </w:p>
      </w:tc>
      <w:tc>
        <w:tcPr>
          <w:tcW w:w="5715" w:type="dxa"/>
        </w:tcPr>
        <w:p w:rsidR="009C33E8" w:rsidRDefault="009C33E8">
          <w:pPr>
            <w:pStyle w:val="HeaderTextLeft"/>
          </w:pPr>
        </w:p>
      </w:tc>
    </w:tr>
    <w:tr w:rsidR="009C33E8">
      <w:tc>
        <w:tcPr>
          <w:tcW w:w="1548" w:type="dxa"/>
        </w:tcPr>
        <w:p w:rsidR="009C33E8" w:rsidRDefault="009C33E8">
          <w:pPr>
            <w:pStyle w:val="HeaderNumberLeft"/>
          </w:pPr>
        </w:p>
      </w:tc>
      <w:tc>
        <w:tcPr>
          <w:tcW w:w="5715" w:type="dxa"/>
        </w:tcPr>
        <w:p w:rsidR="009C33E8" w:rsidRDefault="009C33E8">
          <w:pPr>
            <w:pStyle w:val="HeaderTextLeft"/>
          </w:pPr>
        </w:p>
      </w:tc>
    </w:tr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Right"/>
            <w:ind w:right="17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5715" w:type="dxa"/>
        </w:tcPr>
        <w:p w:rsidR="009C33E8" w:rsidRDefault="009C33E8">
          <w:pPr>
            <w:pStyle w:val="HeaderTextRight"/>
          </w:pPr>
        </w:p>
      </w:tc>
      <w:tc>
        <w:tcPr>
          <w:tcW w:w="1548" w:type="dxa"/>
        </w:tcPr>
        <w:p w:rsidR="009C33E8" w:rsidRDefault="009C33E8">
          <w:pPr>
            <w:pStyle w:val="HeaderNumberRight"/>
            <w:ind w:right="17"/>
          </w:pPr>
        </w:p>
      </w:tc>
    </w:tr>
    <w:tr w:rsidR="009C33E8">
      <w:tc>
        <w:tcPr>
          <w:tcW w:w="5715" w:type="dxa"/>
        </w:tcPr>
        <w:p w:rsidR="009C33E8" w:rsidRDefault="009C33E8">
          <w:pPr>
            <w:pStyle w:val="HeaderTextRight"/>
          </w:pPr>
        </w:p>
      </w:tc>
      <w:tc>
        <w:tcPr>
          <w:tcW w:w="1548" w:type="dxa"/>
        </w:tcPr>
        <w:p w:rsidR="009C33E8" w:rsidRDefault="009C33E8">
          <w:pPr>
            <w:pStyle w:val="HeaderNumberRight"/>
            <w:ind w:right="17"/>
          </w:pPr>
        </w:p>
      </w:tc>
    </w:tr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Left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1548" w:type="dxa"/>
        </w:tcPr>
        <w:p w:rsidR="009C33E8" w:rsidRDefault="00DC17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9C33E8" w:rsidRDefault="00DC177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C33E8">
      <w:tc>
        <w:tcPr>
          <w:tcW w:w="1548" w:type="dxa"/>
        </w:tcPr>
        <w:p w:rsidR="009C33E8" w:rsidRDefault="00DC17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C33E8" w:rsidRDefault="00DC17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SectionLeft"/>
          </w:pPr>
          <w:r>
            <w:t xml:space="preserve">r. </w:t>
          </w:r>
          <w:fldSimple w:instr=" styleref CharSectno ">
            <w:r w:rsidR="00C13D12">
              <w:rPr>
                <w:noProof/>
              </w:rPr>
              <w:t>1</w:t>
            </w:r>
          </w:fldSimple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Right"/>
            <w:ind w:right="17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5715" w:type="dxa"/>
        </w:tcPr>
        <w:p w:rsidR="009C33E8" w:rsidRDefault="00DC177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C33E8" w:rsidRDefault="00DC17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C33E8">
      <w:tc>
        <w:tcPr>
          <w:tcW w:w="5715" w:type="dxa"/>
        </w:tcPr>
        <w:p w:rsidR="009C33E8" w:rsidRDefault="00DC17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C33E8" w:rsidRDefault="00DC17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13D12">
              <w:rPr>
                <w:noProof/>
              </w:rPr>
              <w:t>1</w:t>
            </w:r>
          </w:fldSimple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8" w:rsidRDefault="009C33E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C33E8">
      <w:trPr>
        <w:cantSplit/>
      </w:trPr>
      <w:tc>
        <w:tcPr>
          <w:tcW w:w="7263" w:type="dxa"/>
          <w:gridSpan w:val="2"/>
        </w:tcPr>
        <w:p w:rsidR="009C33E8" w:rsidRDefault="00DC1775">
          <w:pPr>
            <w:pStyle w:val="HeaderActNameRight"/>
            <w:ind w:right="17"/>
          </w:pPr>
          <w:fldSimple w:instr=" Styleref &quot;Name of Act/Reg&quot; ">
            <w:r w:rsidR="00C13D12">
              <w:rPr>
                <w:noProof/>
              </w:rPr>
              <w:t>Fair Trading (Infringement Notices) Regulations 2006</w:t>
            </w:r>
          </w:fldSimple>
        </w:p>
      </w:tc>
    </w:tr>
    <w:tr w:rsidR="009C33E8">
      <w:tc>
        <w:tcPr>
          <w:tcW w:w="5715" w:type="dxa"/>
          <w:vAlign w:val="bottom"/>
        </w:tcPr>
        <w:p w:rsidR="009C33E8" w:rsidRDefault="00DC1775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9C33E8" w:rsidRDefault="00DC17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9C33E8">
      <w:tc>
        <w:tcPr>
          <w:tcW w:w="5715" w:type="dxa"/>
        </w:tcPr>
        <w:p w:rsidR="009C33E8" w:rsidRDefault="00DC1775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9C33E8" w:rsidRDefault="00DC1775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9C33E8">
      <w:tc>
        <w:tcPr>
          <w:tcW w:w="5715" w:type="dxa"/>
        </w:tcPr>
        <w:p w:rsidR="009C33E8" w:rsidRDefault="009C33E8">
          <w:pPr>
            <w:pStyle w:val="HeaderTextRight"/>
          </w:pPr>
        </w:p>
      </w:tc>
      <w:tc>
        <w:tcPr>
          <w:tcW w:w="1548" w:type="dxa"/>
        </w:tcPr>
        <w:p w:rsidR="009C33E8" w:rsidRDefault="009C33E8">
          <w:pPr>
            <w:pStyle w:val="HeaderNumberRight"/>
            <w:ind w:right="17"/>
            <w:rPr>
              <w:bCs/>
            </w:rPr>
          </w:pPr>
        </w:p>
      </w:tc>
    </w:tr>
  </w:tbl>
  <w:p w:rsidR="009C33E8" w:rsidRDefault="009C33E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A31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F44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A2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4F6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6A7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E27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A7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23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1A5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AC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65A941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75"/>
    <w:rsid w:val="00296883"/>
    <w:rsid w:val="009C33E8"/>
    <w:rsid w:val="00C13D12"/>
    <w:rsid w:val="00DC1775"/>
    <w:rsid w:val="00E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7367</Characters>
  <Application>Microsoft Office Word</Application>
  <DocSecurity>0</DocSecurity>
  <Lines>368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Company>Parliamentary Counsel's Office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2006 - 00-b0-03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2006-08-16T08:58:00Z</cp:lastPrinted>
  <dcterms:created xsi:type="dcterms:W3CDTF">2013-02-14T15:54:00Z</dcterms:created>
  <dcterms:modified xsi:type="dcterms:W3CDTF">2013-02-14T15:54:00Z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CommencementDate">
    <vt:lpwstr>20070112</vt:lpwstr>
  </property>
  <property fmtid="{D5CDD505-2E9C-101B-9397-08002B2CF9AE}" pid="4" name="DocumentType">
    <vt:lpwstr>Reg</vt:lpwstr>
  </property>
  <property fmtid="{D5CDD505-2E9C-101B-9397-08002B2CF9AE}" pid="5" name="OwlsUID">
    <vt:i4>38498</vt:i4>
  </property>
  <property fmtid="{D5CDD505-2E9C-101B-9397-08002B2CF9AE}" pid="6" name="AsAtDate">
    <vt:lpwstr>12 Jan 2007</vt:lpwstr>
  </property>
  <property fmtid="{D5CDD505-2E9C-101B-9397-08002B2CF9AE}" pid="7" name="Suffix">
    <vt:lpwstr>00-b0-03</vt:lpwstr>
  </property>
</Properties>
</file>