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(Product Information Standard) Regulations 2003</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Fair Trading (Product Information Standard) Regulations 2005 </w:t>
      </w:r>
      <w:r>
        <w:rPr>
          <w:iCs/>
          <w:color w:val="000000"/>
          <w:sz w:val="22"/>
          <w:szCs w:val="22"/>
        </w:rPr>
        <w:t xml:space="preserve">on </w:t>
      </w:r>
      <w:r>
        <w:rPr>
          <w:color w:val="000000"/>
          <w:sz w:val="22"/>
          <w:szCs w:val="22"/>
        </w:rPr>
        <w:t xml:space="preserve">29 Jun 2005 (see </w:t>
      </w:r>
      <w:r>
        <w:rPr>
          <w:i/>
          <w:color w:val="000000"/>
          <w:sz w:val="22"/>
          <w:szCs w:val="22"/>
        </w:rPr>
        <w:t>Gazette</w:t>
      </w:r>
      <w:r>
        <w:rPr>
          <w:color w:val="000000"/>
          <w:sz w:val="22"/>
          <w:szCs w:val="22"/>
        </w:rPr>
        <w:t xml:space="preserve"> 29 Jun 2005 p. 2975).</w:t>
      </w:r>
    </w:p>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Information Standard)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_Toc426019760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_Toc426019761 \h </w:instrText>
      </w:r>
      <w:r>
        <w:fldChar w:fldCharType="separate"/>
      </w:r>
      <w:r>
        <w:t>1</w:t>
      </w:r>
      <w:r>
        <w:fldChar w:fldCharType="end"/>
      </w:r>
    </w:p>
    <w:p>
      <w:pPr>
        <w:pStyle w:val="TOC8"/>
        <w:rPr>
          <w:rFonts w:asciiTheme="minorHAnsi" w:eastAsiaTheme="minorEastAsia" w:hAnsiTheme="minorHAnsi" w:cstheme="minorBidi"/>
          <w:szCs w:val="22"/>
        </w:rPr>
      </w:pPr>
      <w:r>
        <w:t>3.</w:t>
      </w:r>
      <w:r>
        <w:tab/>
        <w:t>Product information standard for clothing and textile products</w:t>
      </w:r>
      <w:r>
        <w:tab/>
      </w:r>
      <w:r>
        <w:fldChar w:fldCharType="begin"/>
      </w:r>
      <w:r>
        <w:instrText xml:space="preserve"> PAGEREF _Toc426019762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i/>
        </w:rPr>
        <w:t>Fair Trading (Textile Products and Other Goods — Product Information) Regulations 1988</w:t>
      </w:r>
      <w:r>
        <w:t xml:space="preserve"> repealed</w:t>
      </w:r>
      <w:r>
        <w:tab/>
      </w:r>
      <w:r>
        <w:fldChar w:fldCharType="begin"/>
      </w:r>
      <w:r>
        <w:instrText xml:space="preserve"> PAGEREF _Toc426019763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The Standard</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1957:1998</w:t>
      </w:r>
    </w:p>
    <w:p>
      <w:pPr>
        <w:pStyle w:val="TOC8"/>
        <w:rPr>
          <w:rFonts w:asciiTheme="minorHAnsi" w:eastAsiaTheme="minorEastAsia" w:hAnsiTheme="minorHAnsi" w:cstheme="minorBidi"/>
          <w:szCs w:val="22"/>
        </w:rPr>
      </w:pPr>
      <w:r>
        <w:t>1.</w:t>
      </w:r>
      <w:r>
        <w:tab/>
        <w:t>AS/NZS 1957:1998</w:t>
      </w:r>
      <w:r>
        <w:tab/>
      </w:r>
      <w:r>
        <w:fldChar w:fldCharType="begin"/>
      </w:r>
      <w:r>
        <w:instrText xml:space="preserve"> PAGEREF _Toc426019766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1957:1998</w:t>
      </w:r>
    </w:p>
    <w:p>
      <w:pPr>
        <w:pStyle w:val="TOC8"/>
        <w:rPr>
          <w:rFonts w:asciiTheme="minorHAnsi" w:eastAsiaTheme="minorEastAsia" w:hAnsiTheme="minorHAnsi" w:cstheme="minorBidi"/>
          <w:szCs w:val="22"/>
        </w:rPr>
      </w:pPr>
      <w:r>
        <w:t>1.</w:t>
      </w:r>
      <w:r>
        <w:tab/>
        <w:t>Clauses 1.1, 1.2, 1.3 and 1.4</w:t>
      </w:r>
      <w:r>
        <w:tab/>
      </w:r>
      <w:r>
        <w:fldChar w:fldCharType="begin"/>
      </w:r>
      <w:r>
        <w:instrText xml:space="preserve"> PAGEREF _Toc426019768 \h </w:instrText>
      </w:r>
      <w:r>
        <w:fldChar w:fldCharType="separate"/>
      </w:r>
      <w:r>
        <w:t>4</w:t>
      </w:r>
      <w:r>
        <w:fldChar w:fldCharType="end"/>
      </w:r>
    </w:p>
    <w:p>
      <w:pPr>
        <w:pStyle w:val="TOC8"/>
        <w:rPr>
          <w:rFonts w:asciiTheme="minorHAnsi" w:eastAsiaTheme="minorEastAsia" w:hAnsiTheme="minorHAnsi" w:cstheme="minorBidi"/>
          <w:szCs w:val="22"/>
        </w:rPr>
      </w:pPr>
      <w:r>
        <w:t>2.</w:t>
      </w:r>
      <w:r>
        <w:tab/>
        <w:t>Clause 2.1.3</w:t>
      </w:r>
      <w:r>
        <w:tab/>
      </w:r>
      <w:r>
        <w:fldChar w:fldCharType="begin"/>
      </w:r>
      <w:r>
        <w:instrText xml:space="preserve"> PAGEREF _Toc426019769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2.1.3</w:t>
      </w:r>
      <w:r>
        <w:rPr>
          <w:noProof/>
        </w:rPr>
        <w:tab/>
        <w:t>Care instructions for articles unable to be washed or dry cleaned</w:t>
      </w:r>
      <w:r>
        <w:rPr>
          <w:noProof/>
        </w:rPr>
        <w:tab/>
      </w:r>
      <w:r>
        <w:rPr>
          <w:noProof/>
        </w:rPr>
        <w:fldChar w:fldCharType="begin"/>
      </w:r>
      <w:r>
        <w:rPr>
          <w:noProof/>
        </w:rPr>
        <w:instrText xml:space="preserve"> PAGEREF _Toc426019770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3.</w:t>
      </w:r>
      <w:r>
        <w:tab/>
        <w:t>Clause 2.2(b)</w:t>
      </w:r>
      <w:r>
        <w:tab/>
      </w:r>
      <w:r>
        <w:fldChar w:fldCharType="begin"/>
      </w:r>
      <w:r>
        <w:instrText xml:space="preserve"> PAGEREF _Toc426019771 \h </w:instrText>
      </w:r>
      <w:r>
        <w:fldChar w:fldCharType="separate"/>
      </w:r>
      <w:r>
        <w:t>4</w:t>
      </w:r>
      <w:r>
        <w:fldChar w:fldCharType="end"/>
      </w:r>
    </w:p>
    <w:p>
      <w:pPr>
        <w:pStyle w:val="TOC8"/>
        <w:rPr>
          <w:rFonts w:asciiTheme="minorHAnsi" w:eastAsiaTheme="minorEastAsia" w:hAnsiTheme="minorHAnsi" w:cstheme="minorBidi"/>
          <w:szCs w:val="22"/>
        </w:rPr>
      </w:pPr>
      <w:r>
        <w:t>4.</w:t>
      </w:r>
      <w:r>
        <w:tab/>
        <w:t>Clause 2.2(c)</w:t>
      </w:r>
      <w:r>
        <w:tab/>
      </w:r>
      <w:r>
        <w:fldChar w:fldCharType="begin"/>
      </w:r>
      <w:r>
        <w:instrText xml:space="preserve"> PAGEREF _Toc426019772 \h </w:instrText>
      </w:r>
      <w:r>
        <w:fldChar w:fldCharType="separate"/>
      </w:r>
      <w:r>
        <w:t>5</w:t>
      </w:r>
      <w:r>
        <w:fldChar w:fldCharType="end"/>
      </w:r>
    </w:p>
    <w:p>
      <w:pPr>
        <w:pStyle w:val="TOC8"/>
        <w:rPr>
          <w:rFonts w:asciiTheme="minorHAnsi" w:eastAsiaTheme="minorEastAsia" w:hAnsiTheme="minorHAnsi" w:cstheme="minorBidi"/>
          <w:szCs w:val="22"/>
        </w:rPr>
      </w:pPr>
      <w:r>
        <w:t>5.</w:t>
      </w:r>
      <w:r>
        <w:tab/>
        <w:t>Clause 2.2 Note 1</w:t>
      </w:r>
      <w:r>
        <w:tab/>
      </w:r>
      <w:r>
        <w:fldChar w:fldCharType="begin"/>
      </w:r>
      <w:r>
        <w:instrText xml:space="preserve"> PAGEREF _Toc426019773 \h </w:instrText>
      </w:r>
      <w:r>
        <w:fldChar w:fldCharType="separate"/>
      </w:r>
      <w:r>
        <w:t>5</w:t>
      </w:r>
      <w:r>
        <w:fldChar w:fldCharType="end"/>
      </w:r>
    </w:p>
    <w:p>
      <w:pPr>
        <w:pStyle w:val="TOC8"/>
        <w:rPr>
          <w:rFonts w:asciiTheme="minorHAnsi" w:eastAsiaTheme="minorEastAsia" w:hAnsiTheme="minorHAnsi" w:cstheme="minorBidi"/>
          <w:szCs w:val="22"/>
        </w:rPr>
      </w:pPr>
      <w:r>
        <w:t>6.</w:t>
      </w:r>
      <w:r>
        <w:tab/>
        <w:t>Clause 2.2 Note 5</w:t>
      </w:r>
      <w:r>
        <w:tab/>
      </w:r>
      <w:r>
        <w:fldChar w:fldCharType="begin"/>
      </w:r>
      <w:r>
        <w:instrText xml:space="preserve"> PAGEREF _Toc426019774 \h </w:instrText>
      </w:r>
      <w:r>
        <w:fldChar w:fldCharType="separate"/>
      </w:r>
      <w:r>
        <w:t>5</w:t>
      </w:r>
      <w:r>
        <w:fldChar w:fldCharType="end"/>
      </w:r>
    </w:p>
    <w:p>
      <w:pPr>
        <w:pStyle w:val="TOC8"/>
        <w:rPr>
          <w:rFonts w:asciiTheme="minorHAnsi" w:eastAsiaTheme="minorEastAsia" w:hAnsiTheme="minorHAnsi" w:cstheme="minorBidi"/>
          <w:szCs w:val="22"/>
        </w:rPr>
      </w:pPr>
      <w:r>
        <w:t>7.</w:t>
      </w:r>
      <w:r>
        <w:tab/>
        <w:t>Clauses 2.4 and 2.5</w:t>
      </w:r>
      <w:r>
        <w:tab/>
      </w:r>
      <w:r>
        <w:fldChar w:fldCharType="begin"/>
      </w:r>
      <w:r>
        <w:instrText xml:space="preserve"> PAGEREF _Toc426019775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2.4</w:t>
      </w:r>
      <w:r>
        <w:rPr>
          <w:noProof/>
        </w:rPr>
        <w:tab/>
      </w:r>
      <w:r>
        <w:rPr>
          <w:noProof/>
        </w:rPr>
        <w:fldChar w:fldCharType="begin"/>
      </w:r>
      <w:r>
        <w:rPr>
          <w:noProof/>
        </w:rPr>
        <w:instrText xml:space="preserve"> PAGEREF _Toc426019776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r>
      <w:r>
        <w:rPr>
          <w:noProof/>
        </w:rPr>
        <w:fldChar w:fldCharType="begin"/>
      </w:r>
      <w:r>
        <w:rPr>
          <w:noProof/>
        </w:rPr>
        <w:instrText xml:space="preserve"> PAGEREF _Toc426019777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8.</w:t>
      </w:r>
      <w:r>
        <w:tab/>
        <w:t>Clause 3.4</w:t>
      </w:r>
      <w:r>
        <w:tab/>
      </w:r>
      <w:r>
        <w:fldChar w:fldCharType="begin"/>
      </w:r>
      <w:r>
        <w:instrText xml:space="preserve"> PAGEREF _Toc426019778 \h </w:instrText>
      </w:r>
      <w:r>
        <w:fldChar w:fldCharType="separate"/>
      </w:r>
      <w:r>
        <w:t>6</w:t>
      </w:r>
      <w:r>
        <w:fldChar w:fldCharType="end"/>
      </w:r>
    </w:p>
    <w:p>
      <w:pPr>
        <w:pStyle w:val="TOC8"/>
        <w:rPr>
          <w:rFonts w:asciiTheme="minorHAnsi" w:eastAsiaTheme="minorEastAsia" w:hAnsiTheme="minorHAnsi" w:cstheme="minorBidi"/>
          <w:szCs w:val="22"/>
        </w:rPr>
      </w:pPr>
      <w:r>
        <w:t>9.</w:t>
      </w:r>
      <w:r>
        <w:tab/>
        <w:t>Clause 3.5</w:t>
      </w:r>
      <w:r>
        <w:tab/>
      </w:r>
      <w:r>
        <w:fldChar w:fldCharType="begin"/>
      </w:r>
      <w:r>
        <w:instrText xml:space="preserve"> PAGEREF _Toc426019779 \h </w:instrText>
      </w:r>
      <w:r>
        <w:fldChar w:fldCharType="separate"/>
      </w:r>
      <w:r>
        <w:t>6</w:t>
      </w:r>
      <w:r>
        <w:fldChar w:fldCharType="end"/>
      </w:r>
    </w:p>
    <w:p>
      <w:pPr>
        <w:pStyle w:val="TOC8"/>
        <w:rPr>
          <w:rFonts w:asciiTheme="minorHAnsi" w:eastAsiaTheme="minorEastAsia" w:hAnsiTheme="minorHAnsi" w:cstheme="minorBidi"/>
          <w:szCs w:val="22"/>
        </w:rPr>
      </w:pPr>
      <w:r>
        <w:t>10.</w:t>
      </w:r>
      <w:r>
        <w:tab/>
        <w:t>Clause 3.6</w:t>
      </w:r>
      <w:r>
        <w:tab/>
      </w:r>
      <w:r>
        <w:fldChar w:fldCharType="begin"/>
      </w:r>
      <w:r>
        <w:instrText xml:space="preserve"> PAGEREF _Toc426019780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_Toc426019782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(Product Information Standard) Regulations 2003</w:t>
      </w:r>
    </w:p>
    <w:p>
      <w:pPr>
        <w:pStyle w:val="Heading5"/>
      </w:pPr>
      <w:bookmarkStart w:id="3" w:name="_Toc378248120"/>
      <w:bookmarkStart w:id="4" w:name="_Toc42601976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Fair Trading (Product Information Standard) Regulations 2003</w:t>
      </w:r>
      <w:r>
        <w:t>.</w:t>
      </w:r>
    </w:p>
    <w:p>
      <w:pPr>
        <w:pStyle w:val="Heading5"/>
      </w:pPr>
      <w:bookmarkStart w:id="6" w:name="_Toc378248121"/>
      <w:bookmarkStart w:id="7" w:name="_Toc426019761"/>
      <w:r>
        <w:rPr>
          <w:rStyle w:val="CharSectno"/>
        </w:rPr>
        <w:t>2</w:t>
      </w:r>
      <w:r>
        <w:t>.</w:t>
      </w:r>
      <w:r>
        <w:tab/>
        <w:t>Interpretation</w:t>
      </w:r>
      <w:bookmarkEnd w:id="6"/>
      <w:bookmarkEnd w:id="7"/>
    </w:p>
    <w:p>
      <w:pPr>
        <w:pStyle w:val="Subsection"/>
      </w:pPr>
      <w:r>
        <w:tab/>
      </w:r>
      <w:r>
        <w:tab/>
        <w:t xml:space="preserve">In these regulations — </w:t>
      </w:r>
    </w:p>
    <w:p>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pPr>
        <w:pStyle w:val="Defpara"/>
      </w:pPr>
      <w:r>
        <w:tab/>
        <w:t>(a)</w:t>
      </w:r>
      <w:r>
        <w:tab/>
        <w:t>second hand goods;</w:t>
      </w:r>
    </w:p>
    <w:p>
      <w:pPr>
        <w:pStyle w:val="Defpara"/>
      </w:pPr>
      <w:r>
        <w:tab/>
        <w:t>(b)</w:t>
      </w:r>
      <w:r>
        <w:tab/>
        <w:t>unsupported coats (including overcoats, jackets and the like) of PVC film, handkerchiefs, braces, garter suspenders, arm bands, belts and headwear;</w:t>
      </w:r>
    </w:p>
    <w:p>
      <w:pPr>
        <w:pStyle w:val="Defpara"/>
      </w:pPr>
      <w:r>
        <w:tab/>
        <w:t>(c)</w:t>
      </w:r>
      <w:r>
        <w:tab/>
        <w:t>footwear other than hosiery or textile materials used in the manufacture of footwear;</w:t>
      </w:r>
    </w:p>
    <w:p>
      <w:pPr>
        <w:pStyle w:val="Defpara"/>
      </w:pPr>
      <w:r>
        <w:tab/>
        <w:t>(d)</w:t>
      </w:r>
      <w:r>
        <w:tab/>
        <w:t>floor cloths, dish cloths, dusters, cleaning cloths and pressing cloths;</w:t>
      </w:r>
    </w:p>
    <w:p>
      <w:pPr>
        <w:pStyle w:val="Defpara"/>
      </w:pPr>
      <w:r>
        <w:tab/>
        <w:t>(e)</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pPr>
        <w:pStyle w:val="Defpara"/>
      </w:pPr>
      <w:r>
        <w:tab/>
        <w:t>(f)</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pPr>
        <w:pStyle w:val="Defpara"/>
      </w:pPr>
      <w:r>
        <w:tab/>
        <w:t>(g)</w:t>
      </w:r>
      <w:r>
        <w:tab/>
        <w:t>jute products;</w:t>
      </w:r>
    </w:p>
    <w:p>
      <w:pPr>
        <w:pStyle w:val="Defpara"/>
      </w:pPr>
      <w:r>
        <w:tab/>
        <w:t>(h)</w:t>
      </w:r>
      <w:r>
        <w:tab/>
        <w:t>goods intended for medical or surgical use including bandages, dressings, sanitary pads or materials forming part of manufactured medical or surgical goods;</w:t>
      </w:r>
    </w:p>
    <w:p>
      <w:pPr>
        <w:pStyle w:val="Defpara"/>
      </w:pPr>
      <w:r>
        <w:tab/>
        <w:t>(i)</w:t>
      </w:r>
      <w:r>
        <w:tab/>
        <w:t>beach or garden umbrella coverings; or</w:t>
      </w:r>
    </w:p>
    <w:p>
      <w:pPr>
        <w:pStyle w:val="Defpara"/>
      </w:pPr>
      <w:r>
        <w:tab/>
        <w:t>(j)</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pPr>
        <w:pStyle w:val="Heading5"/>
      </w:pPr>
      <w:bookmarkStart w:id="8" w:name="_Toc378248122"/>
      <w:bookmarkStart w:id="9" w:name="_Toc426019762"/>
      <w:r>
        <w:rPr>
          <w:rStyle w:val="CharSectno"/>
        </w:rPr>
        <w:t>3</w:t>
      </w:r>
      <w:r>
        <w:t>.</w:t>
      </w:r>
      <w:r>
        <w:tab/>
        <w:t>Product information standard for clothing and textile products</w:t>
      </w:r>
      <w:bookmarkEnd w:id="8"/>
      <w:bookmarkEnd w:id="9"/>
    </w:p>
    <w:p>
      <w:pPr>
        <w:pStyle w:val="Subsection"/>
      </w:pPr>
      <w:r>
        <w:tab/>
      </w:r>
      <w:r>
        <w:tab/>
        <w:t>The product information standard for clothing and textile products consists of the standard set out in Schedule 1 Division 1, as varied by Schedule 1 Division 2.</w:t>
      </w:r>
    </w:p>
    <w:p>
      <w:pPr>
        <w:pStyle w:val="Heading5"/>
      </w:pPr>
      <w:bookmarkStart w:id="10" w:name="_Toc378248123"/>
      <w:bookmarkStart w:id="11" w:name="_Toc426019763"/>
      <w:r>
        <w:rPr>
          <w:rStyle w:val="CharSectno"/>
        </w:rPr>
        <w:t>4</w:t>
      </w:r>
      <w:r>
        <w:t>.</w:t>
      </w:r>
      <w:r>
        <w:tab/>
      </w:r>
      <w:r>
        <w:rPr>
          <w:i/>
        </w:rPr>
        <w:t>Fair Trading (Textile Products and Other Goods — Product Information) Regulations 1988</w:t>
      </w:r>
      <w:r>
        <w:t xml:space="preserve"> repealed</w:t>
      </w:r>
      <w:bookmarkEnd w:id="10"/>
      <w:bookmarkEnd w:id="11"/>
    </w:p>
    <w:p>
      <w:pPr>
        <w:pStyle w:val="Subsection"/>
      </w:pPr>
      <w:r>
        <w:tab/>
      </w:r>
      <w:r>
        <w:tab/>
        <w:t xml:space="preserve">The </w:t>
      </w:r>
      <w:r>
        <w:rPr>
          <w:i/>
        </w:rPr>
        <w:t>Fair Trading (Textile Products and Other Goods — Product Information) Regulations 1988</w:t>
      </w:r>
      <w:r>
        <w:t xml:space="preserve"> are repealed.</w:t>
      </w:r>
    </w:p>
    <w:p>
      <w:pPr>
        <w:pStyle w:val="Defpara"/>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248124"/>
      <w:bookmarkStart w:id="13" w:name="_Toc426019704"/>
      <w:bookmarkStart w:id="14" w:name="_Toc426019764"/>
      <w:r>
        <w:rPr>
          <w:rStyle w:val="CharSchNo"/>
        </w:rPr>
        <w:t>Schedule 1</w:t>
      </w:r>
      <w:r>
        <w:t xml:space="preserve"> — </w:t>
      </w:r>
      <w:r>
        <w:rPr>
          <w:rStyle w:val="CharSchText"/>
        </w:rPr>
        <w:t>The Standard</w:t>
      </w:r>
      <w:bookmarkEnd w:id="12"/>
      <w:bookmarkEnd w:id="13"/>
      <w:bookmarkEnd w:id="14"/>
    </w:p>
    <w:p>
      <w:pPr>
        <w:pStyle w:val="yShoulderClause"/>
      </w:pPr>
      <w:r>
        <w:t>[r. 3]</w:t>
      </w:r>
    </w:p>
    <w:p>
      <w:pPr>
        <w:pStyle w:val="yHeading3"/>
      </w:pPr>
      <w:bookmarkStart w:id="15" w:name="_Toc378248125"/>
      <w:bookmarkStart w:id="16" w:name="_Toc426019705"/>
      <w:bookmarkStart w:id="17" w:name="_Toc426019765"/>
      <w:r>
        <w:rPr>
          <w:rStyle w:val="CharSDivNo"/>
        </w:rPr>
        <w:t>Division 1</w:t>
      </w:r>
      <w:r>
        <w:rPr>
          <w:b w:val="0"/>
        </w:rPr>
        <w:t> — </w:t>
      </w:r>
      <w:r>
        <w:rPr>
          <w:rStyle w:val="CharSDivText"/>
        </w:rPr>
        <w:t>AS/NZS 1957:1998</w:t>
      </w:r>
      <w:bookmarkEnd w:id="15"/>
      <w:bookmarkEnd w:id="16"/>
      <w:bookmarkEnd w:id="17"/>
    </w:p>
    <w:p>
      <w:pPr>
        <w:pStyle w:val="yHeading5"/>
      </w:pPr>
      <w:bookmarkStart w:id="18" w:name="_Toc378248126"/>
      <w:bookmarkStart w:id="19" w:name="_Toc426019766"/>
      <w:r>
        <w:rPr>
          <w:rStyle w:val="CharSClsNo"/>
        </w:rPr>
        <w:t>1</w:t>
      </w:r>
      <w:r>
        <w:t>.</w:t>
      </w:r>
      <w:r>
        <w:tab/>
        <w:t>AS/NZS 1957:1998</w:t>
      </w:r>
      <w:bookmarkEnd w:id="18"/>
      <w:bookmarkEnd w:id="19"/>
    </w:p>
    <w:p>
      <w:pPr>
        <w:pStyle w:val="ySubsection"/>
      </w:pPr>
      <w:r>
        <w:tab/>
      </w:r>
      <w:r>
        <w:tab/>
        <w:t xml:space="preserve">Australian/New Zealand Standard AS/NZS 1957:1998 </w:t>
      </w:r>
      <w:r>
        <w:rPr>
          <w:i/>
        </w:rPr>
        <w:t>Textiles </w:t>
      </w:r>
      <w:r>
        <w:rPr>
          <w:i/>
        </w:rPr>
        <w:noBreakHyphen/>
        <w:t> Care labelling</w:t>
      </w:r>
      <w:r>
        <w:t>, published by Standards Australia on 5 January 1998.</w:t>
      </w:r>
    </w:p>
    <w:p>
      <w:pPr>
        <w:pStyle w:val="yHeading3"/>
      </w:pPr>
      <w:bookmarkStart w:id="20" w:name="_Toc378248127"/>
      <w:bookmarkStart w:id="21" w:name="_Toc426019707"/>
      <w:bookmarkStart w:id="22" w:name="_Toc426019767"/>
      <w:r>
        <w:rPr>
          <w:rStyle w:val="CharSDivNo"/>
        </w:rPr>
        <w:t>Division 2</w:t>
      </w:r>
      <w:r>
        <w:rPr>
          <w:b w:val="0"/>
        </w:rPr>
        <w:t> — </w:t>
      </w:r>
      <w:r>
        <w:rPr>
          <w:rStyle w:val="CharSDivText"/>
        </w:rPr>
        <w:t>Variations to AS/NZS 1957:1998</w:t>
      </w:r>
      <w:bookmarkEnd w:id="20"/>
      <w:bookmarkEnd w:id="21"/>
      <w:bookmarkEnd w:id="22"/>
    </w:p>
    <w:p>
      <w:pPr>
        <w:pStyle w:val="yHeading5"/>
      </w:pPr>
      <w:bookmarkStart w:id="23" w:name="_Toc378248128"/>
      <w:bookmarkStart w:id="24" w:name="_Toc426019768"/>
      <w:r>
        <w:rPr>
          <w:rStyle w:val="CharSClsNo"/>
        </w:rPr>
        <w:t>1</w:t>
      </w:r>
      <w:r>
        <w:t>.</w:t>
      </w:r>
      <w:r>
        <w:tab/>
        <w:t>Clauses 1.1, 1.2, 1.3 and 1.4</w:t>
      </w:r>
      <w:bookmarkEnd w:id="23"/>
      <w:bookmarkEnd w:id="24"/>
      <w:r>
        <w:t xml:space="preserve"> </w:t>
      </w:r>
    </w:p>
    <w:p>
      <w:pPr>
        <w:pStyle w:val="ySubsection"/>
      </w:pPr>
      <w:r>
        <w:tab/>
      </w:r>
      <w:r>
        <w:tab/>
        <w:t>Delete clauses 1.1, 1.2, 1.3 and 1.4.</w:t>
      </w:r>
    </w:p>
    <w:p>
      <w:pPr>
        <w:pStyle w:val="yHeading5"/>
      </w:pPr>
      <w:bookmarkStart w:id="25" w:name="_Toc378248129"/>
      <w:bookmarkStart w:id="26" w:name="_Toc426019769"/>
      <w:r>
        <w:rPr>
          <w:rStyle w:val="CharSClsNo"/>
        </w:rPr>
        <w:t>2</w:t>
      </w:r>
      <w:r>
        <w:t>.</w:t>
      </w:r>
      <w:r>
        <w:tab/>
        <w:t>Clause 2.1.3</w:t>
      </w:r>
      <w:bookmarkEnd w:id="25"/>
      <w:bookmarkEnd w:id="26"/>
      <w:r>
        <w:t xml:space="preserve"> </w:t>
      </w:r>
    </w:p>
    <w:p>
      <w:pPr>
        <w:pStyle w:val="ySubsection"/>
      </w:pPr>
      <w:r>
        <w:tab/>
      </w:r>
      <w:r>
        <w:tab/>
        <w:t xml:space="preserve">Delete clause 2.1.3 and insert the following clause instead — </w:t>
      </w:r>
    </w:p>
    <w:p>
      <w:pPr>
        <w:pStyle w:val="MiscOpen"/>
      </w:pPr>
      <w:r>
        <w:t xml:space="preserve">“    </w:t>
      </w:r>
    </w:p>
    <w:p>
      <w:pPr>
        <w:pStyle w:val="zyHeading5"/>
        <w:spacing w:before="0"/>
      </w:pPr>
      <w:bookmarkStart w:id="27" w:name="_Toc426019770"/>
      <w:r>
        <w:t>2.1.3</w:t>
      </w:r>
      <w:r>
        <w:rPr>
          <w:b w:val="0"/>
        </w:rPr>
        <w:tab/>
      </w:r>
      <w:r>
        <w:t>Care instructions for articles unable to be washed or dry cleaned</w:t>
      </w:r>
      <w:bookmarkEnd w:id="27"/>
    </w:p>
    <w:p>
      <w:pPr>
        <w:pStyle w:val="zySubsection"/>
      </w:pPr>
      <w:r>
        <w:tab/>
      </w:r>
      <w:r>
        <w:tab/>
        <w:t xml:space="preserve">Where an article is unable to be washed or dry cleaned, the permanent label shall include appropriate instructions in words — </w:t>
      </w:r>
    </w:p>
    <w:p>
      <w:pPr>
        <w:pStyle w:val="zyIndenta"/>
      </w:pPr>
      <w:r>
        <w:tab/>
        <w:t>(a)</w:t>
      </w:r>
      <w:r>
        <w:tab/>
        <w:t>which warn that the article is unable to be washed or dry cleaned; and</w:t>
      </w:r>
    </w:p>
    <w:p>
      <w:pPr>
        <w:pStyle w:val="zyIndenta"/>
      </w:pPr>
      <w:r>
        <w:tab/>
        <w:t>(b)</w:t>
      </w:r>
      <w:r>
        <w:tab/>
        <w:t>which adequately describe the care treatment.</w:t>
      </w:r>
    </w:p>
    <w:p>
      <w:pPr>
        <w:pStyle w:val="MiscClose"/>
      </w:pPr>
      <w:r>
        <w:t xml:space="preserve">    ”.</w:t>
      </w:r>
    </w:p>
    <w:p>
      <w:pPr>
        <w:pStyle w:val="yHeading5"/>
      </w:pPr>
      <w:bookmarkStart w:id="28" w:name="_Toc378248130"/>
      <w:bookmarkStart w:id="29" w:name="_Toc426019771"/>
      <w:r>
        <w:rPr>
          <w:rStyle w:val="CharSClsNo"/>
        </w:rPr>
        <w:t>3</w:t>
      </w:r>
      <w:r>
        <w:t>.</w:t>
      </w:r>
      <w:r>
        <w:tab/>
        <w:t>Clause 2.2(b)</w:t>
      </w:r>
      <w:bookmarkEnd w:id="28"/>
      <w:bookmarkEnd w:id="29"/>
    </w:p>
    <w:p>
      <w:pPr>
        <w:pStyle w:val="ySubsection"/>
      </w:pPr>
      <w:r>
        <w:tab/>
      </w:r>
      <w:r>
        <w:tab/>
        <w:t>Delete clause 2.2(b).</w:t>
      </w:r>
    </w:p>
    <w:p>
      <w:pPr>
        <w:pStyle w:val="yHeading5"/>
        <w:pageBreakBefore/>
      </w:pPr>
      <w:bookmarkStart w:id="30" w:name="_Toc378248131"/>
      <w:bookmarkStart w:id="31" w:name="_Toc426019772"/>
      <w:r>
        <w:rPr>
          <w:rStyle w:val="CharSClsNo"/>
        </w:rPr>
        <w:t>4</w:t>
      </w:r>
      <w:r>
        <w:t>.</w:t>
      </w:r>
      <w:r>
        <w:tab/>
        <w:t>Clause 2.2(c)</w:t>
      </w:r>
      <w:bookmarkEnd w:id="30"/>
      <w:bookmarkEnd w:id="31"/>
    </w:p>
    <w:p>
      <w:pPr>
        <w:pStyle w:val="ySubsection"/>
      </w:pPr>
      <w:r>
        <w:tab/>
      </w:r>
      <w:r>
        <w:tab/>
        <w:t xml:space="preserve">Delete clause 2.2(c) and insert the following paragraph instead — </w:t>
      </w:r>
    </w:p>
    <w:p>
      <w:pPr>
        <w:pStyle w:val="MiscOpen"/>
        <w:ind w:left="1340"/>
      </w:pPr>
      <w:r>
        <w:t xml:space="preserve">“    </w:t>
      </w:r>
    </w:p>
    <w:p>
      <w:pPr>
        <w:pStyle w:val="zyIndenta"/>
        <w:spacing w:before="0"/>
      </w:pPr>
      <w:r>
        <w:tab/>
        <w:t>(c)</w:t>
      </w:r>
      <w:r>
        <w:tab/>
        <w:t>The wording of the label shall be in English and be clearly legible.</w:t>
      </w:r>
    </w:p>
    <w:p>
      <w:pPr>
        <w:pStyle w:val="MiscClose"/>
      </w:pPr>
      <w:r>
        <w:t xml:space="preserve">    ”.</w:t>
      </w:r>
    </w:p>
    <w:p>
      <w:pPr>
        <w:pStyle w:val="yHeading5"/>
      </w:pPr>
      <w:bookmarkStart w:id="32" w:name="_Toc378248132"/>
      <w:bookmarkStart w:id="33" w:name="_Toc426019773"/>
      <w:r>
        <w:rPr>
          <w:rStyle w:val="CharSClsNo"/>
        </w:rPr>
        <w:t>5</w:t>
      </w:r>
      <w:r>
        <w:t>.</w:t>
      </w:r>
      <w:r>
        <w:tab/>
        <w:t>Clause 2.2 Note 1</w:t>
      </w:r>
      <w:bookmarkEnd w:id="32"/>
      <w:bookmarkEnd w:id="33"/>
    </w:p>
    <w:p>
      <w:pPr>
        <w:pStyle w:val="ySubsection"/>
      </w:pPr>
      <w:r>
        <w:tab/>
      </w:r>
      <w:r>
        <w:tab/>
        <w:t>Delete Note 1 to clause 2.2.</w:t>
      </w:r>
    </w:p>
    <w:p>
      <w:pPr>
        <w:pStyle w:val="yHeading5"/>
      </w:pPr>
      <w:bookmarkStart w:id="34" w:name="_Toc378248133"/>
      <w:bookmarkStart w:id="35" w:name="_Toc426019774"/>
      <w:r>
        <w:rPr>
          <w:rStyle w:val="CharSClsNo"/>
        </w:rPr>
        <w:t>6</w:t>
      </w:r>
      <w:r>
        <w:t>.</w:t>
      </w:r>
      <w:r>
        <w:tab/>
        <w:t>Clause 2.2 Note 5</w:t>
      </w:r>
      <w:bookmarkEnd w:id="34"/>
      <w:bookmarkEnd w:id="35"/>
    </w:p>
    <w:p>
      <w:pPr>
        <w:pStyle w:val="ySubsection"/>
      </w:pPr>
      <w:r>
        <w:tab/>
      </w:r>
      <w:r>
        <w:tab/>
        <w:t xml:space="preserve">Note 5 to clause 2.2 is amended by inserting the following words after “and therefore a different care label should be attached to that component.” — </w:t>
      </w:r>
    </w:p>
    <w:p>
      <w:pPr>
        <w:pStyle w:val="MiscOpen"/>
        <w:ind w:left="880"/>
      </w:pPr>
      <w:r>
        <w:t xml:space="preserve">“    </w:t>
      </w:r>
    </w:p>
    <w:p>
      <w:pPr>
        <w:pStyle w:val="zySubsection"/>
        <w:spacing w:before="0"/>
        <w:rPr>
          <w:sz w:val="20"/>
        </w:rPr>
      </w:pPr>
      <w:r>
        <w:tab/>
      </w:r>
      <w:r>
        <w:tab/>
        <w:t>This includes individual pieces of household textile products sold as sets, e.g. napkin and tablecloth sets.</w:t>
      </w:r>
    </w:p>
    <w:p>
      <w:pPr>
        <w:pStyle w:val="MiscClose"/>
      </w:pPr>
      <w:r>
        <w:t xml:space="preserve">    ”.</w:t>
      </w:r>
    </w:p>
    <w:p>
      <w:pPr>
        <w:pStyle w:val="yHeading5"/>
      </w:pPr>
      <w:bookmarkStart w:id="36" w:name="_Toc378248134"/>
      <w:bookmarkStart w:id="37" w:name="_Toc426019775"/>
      <w:r>
        <w:rPr>
          <w:rStyle w:val="CharSClsNo"/>
        </w:rPr>
        <w:t>7</w:t>
      </w:r>
      <w:r>
        <w:t>.</w:t>
      </w:r>
      <w:r>
        <w:tab/>
        <w:t>Clauses 2.4 and 2.5</w:t>
      </w:r>
      <w:bookmarkEnd w:id="36"/>
      <w:bookmarkEnd w:id="37"/>
    </w:p>
    <w:p>
      <w:pPr>
        <w:pStyle w:val="ySubsection"/>
      </w:pPr>
      <w:r>
        <w:tab/>
      </w:r>
      <w:r>
        <w:tab/>
        <w:t xml:space="preserve">After clause 2.3 the following clauses are inserted — </w:t>
      </w:r>
    </w:p>
    <w:p>
      <w:pPr>
        <w:pStyle w:val="MiscOpen"/>
      </w:pPr>
      <w:r>
        <w:t xml:space="preserve">“    </w:t>
      </w:r>
    </w:p>
    <w:p>
      <w:pPr>
        <w:pStyle w:val="zyHeading5"/>
        <w:spacing w:before="0"/>
        <w:rPr>
          <w:b w:val="0"/>
        </w:rPr>
      </w:pPr>
      <w:bookmarkStart w:id="38" w:name="_Toc426019776"/>
      <w:r>
        <w:t>2.4</w:t>
      </w:r>
      <w:bookmarkEnd w:id="38"/>
      <w:r>
        <w:rPr>
          <w:b w:val="0"/>
        </w:rPr>
        <w:tab/>
      </w:r>
    </w:p>
    <w:p>
      <w:pPr>
        <w:pStyle w:val="zySubsection"/>
      </w:pPr>
      <w:r>
        <w:tab/>
      </w:r>
      <w:r>
        <w:tab/>
        <w:t>Where in this standard there is a requirement for care instructions from categories in Tables 1, 2 or 3 to be provided on or with articles, words that have a similar meaning to the care instructions listed in Tables 1, 2 or 3 may be used.</w:t>
      </w:r>
    </w:p>
    <w:p>
      <w:pPr>
        <w:pStyle w:val="zyHeading5"/>
        <w:rPr>
          <w:b w:val="0"/>
        </w:rPr>
      </w:pPr>
      <w:bookmarkStart w:id="39" w:name="_Toc426019777"/>
      <w:r>
        <w:t>2.5</w:t>
      </w:r>
      <w:bookmarkEnd w:id="39"/>
      <w:r>
        <w:rPr>
          <w:b w:val="0"/>
        </w:rPr>
        <w:tab/>
      </w:r>
    </w:p>
    <w:p>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pPr>
        <w:pStyle w:val="zySubsection"/>
        <w:rPr>
          <w:b/>
        </w:rPr>
      </w:pPr>
      <w:r>
        <w:tab/>
      </w:r>
      <w:r>
        <w:tab/>
      </w:r>
      <w:r>
        <w:rPr>
          <w:b/>
        </w:rPr>
        <w:t>Made up goods for which care instructions may be provided in a form other than by a permanent label:</w:t>
      </w:r>
    </w:p>
    <w:p>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pPr>
        <w:pStyle w:val="zySubsection"/>
      </w:pPr>
      <w:r>
        <w:tab/>
      </w:r>
      <w:r>
        <w:tab/>
      </w:r>
      <w:r>
        <w:rPr>
          <w:b/>
        </w:rPr>
        <w:t>Furnishings:</w:t>
      </w:r>
      <w:r>
        <w:t xml:space="preserve"> Shower curtains.</w:t>
      </w:r>
    </w:p>
    <w:p>
      <w:pPr>
        <w:pStyle w:val="zySubsection"/>
      </w:pPr>
      <w:r>
        <w:tab/>
      </w:r>
      <w:r>
        <w:tab/>
      </w:r>
      <w:r>
        <w:rPr>
          <w:b/>
        </w:rPr>
        <w:t>Miscellaneous:</w:t>
      </w:r>
      <w:r>
        <w:t xml:space="preserve"> Gardening gloves.</w:t>
      </w:r>
    </w:p>
    <w:p>
      <w:pPr>
        <w:pStyle w:val="MiscClose"/>
      </w:pPr>
      <w:r>
        <w:t xml:space="preserve">    ”.</w:t>
      </w:r>
    </w:p>
    <w:p>
      <w:pPr>
        <w:pStyle w:val="yHeading5"/>
      </w:pPr>
      <w:bookmarkStart w:id="40" w:name="_Toc378248135"/>
      <w:bookmarkStart w:id="41" w:name="_Toc426019778"/>
      <w:r>
        <w:rPr>
          <w:rStyle w:val="CharSClsNo"/>
        </w:rPr>
        <w:t>8</w:t>
      </w:r>
      <w:r>
        <w:t>.</w:t>
      </w:r>
      <w:r>
        <w:tab/>
        <w:t>Clause 3.4</w:t>
      </w:r>
      <w:bookmarkEnd w:id="40"/>
      <w:bookmarkEnd w:id="41"/>
    </w:p>
    <w:p>
      <w:pPr>
        <w:pStyle w:val="ySubsection"/>
      </w:pPr>
      <w:r>
        <w:tab/>
      </w:r>
      <w:r>
        <w:tab/>
        <w:t>Clause 3.4 is amended by deleting “each o</w:t>
      </w:r>
      <w:r>
        <w:rPr>
          <w:spacing w:val="40"/>
        </w:rPr>
        <w:t>f</w:t>
      </w:r>
      <w:r>
        <w:t>” from its first sentence.</w:t>
      </w:r>
    </w:p>
    <w:p>
      <w:pPr>
        <w:pStyle w:val="yHeading5"/>
      </w:pPr>
      <w:bookmarkStart w:id="42" w:name="_Toc378248136"/>
      <w:bookmarkStart w:id="43" w:name="_Toc426019779"/>
      <w:r>
        <w:rPr>
          <w:rStyle w:val="CharSClsNo"/>
        </w:rPr>
        <w:t>9</w:t>
      </w:r>
      <w:r>
        <w:t>.</w:t>
      </w:r>
      <w:r>
        <w:tab/>
        <w:t>Clause 3.5</w:t>
      </w:r>
      <w:bookmarkEnd w:id="42"/>
      <w:bookmarkEnd w:id="43"/>
    </w:p>
    <w:p>
      <w:pPr>
        <w:pStyle w:val="ySubsection"/>
      </w:pPr>
      <w:r>
        <w:tab/>
      </w:r>
      <w:r>
        <w:tab/>
        <w:t>Clause 3.5 is amended by deleting “each o</w:t>
      </w:r>
      <w:r>
        <w:rPr>
          <w:spacing w:val="40"/>
        </w:rPr>
        <w:t>f</w:t>
      </w:r>
      <w:r>
        <w:t>” from its first sentence.</w:t>
      </w:r>
    </w:p>
    <w:p>
      <w:pPr>
        <w:pStyle w:val="yHeading5"/>
      </w:pPr>
      <w:bookmarkStart w:id="44" w:name="_Toc378248137"/>
      <w:bookmarkStart w:id="45" w:name="_Toc426019780"/>
      <w:r>
        <w:rPr>
          <w:rStyle w:val="CharSClsNo"/>
        </w:rPr>
        <w:t>10</w:t>
      </w:r>
      <w:r>
        <w:t>.</w:t>
      </w:r>
      <w:r>
        <w:tab/>
        <w:t>Clause 3.6</w:t>
      </w:r>
      <w:bookmarkEnd w:id="44"/>
      <w:bookmarkEnd w:id="45"/>
    </w:p>
    <w:p>
      <w:pPr>
        <w:pStyle w:val="ySubsection"/>
      </w:pPr>
      <w:r>
        <w:tab/>
      </w:r>
      <w:r>
        <w:tab/>
        <w:t>Clause 3.6 is amended as follows:</w:t>
      </w:r>
    </w:p>
    <w:p>
      <w:pPr>
        <w:pStyle w:val="yIndenta"/>
      </w:pPr>
      <w:r>
        <w:tab/>
        <w:t>(a)</w:t>
      </w:r>
      <w:r>
        <w:tab/>
        <w:t xml:space="preserve">by deleting “each category” from its second sentence and inserting instead — </w:t>
      </w:r>
    </w:p>
    <w:p>
      <w:pPr>
        <w:pStyle w:val="yIndenta"/>
      </w:pPr>
      <w:r>
        <w:tab/>
      </w:r>
      <w:r>
        <w:tab/>
        <w:t>“    the categories    ”;</w:t>
      </w:r>
    </w:p>
    <w:p>
      <w:pPr>
        <w:pStyle w:val="yIndenta"/>
      </w:pPr>
      <w:r>
        <w:tab/>
        <w:t>(b)</w:t>
      </w:r>
      <w:r>
        <w:tab/>
        <w:t>by deleting its third sentence.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7" w:name="_Toc378248138"/>
      <w:bookmarkStart w:id="48" w:name="_Toc426019721"/>
      <w:bookmarkStart w:id="49" w:name="_Toc426019781"/>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2003</w:t>
      </w:r>
      <w:r>
        <w:rPr>
          <w:snapToGrid w:val="0"/>
        </w:rPr>
        <w:t>. The following table contains information about those regulations.</w:t>
      </w:r>
    </w:p>
    <w:p>
      <w:pPr>
        <w:pStyle w:val="nHeading3"/>
      </w:pPr>
      <w:bookmarkStart w:id="50" w:name="_Toc378248139"/>
      <w:bookmarkStart w:id="51" w:name="_Toc426019782"/>
      <w: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(Product Information Standard) Regulations 2003</w:t>
            </w:r>
          </w:p>
        </w:tc>
        <w:tc>
          <w:tcPr>
            <w:tcW w:w="1276" w:type="dxa"/>
            <w:tcBorders>
              <w:top w:val="single" w:sz="8" w:space="0" w:color="auto"/>
            </w:tcBorders>
          </w:tcPr>
          <w:p>
            <w:pPr>
              <w:pStyle w:val="nTable"/>
            </w:pPr>
            <w:r>
              <w:t>6 May 2003 p. 1561-4</w:t>
            </w:r>
          </w:p>
        </w:tc>
        <w:tc>
          <w:tcPr>
            <w:tcW w:w="2693" w:type="dxa"/>
            <w:tcBorders>
              <w:top w:val="single" w:sz="8" w:space="0" w:color="auto"/>
            </w:tcBorders>
          </w:tcPr>
          <w:p>
            <w:pPr>
              <w:pStyle w:val="nTable"/>
            </w:pPr>
            <w:r>
              <w:t>6 May 2003</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 xml:space="preserve">Fair Trading (Product Information Standard) Regulations 2005 </w:t>
            </w:r>
            <w:r>
              <w:rPr>
                <w:b/>
                <w:bCs/>
                <w:color w:val="FF0000"/>
              </w:rPr>
              <w:t xml:space="preserve">on 29 Jun 2005 (see </w:t>
            </w:r>
            <w:r>
              <w:rPr>
                <w:b/>
                <w:bCs/>
                <w:i/>
                <w:iCs/>
                <w:color w:val="FF0000"/>
              </w:rPr>
              <w:t xml:space="preserve">Gazette </w:t>
            </w:r>
            <w:r>
              <w:rPr>
                <w:b/>
                <w:bCs/>
                <w:color w:val="FF0000"/>
              </w:rPr>
              <w:t>29 Jun 2005 p. 2975)</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3" w:name="_Toc426019783"/>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clothing and textile products</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4AE6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86E0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6EB3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D6A5B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D467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488B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8C1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CE8B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68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584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40B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20"/>
    <w:docVar w:name="WAFER_20140123132721" w:val="RemoveTocBookmarks,RemoveUnusedBookmarks,RemoveLanguageTags,UsedStyles,ResetPageSize,UpdateArrangement"/>
    <w:docVar w:name="WAFER_20140123132721_GUID" w:val="023bd2a9-d408-4db1-8b45-ee2e6e8f2368"/>
    <w:docVar w:name="WAFER_20140123134233" w:val="RemoveTocBookmarks,RunningHeaders"/>
    <w:docVar w:name="WAFER_20140123134233_GUID" w:val="461bd3d4-089b-469d-a011-adab91e15d4c"/>
    <w:docVar w:name="WAFER_20150729180503" w:val="ResetPageSize,UpdateArrangement,UpdateNTable"/>
    <w:docVar w:name="WAFER_20150729180503_GUID" w:val="4d5b3864-8945-4f81-aeda-34d81172dcb0"/>
    <w:docVar w:name="WAFER_20151117104820" w:val="UpdateStyles,UsedStyles"/>
    <w:docVar w:name="WAFER_20151117104820_GUID" w:val="24a79d72-65f5-4a28-b295-75db416872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1373</Words>
  <Characters>7502</Characters>
  <Application>Microsoft Office Word</Application>
  <DocSecurity>0</DocSecurity>
  <Lines>258</Lines>
  <Paragraphs>161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The Standard</vt:lpstr>
      <vt:lpstr>        Division 1 — AS/NZS 1957:1998</vt:lpstr>
      <vt:lpstr>        Division 2 — Variations to AS/NZS 1957:1998</vt:lpstr>
      <vt:lpstr>    Notes</vt:lpstr>
    </vt:vector>
  </TitlesOfParts>
  <Manager/>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2003 - 00-b0-07</dc:title>
  <dc:subject/>
  <dc:creator/>
  <cp:keywords/>
  <dc:description/>
  <cp:lastModifiedBy>svcMRProcess</cp:lastModifiedBy>
  <cp:revision>4</cp:revision>
  <cp:lastPrinted>2006-04-19T00:53:00Z</cp:lastPrinted>
  <dcterms:created xsi:type="dcterms:W3CDTF">2018-09-11T11:25:00Z</dcterms:created>
  <dcterms:modified xsi:type="dcterms:W3CDTF">2018-09-11T11:26:00Z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2003 pp.1561-4</vt:lpwstr>
  </property>
  <property fmtid="{D5CDD505-2E9C-101B-9397-08002B2CF9AE}" pid="3" name="CommencementDate">
    <vt:lpwstr>20050629</vt:lpwstr>
  </property>
  <property fmtid="{D5CDD505-2E9C-101B-9397-08002B2CF9AE}" pid="4" name="DocumentType">
    <vt:lpwstr>Reg</vt:lpwstr>
  </property>
  <property fmtid="{D5CDD505-2E9C-101B-9397-08002B2CF9AE}" pid="5" name="AsAtDate">
    <vt:lpwstr>29 Jun 2005</vt:lpwstr>
  </property>
  <property fmtid="{D5CDD505-2E9C-101B-9397-08002B2CF9AE}" pid="6" name="Suffix">
    <vt:lpwstr>00-b0-07</vt:lpwstr>
  </property>
  <property fmtid="{D5CDD505-2E9C-101B-9397-08002B2CF9AE}" pid="7" name="Status">
    <vt:lpwstr>NIF</vt:lpwstr>
  </property>
</Properties>
</file>