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(No. 2)) Regulations 2002</w:t>
      </w:r>
      <w:r>
        <w:fldChar w:fldCharType="end"/>
      </w:r>
    </w:p>
    <w:p>
      <w:pPr>
        <w:pStyle w:val="Subsection"/>
      </w:pPr>
      <w:r>
        <w:tab/>
      </w:r>
      <w:r>
        <w:tab/>
      </w:r>
      <w:bookmarkStart w:id="1" w:name="RepealText"/>
      <w:bookmarkEnd w:id="1"/>
      <w:r>
        <w:rPr>
          <w:color w:val="000000"/>
          <w:sz w:val="22"/>
          <w:szCs w:val="22"/>
        </w:rPr>
        <w:t>These regulations expired on 31 Mar 2003 (see r. 4 of these regulations).</w:t>
      </w:r>
    </w:p>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(No. 2))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_Toc435099822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_Toc435099823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_Toc435099824 \h </w:instrText>
      </w:r>
      <w:r>
        <w:fldChar w:fldCharType="separate"/>
      </w:r>
      <w:r>
        <w:t>1</w:t>
      </w:r>
      <w:r>
        <w:fldChar w:fldCharType="end"/>
      </w:r>
    </w:p>
    <w:p>
      <w:pPr>
        <w:pStyle w:val="TOC8"/>
        <w:rPr>
          <w:rFonts w:asciiTheme="minorHAnsi" w:eastAsiaTheme="minorEastAsia" w:hAnsiTheme="minorHAnsi" w:cstheme="minorBidi"/>
          <w:szCs w:val="22"/>
        </w:rPr>
      </w:pPr>
      <w:r>
        <w:t>4.</w:t>
      </w:r>
      <w:r>
        <w:tab/>
        <w:t>Interim Code to remain in force for 6 months</w:t>
      </w:r>
      <w:r>
        <w:tab/>
      </w:r>
      <w:r>
        <w:fldChar w:fldCharType="begin"/>
      </w:r>
      <w:r>
        <w:instrText xml:space="preserve"> PAGEREF _Toc435099825 \h </w:instrText>
      </w:r>
      <w:r>
        <w:fldChar w:fldCharType="separate"/>
      </w:r>
      <w:r>
        <w:t>1</w:t>
      </w:r>
      <w:r>
        <w:fldChar w:fldCharType="end"/>
      </w:r>
    </w:p>
    <w:p>
      <w:pPr>
        <w:pStyle w:val="TOC8"/>
        <w:rPr>
          <w:rFonts w:asciiTheme="minorHAnsi" w:eastAsiaTheme="minorEastAsia" w:hAnsiTheme="minorHAnsi" w:cstheme="minorBidi"/>
          <w:szCs w:val="22"/>
        </w:rPr>
      </w:pPr>
      <w:r>
        <w:t>5.</w:t>
      </w:r>
      <w:r>
        <w:tab/>
        <w:t>Interpretation</w:t>
      </w:r>
      <w:r>
        <w:tab/>
      </w:r>
      <w:r>
        <w:fldChar w:fldCharType="begin"/>
      </w:r>
      <w:r>
        <w:instrText xml:space="preserve"> PAGEREF _Toc435099826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rPr>
        <w:t>Interim Code of Fair Practice for Retirement Villages (No. 2) 2002</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_Toc435099829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_Toc435099830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_Toc435099831 \h </w:instrText>
      </w:r>
      <w:r>
        <w:fldChar w:fldCharType="separate"/>
      </w:r>
      <w:r>
        <w:t>8</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_Toc435099832 \h </w:instrText>
      </w:r>
      <w:r>
        <w:fldChar w:fldCharType="separate"/>
      </w:r>
      <w:r>
        <w:t>9</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_Toc435099833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_Toc435099835 \h </w:instrText>
      </w:r>
      <w:r>
        <w:fldChar w:fldCharType="separate"/>
      </w:r>
      <w:r>
        <w:t>10</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_Toc435099836 \h </w:instrText>
      </w:r>
      <w:r>
        <w:fldChar w:fldCharType="separate"/>
      </w:r>
      <w:r>
        <w:t>11</w:t>
      </w:r>
      <w:r>
        <w:fldChar w:fldCharType="end"/>
      </w:r>
    </w:p>
    <w:p>
      <w:pPr>
        <w:pStyle w:val="TOC8"/>
        <w:rPr>
          <w:rFonts w:asciiTheme="minorHAnsi" w:eastAsiaTheme="minorEastAsia" w:hAnsiTheme="minorHAnsi" w:cstheme="minorBidi"/>
          <w:szCs w:val="22"/>
        </w:rPr>
      </w:pPr>
      <w:r>
        <w:t>2.3</w:t>
      </w:r>
      <w:r>
        <w:tab/>
        <w:t>Proposed facilities and services</w:t>
      </w:r>
      <w:r>
        <w:tab/>
      </w:r>
      <w:r>
        <w:fldChar w:fldCharType="begin"/>
      </w:r>
      <w:r>
        <w:instrText xml:space="preserve"> PAGEREF _Toc435099837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Approvals for facilities that provide a high level of residential care</w:t>
      </w:r>
      <w:r>
        <w:tab/>
      </w:r>
      <w:r>
        <w:fldChar w:fldCharType="begin"/>
      </w:r>
      <w:r>
        <w:instrText xml:space="preserve"> PAGEREF _Toc435099838 \h </w:instrText>
      </w:r>
      <w:r>
        <w:fldChar w:fldCharType="separate"/>
      </w:r>
      <w:r>
        <w:t>11</w:t>
      </w:r>
      <w:r>
        <w:fldChar w:fldCharType="end"/>
      </w:r>
    </w:p>
    <w:p>
      <w:pPr>
        <w:pStyle w:val="TOC8"/>
        <w:rPr>
          <w:rFonts w:asciiTheme="minorHAnsi" w:eastAsiaTheme="minorEastAsia" w:hAnsiTheme="minorHAnsi" w:cstheme="minorBidi"/>
          <w:szCs w:val="22"/>
        </w:rPr>
      </w:pPr>
      <w:r>
        <w:t>2.5</w:t>
      </w:r>
      <w:r>
        <w:tab/>
        <w:t>Entry to Commonwealth funded residential care services</w:t>
      </w:r>
      <w:r>
        <w:tab/>
      </w:r>
      <w:r>
        <w:fldChar w:fldCharType="begin"/>
      </w:r>
      <w:r>
        <w:instrText xml:space="preserve"> PAGEREF _Toc435099839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What you should know before you enter into a contract</w:t>
      </w:r>
    </w:p>
    <w:p>
      <w:pPr>
        <w:pStyle w:val="TOC8"/>
        <w:rPr>
          <w:rFonts w:asciiTheme="minorHAnsi" w:eastAsiaTheme="minorEastAsia" w:hAnsiTheme="minorHAnsi" w:cstheme="minorBidi"/>
          <w:szCs w:val="22"/>
        </w:rPr>
      </w:pPr>
      <w:r>
        <w:t>3.1</w:t>
      </w:r>
      <w:r>
        <w:tab/>
        <w:t>Before you enter into a residence contract</w:t>
      </w:r>
      <w:r>
        <w:tab/>
      </w:r>
      <w:r>
        <w:fldChar w:fldCharType="begin"/>
      </w:r>
      <w:r>
        <w:instrText xml:space="preserve"> PAGEREF _Toc435099841 \h </w:instrText>
      </w:r>
      <w:r>
        <w:fldChar w:fldCharType="separate"/>
      </w:r>
      <w:r>
        <w:t>12</w:t>
      </w:r>
      <w:r>
        <w:fldChar w:fldCharType="end"/>
      </w:r>
    </w:p>
    <w:p>
      <w:pPr>
        <w:pStyle w:val="TOC8"/>
        <w:rPr>
          <w:rFonts w:asciiTheme="minorHAnsi" w:eastAsiaTheme="minorEastAsia" w:hAnsiTheme="minorHAnsi" w:cstheme="minorBidi"/>
          <w:szCs w:val="22"/>
        </w:rPr>
      </w:pPr>
      <w:r>
        <w:t>3.2</w:t>
      </w:r>
      <w:r>
        <w:tab/>
        <w:t>Before you enter into a service contract</w:t>
      </w:r>
      <w:r>
        <w:tab/>
      </w:r>
      <w:r>
        <w:fldChar w:fldCharType="begin"/>
      </w:r>
      <w:r>
        <w:instrText xml:space="preserve"> PAGEREF _Toc435099842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The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_Toc435099844 \h </w:instrText>
      </w:r>
      <w:r>
        <w:fldChar w:fldCharType="separate"/>
      </w:r>
      <w:r>
        <w:t>14</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_Toc435099845 \h </w:instrText>
      </w:r>
      <w:r>
        <w:fldChar w:fldCharType="separate"/>
      </w:r>
      <w:r>
        <w:t>15</w:t>
      </w:r>
      <w:r>
        <w:fldChar w:fldCharType="end"/>
      </w:r>
    </w:p>
    <w:p>
      <w:pPr>
        <w:pStyle w:val="TOC8"/>
        <w:rPr>
          <w:rFonts w:asciiTheme="minorHAnsi" w:eastAsiaTheme="minorEastAsia" w:hAnsiTheme="minorHAnsi" w:cstheme="minorBidi"/>
          <w:szCs w:val="22"/>
        </w:rPr>
      </w:pPr>
      <w:r>
        <w:t>4.3</w:t>
      </w:r>
      <w:r>
        <w:tab/>
        <w:t>Accommodation unit</w:t>
      </w:r>
      <w:r>
        <w:tab/>
      </w:r>
      <w:r>
        <w:fldChar w:fldCharType="begin"/>
      </w:r>
      <w:r>
        <w:instrText xml:space="preserve"> PAGEREF _Toc435099846 \h </w:instrText>
      </w:r>
      <w:r>
        <w:fldChar w:fldCharType="separate"/>
      </w:r>
      <w:r>
        <w:t>15</w:t>
      </w:r>
      <w:r>
        <w:fldChar w:fldCharType="end"/>
      </w:r>
    </w:p>
    <w:p>
      <w:pPr>
        <w:pStyle w:val="TOC8"/>
        <w:rPr>
          <w:rFonts w:asciiTheme="minorHAnsi" w:eastAsiaTheme="minorEastAsia" w:hAnsiTheme="minorHAnsi" w:cstheme="minorBidi"/>
          <w:szCs w:val="22"/>
        </w:rPr>
      </w:pPr>
      <w:r>
        <w:t>4.4</w:t>
      </w:r>
      <w:r>
        <w:tab/>
        <w:t>Services and facilities</w:t>
      </w:r>
      <w:r>
        <w:tab/>
      </w:r>
      <w:r>
        <w:fldChar w:fldCharType="begin"/>
      </w:r>
      <w:r>
        <w:instrText xml:space="preserve"> PAGEREF _Toc435099847 \h </w:instrText>
      </w:r>
      <w:r>
        <w:fldChar w:fldCharType="separate"/>
      </w:r>
      <w:r>
        <w:t>16</w:t>
      </w:r>
      <w:r>
        <w:fldChar w:fldCharType="end"/>
      </w:r>
    </w:p>
    <w:p>
      <w:pPr>
        <w:pStyle w:val="TOC8"/>
        <w:rPr>
          <w:rFonts w:asciiTheme="minorHAnsi" w:eastAsiaTheme="minorEastAsia" w:hAnsiTheme="minorHAnsi" w:cstheme="minorBidi"/>
          <w:szCs w:val="22"/>
        </w:rPr>
      </w:pPr>
      <w:r>
        <w:t>4.5</w:t>
      </w:r>
      <w:r>
        <w:tab/>
        <w:t>Accommodation charges, entry contributions and refund provisions</w:t>
      </w:r>
      <w:r>
        <w:tab/>
      </w:r>
      <w:r>
        <w:fldChar w:fldCharType="begin"/>
      </w:r>
      <w:r>
        <w:instrText xml:space="preserve"> PAGEREF _Toc435099848 \h </w:instrText>
      </w:r>
      <w:r>
        <w:fldChar w:fldCharType="separate"/>
      </w:r>
      <w:r>
        <w:t>16</w:t>
      </w:r>
      <w:r>
        <w:fldChar w:fldCharType="end"/>
      </w:r>
    </w:p>
    <w:p>
      <w:pPr>
        <w:pStyle w:val="TOC8"/>
        <w:rPr>
          <w:rFonts w:asciiTheme="minorHAnsi" w:eastAsiaTheme="minorEastAsia" w:hAnsiTheme="minorHAnsi" w:cstheme="minorBidi"/>
          <w:szCs w:val="22"/>
        </w:rPr>
      </w:pPr>
      <w:r>
        <w:t>4.6</w:t>
      </w:r>
      <w:r>
        <w:tab/>
        <w:t>Regular maintenance and service charges</w:t>
      </w:r>
      <w:r>
        <w:tab/>
      </w:r>
      <w:r>
        <w:fldChar w:fldCharType="begin"/>
      </w:r>
      <w:r>
        <w:instrText xml:space="preserve"> PAGEREF _Toc435099849 \h </w:instrText>
      </w:r>
      <w:r>
        <w:fldChar w:fldCharType="separate"/>
      </w:r>
      <w:r>
        <w:t>17</w:t>
      </w:r>
      <w:r>
        <w:fldChar w:fldCharType="end"/>
      </w:r>
    </w:p>
    <w:p>
      <w:pPr>
        <w:pStyle w:val="TOC8"/>
        <w:rPr>
          <w:rFonts w:asciiTheme="minorHAnsi" w:eastAsiaTheme="minorEastAsia" w:hAnsiTheme="minorHAnsi" w:cstheme="minorBidi"/>
          <w:szCs w:val="22"/>
        </w:rPr>
      </w:pPr>
      <w:r>
        <w:t>4.7</w:t>
      </w:r>
      <w:r>
        <w:tab/>
        <w:t>Relocation</w:t>
      </w:r>
      <w:r>
        <w:tab/>
      </w:r>
      <w:r>
        <w:fldChar w:fldCharType="begin"/>
      </w:r>
      <w:r>
        <w:instrText xml:space="preserve"> PAGEREF _Toc435099850 \h </w:instrText>
      </w:r>
      <w:r>
        <w:fldChar w:fldCharType="separate"/>
      </w:r>
      <w:r>
        <w:t>18</w:t>
      </w:r>
      <w:r>
        <w:fldChar w:fldCharType="end"/>
      </w:r>
    </w:p>
    <w:p>
      <w:pPr>
        <w:pStyle w:val="TOC8"/>
        <w:rPr>
          <w:rFonts w:asciiTheme="minorHAnsi" w:eastAsiaTheme="minorEastAsia" w:hAnsiTheme="minorHAnsi" w:cstheme="minorBidi"/>
          <w:szCs w:val="22"/>
        </w:rPr>
      </w:pPr>
      <w:r>
        <w:t>4.8</w:t>
      </w:r>
      <w:r>
        <w:tab/>
        <w:t>Termination of residence contract and fees payable on termination</w:t>
      </w:r>
      <w:r>
        <w:tab/>
      </w:r>
      <w:r>
        <w:fldChar w:fldCharType="begin"/>
      </w:r>
      <w:r>
        <w:instrText xml:space="preserve"> PAGEREF _Toc435099851 \h </w:instrText>
      </w:r>
      <w:r>
        <w:fldChar w:fldCharType="separate"/>
      </w:r>
      <w:r>
        <w:t>18</w:t>
      </w:r>
      <w:r>
        <w:fldChar w:fldCharType="end"/>
      </w:r>
    </w:p>
    <w:p>
      <w:pPr>
        <w:pStyle w:val="TOC8"/>
        <w:rPr>
          <w:rFonts w:asciiTheme="minorHAnsi" w:eastAsiaTheme="minorEastAsia" w:hAnsiTheme="minorHAnsi" w:cstheme="minorBidi"/>
          <w:szCs w:val="22"/>
        </w:rPr>
      </w:pPr>
      <w:r>
        <w:t>4.9</w:t>
      </w:r>
      <w:r>
        <w:tab/>
        <w:t xml:space="preserve">Residence contract to refer to this Code and the </w:t>
      </w:r>
      <w:r>
        <w:rPr>
          <w:i/>
        </w:rPr>
        <w:t>Retirement Villages Act 1992</w:t>
      </w:r>
      <w:r>
        <w:tab/>
      </w:r>
      <w:r>
        <w:fldChar w:fldCharType="begin"/>
      </w:r>
      <w:r>
        <w:instrText xml:space="preserve"> PAGEREF _Toc435099852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Administering body to create procedures for resident input</w:t>
      </w:r>
      <w:r>
        <w:tab/>
      </w:r>
      <w:r>
        <w:fldChar w:fldCharType="begin"/>
      </w:r>
      <w:r>
        <w:instrText xml:space="preserve"> PAGEREF _Toc435099854 \h </w:instrText>
      </w:r>
      <w:r>
        <w:fldChar w:fldCharType="separate"/>
      </w:r>
      <w:r>
        <w:t>19</w:t>
      </w:r>
      <w:r>
        <w:fldChar w:fldCharType="end"/>
      </w:r>
    </w:p>
    <w:p>
      <w:pPr>
        <w:pStyle w:val="TOC8"/>
        <w:rPr>
          <w:rFonts w:asciiTheme="minorHAnsi" w:eastAsiaTheme="minorEastAsia" w:hAnsiTheme="minorHAnsi" w:cstheme="minorBidi"/>
          <w:szCs w:val="22"/>
        </w:rPr>
      </w:pPr>
      <w:r>
        <w:t>5.2</w:t>
      </w:r>
      <w:r>
        <w:tab/>
        <w:t>Input into management</w:t>
      </w:r>
      <w:r>
        <w:tab/>
      </w:r>
      <w:r>
        <w:fldChar w:fldCharType="begin"/>
      </w:r>
      <w:r>
        <w:instrText xml:space="preserve"> PAGEREF _Toc435099855 \h </w:instrText>
      </w:r>
      <w:r>
        <w:fldChar w:fldCharType="separate"/>
      </w:r>
      <w:r>
        <w:t>20</w:t>
      </w:r>
      <w:r>
        <w:fldChar w:fldCharType="end"/>
      </w:r>
    </w:p>
    <w:p>
      <w:pPr>
        <w:pStyle w:val="TOC8"/>
        <w:rPr>
          <w:rFonts w:asciiTheme="minorHAnsi" w:eastAsiaTheme="minorEastAsia" w:hAnsiTheme="minorHAnsi" w:cstheme="minorBidi"/>
          <w:szCs w:val="22"/>
        </w:rPr>
      </w:pPr>
      <w:r>
        <w:t>5.3</w:t>
      </w:r>
      <w:r>
        <w:tab/>
        <w:t>Input into financial arrangements</w:t>
      </w:r>
      <w:r>
        <w:tab/>
      </w:r>
      <w:r>
        <w:fldChar w:fldCharType="begin"/>
      </w:r>
      <w:r>
        <w:instrText xml:space="preserve"> PAGEREF _Toc435099856 \h </w:instrText>
      </w:r>
      <w:r>
        <w:fldChar w:fldCharType="separate"/>
      </w:r>
      <w:r>
        <w:t>20</w:t>
      </w:r>
      <w:r>
        <w:fldChar w:fldCharType="end"/>
      </w:r>
    </w:p>
    <w:p>
      <w:pPr>
        <w:pStyle w:val="TOC8"/>
        <w:rPr>
          <w:rFonts w:asciiTheme="minorHAnsi" w:eastAsiaTheme="minorEastAsia" w:hAnsiTheme="minorHAnsi" w:cstheme="minorBidi"/>
          <w:szCs w:val="22"/>
        </w:rPr>
      </w:pPr>
      <w:r>
        <w:t>5.4</w:t>
      </w:r>
      <w:r>
        <w:tab/>
        <w:t>Residence rules</w:t>
      </w:r>
      <w:r>
        <w:tab/>
      </w:r>
      <w:r>
        <w:fldChar w:fldCharType="begin"/>
      </w:r>
      <w:r>
        <w:instrText xml:space="preserve"> PAGEREF _Toc435099857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Village Disputes Resolution Committee</w:t>
      </w:r>
      <w:r>
        <w:tab/>
      </w:r>
      <w:r>
        <w:fldChar w:fldCharType="begin"/>
      </w:r>
      <w:r>
        <w:instrText xml:space="preserve"> PAGEREF _Toc435099859 \h </w:instrText>
      </w:r>
      <w:r>
        <w:fldChar w:fldCharType="separate"/>
      </w:r>
      <w:r>
        <w:t>22</w:t>
      </w:r>
      <w:r>
        <w:fldChar w:fldCharType="end"/>
      </w:r>
    </w:p>
    <w:p>
      <w:pPr>
        <w:pStyle w:val="TOC8"/>
        <w:rPr>
          <w:rFonts w:asciiTheme="minorHAnsi" w:eastAsiaTheme="minorEastAsia" w:hAnsiTheme="minorHAnsi" w:cstheme="minorBidi"/>
          <w:szCs w:val="22"/>
        </w:rPr>
      </w:pPr>
      <w:r>
        <w:t>6.2</w:t>
      </w:r>
      <w:r>
        <w:tab/>
        <w:t>Dispute procedures</w:t>
      </w:r>
      <w:r>
        <w:tab/>
      </w:r>
      <w:r>
        <w:fldChar w:fldCharType="begin"/>
      </w:r>
      <w:r>
        <w:instrText xml:space="preserve"> PAGEREF _Toc435099860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2"/>
        <w:tabs>
          <w:tab w:val="right" w:leader="dot" w:pos="7077"/>
        </w:tabs>
        <w:rPr>
          <w:rFonts w:asciiTheme="minorHAnsi" w:eastAsiaTheme="minorEastAsia" w:hAnsiTheme="minorHAnsi" w:cstheme="minorBidi"/>
          <w:b w:val="0"/>
          <w:sz w:val="22"/>
          <w:szCs w:val="22"/>
        </w:rPr>
      </w:pPr>
      <w:r>
        <w:t>Appendix 1 — Copy of information statement for prospective resident</w:t>
      </w:r>
    </w:p>
    <w:p>
      <w:pPr>
        <w:pStyle w:val="TOC2"/>
        <w:tabs>
          <w:tab w:val="right" w:leader="dot" w:pos="7077"/>
        </w:tabs>
        <w:rPr>
          <w:rFonts w:asciiTheme="minorHAnsi" w:eastAsiaTheme="minorEastAsia" w:hAnsiTheme="minorHAnsi" w:cstheme="minorBidi"/>
          <w:b w:val="0"/>
          <w:sz w:val="22"/>
          <w:szCs w:val="22"/>
        </w:rPr>
      </w:pPr>
      <w:r>
        <w:t>Appendix 2 — Checklist for prospective resident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_Toc435099865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(Retirement Villages Interim Code (No. 2)) Regulations 2002</w:t>
      </w:r>
    </w:p>
    <w:p>
      <w:pPr>
        <w:pStyle w:val="Heading5"/>
      </w:pPr>
      <w:bookmarkStart w:id="4" w:name="_Toc378248230"/>
      <w:bookmarkStart w:id="5" w:name="_Toc435099822"/>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(No. 2)) Regulations 2002</w:t>
      </w:r>
      <w:r>
        <w:t>.</w:t>
      </w:r>
    </w:p>
    <w:p>
      <w:pPr>
        <w:pStyle w:val="Heading5"/>
        <w:rPr>
          <w:spacing w:val="-2"/>
        </w:rPr>
      </w:pPr>
      <w:bookmarkStart w:id="6" w:name="_Toc378248231"/>
      <w:bookmarkStart w:id="7" w:name="_Toc43509982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October 2002</w:t>
      </w:r>
      <w:r>
        <w:t>.</w:t>
      </w:r>
    </w:p>
    <w:p>
      <w:pPr>
        <w:pStyle w:val="Heading5"/>
      </w:pPr>
      <w:bookmarkStart w:id="8" w:name="_Toc378248232"/>
      <w:bookmarkStart w:id="9" w:name="_Toc435099824"/>
      <w:r>
        <w:rPr>
          <w:rStyle w:val="CharSectno"/>
        </w:rPr>
        <w:t>3</w:t>
      </w:r>
      <w:r>
        <w:t>.</w:t>
      </w:r>
      <w:r>
        <w:tab/>
        <w:t>Code of Practice prescribed</w:t>
      </w:r>
      <w:bookmarkEnd w:id="8"/>
      <w:bookmarkEnd w:id="9"/>
    </w:p>
    <w:p>
      <w:pPr>
        <w:pStyle w:val="Subsection"/>
      </w:pPr>
      <w:r>
        <w:tab/>
      </w:r>
      <w:r>
        <w:tab/>
        <w:t xml:space="preserve">The Code of Practice set out in Schedule 1 and cited as the </w:t>
      </w:r>
      <w:r>
        <w:rPr>
          <w:i/>
        </w:rPr>
        <w:t>Interim Code of Fair Practice for Retirement Villages (No. 2) 2002</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10" w:name="_Toc378248233"/>
      <w:bookmarkStart w:id="11" w:name="_Toc435099825"/>
      <w:r>
        <w:rPr>
          <w:rStyle w:val="CharSectno"/>
        </w:rPr>
        <w:t>4</w:t>
      </w:r>
      <w:r>
        <w:t>.</w:t>
      </w:r>
      <w:r>
        <w:tab/>
        <w:t>Interim Code to remain in force for 6 months</w:t>
      </w:r>
      <w:bookmarkEnd w:id="10"/>
      <w:bookmarkEnd w:id="11"/>
    </w:p>
    <w:p>
      <w:pPr>
        <w:pStyle w:val="Subsection"/>
      </w:pPr>
      <w:r>
        <w:tab/>
      </w:r>
      <w:r>
        <w:tab/>
        <w:t xml:space="preserve">The </w:t>
      </w:r>
      <w:r>
        <w:rPr>
          <w:i/>
        </w:rPr>
        <w:t>Interim Code of Fair Practice for Retirement Villages (No. 2) 2002</w:t>
      </w:r>
      <w:r>
        <w:t xml:space="preserve"> is to remain in force for 6 months.</w:t>
      </w:r>
    </w:p>
    <w:p>
      <w:pPr>
        <w:pStyle w:val="Heading5"/>
      </w:pPr>
      <w:bookmarkStart w:id="12" w:name="_Toc378248234"/>
      <w:bookmarkStart w:id="13" w:name="_Toc435099826"/>
      <w:r>
        <w:rPr>
          <w:rStyle w:val="CharSectno"/>
        </w:rPr>
        <w:t>5</w:t>
      </w:r>
      <w:r>
        <w:t>.</w:t>
      </w:r>
      <w:r>
        <w:tab/>
        <w:t>Interpretation</w:t>
      </w:r>
      <w:bookmarkEnd w:id="12"/>
      <w:bookmarkEnd w:id="13"/>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48235"/>
      <w:bookmarkStart w:id="15" w:name="_Toc426984124"/>
      <w:bookmarkStart w:id="16" w:name="_Toc435099827"/>
      <w:r>
        <w:rPr>
          <w:rStyle w:val="CharSchNo"/>
        </w:rPr>
        <w:t>Schedule 1</w:t>
      </w:r>
      <w:r>
        <w:t xml:space="preserve"> — </w:t>
      </w:r>
      <w:r>
        <w:rPr>
          <w:rStyle w:val="CharSchText"/>
          <w:i/>
        </w:rPr>
        <w:t>Interim Code of Fair Practice for Retirement Villages (No. 2) 2002</w:t>
      </w:r>
      <w:bookmarkEnd w:id="14"/>
      <w:bookmarkEnd w:id="15"/>
      <w:bookmarkEnd w:id="16"/>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facilities that may be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has been prescribed under sections 43(1) and (2) of the </w:t>
      </w:r>
      <w:r>
        <w:rPr>
          <w:i/>
        </w:rPr>
        <w:t>Fair Trading Act 1987</w:t>
      </w:r>
      <w:r>
        <w:t xml:space="preserve"> and will remain in force for 6 months after the commencement date of 1 October 2002, or until a new Code is prescribed under section 43 of the Act, whichever is the earlier.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is, in substance, the same as the </w:t>
      </w:r>
      <w:r>
        <w:rPr>
          <w:i/>
        </w:rPr>
        <w:t>Code of Fair Practice for Retirement Villages 1998</w:t>
      </w:r>
      <w:r>
        <w:t xml:space="preserve"> (the “1998 Code”) that lapsed on 30 September 2001, and has been prepared as an interim Code to follow the </w:t>
      </w:r>
      <w:r>
        <w:rPr>
          <w:i/>
        </w:rPr>
        <w:t>Interim Code of Fair Practice for Retirement Villages 2002</w:t>
      </w:r>
      <w:r>
        <w:t xml:space="preserve"> that lapsed on 30 September 2002. </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80"/>
      </w:pPr>
      <w:r>
        <w:t xml:space="preserve">This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  The Code must be complied with and is enforceable under sections 44</w:t>
      </w:r>
      <w:r>
        <w:noBreakHyphen/>
        <w:t xml:space="preserve">47 of the </w:t>
      </w:r>
      <w:r>
        <w:rPr>
          <w:i/>
        </w:rPr>
        <w:t>Fair Trading Act 1987</w:t>
      </w:r>
      <w:r>
        <w:t>.</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8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operating financial arrangements.</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rPr>
          <w:b/>
        </w:rPr>
      </w:pPr>
      <w:r>
        <w:rPr>
          <w:b/>
        </w:rPr>
        <w:t>Division 6</w:t>
      </w:r>
      <w:r>
        <w:t xml:space="preserve"> recognises that disputes may occur in a retirement village and outline the structures that may be utilised to resolve them.</w:t>
      </w:r>
      <w:r>
        <w:rPr>
          <w:b/>
        </w:rPr>
        <w:t xml:space="preserve"> </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7</w:t>
      </w:r>
      <w:r>
        <w:t xml:space="preserve"> explains the rights and the obligations of the administering body and a resident, in relation to the termination of a residence contract.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Form 1 of Schedule 1 to the </w:t>
      </w:r>
      <w:r>
        <w:rPr>
          <w:i/>
        </w:rPr>
        <w:t>Retirement Villages Regulations 1992</w:t>
      </w:r>
      <w:r>
        <w:t xml:space="preserve"> that specifies the information required to be provided by the owner of a retirement village to a prospective resident of that village. It is important for a prospective resident to read and understand this information before deciding to enter the village.</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also provides a list of questions which a prospective resident should carefully read and consider before deciding to enter any retirement village.</w:t>
      </w:r>
    </w:p>
    <w:p>
      <w:pPr>
        <w:pStyle w:val="yHeading3"/>
        <w:pageBreakBefore/>
      </w:pPr>
      <w:bookmarkStart w:id="17" w:name="_Toc378248236"/>
      <w:bookmarkStart w:id="18" w:name="_Toc426984125"/>
      <w:bookmarkStart w:id="19" w:name="_Toc435099828"/>
      <w:r>
        <w:rPr>
          <w:rStyle w:val="CharDivNo"/>
        </w:rPr>
        <w:t>Division 1</w:t>
      </w:r>
      <w:r>
        <w:rPr>
          <w:rStyle w:val="CharPartNo"/>
        </w:rPr>
        <w:t xml:space="preserve"> — </w:t>
      </w:r>
      <w:r>
        <w:t>Preliminary</w:t>
      </w:r>
      <w:bookmarkEnd w:id="17"/>
      <w:bookmarkEnd w:id="18"/>
      <w:bookmarkEnd w:id="19"/>
    </w:p>
    <w:p>
      <w:pPr>
        <w:pStyle w:val="yHeading5"/>
        <w:keepLines w:val="0"/>
        <w:spacing w:before="120"/>
        <w:rPr>
          <w:sz w:val="24"/>
        </w:rPr>
      </w:pPr>
      <w:bookmarkStart w:id="20" w:name="_Toc378248237"/>
      <w:bookmarkStart w:id="21" w:name="_Toc435099829"/>
      <w:r>
        <w:rPr>
          <w:sz w:val="24"/>
        </w:rPr>
        <w:t>1.1</w:t>
      </w:r>
      <w:r>
        <w:rPr>
          <w:sz w:val="24"/>
        </w:rPr>
        <w:tab/>
        <w:t>Citation</w:t>
      </w:r>
      <w:bookmarkEnd w:id="20"/>
      <w:bookmarkEnd w:id="21"/>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(No. 2) 2002</w:t>
      </w:r>
      <w:r>
        <w:rPr>
          <w:sz w:val="24"/>
        </w:rPr>
        <w:t>.</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or de facto partner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4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992" w:hanging="425"/>
      </w:pPr>
      <w:r>
        <w:rPr>
          <w:b/>
        </w:rPr>
        <w:t>“working day”</w:t>
      </w:r>
      <w:r>
        <w:t xml:space="preserve"> means a day other than a Saturday, a Sunday or a public holiday.</w:t>
      </w:r>
    </w:p>
    <w:p>
      <w:pPr>
        <w:pStyle w:val="yHeading5"/>
        <w:rPr>
          <w:sz w:val="24"/>
        </w:rPr>
      </w:pPr>
      <w:bookmarkStart w:id="22" w:name="_Toc378248238"/>
      <w:bookmarkStart w:id="23" w:name="_Toc435099830"/>
      <w:r>
        <w:rPr>
          <w:sz w:val="24"/>
        </w:rPr>
        <w:t>1.2</w:t>
      </w:r>
      <w:r>
        <w:rPr>
          <w:sz w:val="24"/>
        </w:rPr>
        <w:tab/>
        <w:t>Application</w:t>
      </w:r>
      <w:bookmarkEnd w:id="22"/>
      <w:bookmarkEnd w:id="23"/>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keepLines w:val="0"/>
        <w:rPr>
          <w:sz w:val="24"/>
        </w:rPr>
      </w:pPr>
      <w:bookmarkStart w:id="24" w:name="_Toc378248239"/>
      <w:bookmarkStart w:id="25" w:name="_Toc435099831"/>
      <w:r>
        <w:rPr>
          <w:sz w:val="24"/>
        </w:rPr>
        <w:t>1.3</w:t>
      </w:r>
      <w:r>
        <w:rPr>
          <w:sz w:val="24"/>
        </w:rPr>
        <w:tab/>
        <w:t>General principles</w:t>
      </w:r>
      <w:bookmarkEnd w:id="24"/>
      <w:bookmarkEnd w:id="25"/>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rPr>
          <w:sz w:val="24"/>
        </w:rPr>
      </w:pPr>
      <w:bookmarkStart w:id="26" w:name="_Toc378248240"/>
      <w:bookmarkStart w:id="27" w:name="_Toc435099832"/>
      <w:r>
        <w:rPr>
          <w:sz w:val="24"/>
        </w:rPr>
        <w:t>1.4</w:t>
      </w:r>
      <w:r>
        <w:rPr>
          <w:sz w:val="24"/>
        </w:rPr>
        <w:tab/>
        <w:t>Objectives of the Code</w:t>
      </w:r>
      <w:bookmarkEnd w:id="26"/>
      <w:bookmarkEnd w:id="27"/>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rPr>
          <w:sz w:val="24"/>
        </w:rPr>
      </w:pPr>
      <w:bookmarkStart w:id="28" w:name="_Toc378248241"/>
      <w:bookmarkStart w:id="29" w:name="_Toc435099833"/>
      <w:r>
        <w:rPr>
          <w:sz w:val="24"/>
        </w:rPr>
        <w:t>1.5</w:t>
      </w:r>
      <w:r>
        <w:rPr>
          <w:sz w:val="24"/>
        </w:rPr>
        <w:tab/>
        <w:t>Resident’s basic rights</w:t>
      </w:r>
      <w:bookmarkEnd w:id="28"/>
      <w:bookmarkEnd w:id="29"/>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30" w:name="_Toc378248242"/>
      <w:bookmarkStart w:id="31" w:name="_Toc426984131"/>
      <w:bookmarkStart w:id="32" w:name="_Toc435099834"/>
      <w:r>
        <w:rPr>
          <w:rStyle w:val="CharDivNo"/>
        </w:rPr>
        <w:t>Division 2</w:t>
      </w:r>
      <w:r>
        <w:t xml:space="preserve"> — </w:t>
      </w:r>
      <w:r>
        <w:rPr>
          <w:rStyle w:val="CharDivText"/>
        </w:rPr>
        <w:t>Advertising and promotion of retirement villages</w:t>
      </w:r>
      <w:bookmarkEnd w:id="30"/>
      <w:bookmarkEnd w:id="31"/>
      <w:bookmarkEnd w:id="32"/>
    </w:p>
    <w:p>
      <w:pPr>
        <w:pStyle w:val="yHeading5"/>
        <w:rPr>
          <w:sz w:val="24"/>
        </w:rPr>
      </w:pPr>
      <w:bookmarkStart w:id="33" w:name="_Toc378248243"/>
      <w:bookmarkStart w:id="34" w:name="_Toc435099835"/>
      <w:r>
        <w:rPr>
          <w:sz w:val="24"/>
        </w:rPr>
        <w:t>2.1</w:t>
      </w:r>
      <w:r>
        <w:rPr>
          <w:sz w:val="24"/>
        </w:rPr>
        <w:tab/>
        <w:t>General</w:t>
      </w:r>
      <w:bookmarkEnd w:id="33"/>
      <w:bookmarkEnd w:id="34"/>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35" w:name="_Toc378248244"/>
      <w:bookmarkStart w:id="36" w:name="_Toc435099836"/>
      <w:r>
        <w:rPr>
          <w:sz w:val="24"/>
        </w:rPr>
        <w:t>2.2</w:t>
      </w:r>
      <w:r>
        <w:rPr>
          <w:sz w:val="24"/>
        </w:rPr>
        <w:tab/>
        <w:t>Retirement village developments</w:t>
      </w:r>
      <w:bookmarkEnd w:id="35"/>
      <w:bookmarkEnd w:id="36"/>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rPr>
          <w:sz w:val="24"/>
        </w:rPr>
      </w:pPr>
      <w:bookmarkStart w:id="37" w:name="_Toc378248245"/>
      <w:bookmarkStart w:id="38" w:name="_Toc435099837"/>
      <w:r>
        <w:rPr>
          <w:sz w:val="24"/>
        </w:rPr>
        <w:t>2.3</w:t>
      </w:r>
      <w:r>
        <w:rPr>
          <w:sz w:val="24"/>
        </w:rPr>
        <w:tab/>
        <w:t>Proposed facilities and services</w:t>
      </w:r>
      <w:bookmarkEnd w:id="37"/>
      <w:bookmarkEnd w:id="38"/>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rPr>
          <w:sz w:val="24"/>
        </w:rPr>
      </w:pPr>
      <w:bookmarkStart w:id="39" w:name="_Toc378248246"/>
      <w:bookmarkStart w:id="40" w:name="_Toc435099838"/>
      <w:r>
        <w:rPr>
          <w:sz w:val="24"/>
        </w:rPr>
        <w:t>2.4</w:t>
      </w:r>
      <w:r>
        <w:rPr>
          <w:sz w:val="24"/>
        </w:rPr>
        <w:tab/>
        <w:t>Approvals for facilities that provide a high level of residential care</w:t>
      </w:r>
      <w:bookmarkEnd w:id="39"/>
      <w:bookmarkEnd w:id="40"/>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outlineLvl w:val="9"/>
        <w:rPr>
          <w:sz w:val="24"/>
        </w:rPr>
      </w:pPr>
      <w:bookmarkStart w:id="41" w:name="_Toc378248247"/>
      <w:bookmarkStart w:id="42" w:name="_Toc435099839"/>
      <w:r>
        <w:t>2.5</w:t>
      </w:r>
      <w:r>
        <w:tab/>
      </w:r>
      <w:r>
        <w:rPr>
          <w:sz w:val="24"/>
        </w:rPr>
        <w:t>Entry to Commonwealth funded residential care services</w:t>
      </w:r>
      <w:bookmarkEnd w:id="41"/>
      <w:bookmarkEnd w:id="42"/>
    </w:p>
    <w:p>
      <w:pPr>
        <w:pStyle w:val="ySubsection"/>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43" w:name="_Toc378248248"/>
      <w:bookmarkStart w:id="44" w:name="_Toc426984137"/>
      <w:bookmarkStart w:id="45" w:name="_Toc435099840"/>
      <w:r>
        <w:rPr>
          <w:rStyle w:val="CharDivNo"/>
        </w:rPr>
        <w:t>Division 3</w:t>
      </w:r>
      <w:r>
        <w:t xml:space="preserve"> — </w:t>
      </w:r>
      <w:r>
        <w:rPr>
          <w:rStyle w:val="CharDivText"/>
        </w:rPr>
        <w:t>What you should know before you enter into a contract</w:t>
      </w:r>
      <w:bookmarkEnd w:id="43"/>
      <w:bookmarkEnd w:id="44"/>
      <w:bookmarkEnd w:id="45"/>
    </w:p>
    <w:p>
      <w:pPr>
        <w:pStyle w:val="yHeading5"/>
        <w:spacing w:before="160"/>
        <w:rPr>
          <w:sz w:val="24"/>
        </w:rPr>
      </w:pPr>
      <w:bookmarkStart w:id="46" w:name="_Toc378248249"/>
      <w:bookmarkStart w:id="47" w:name="_Toc435099841"/>
      <w:r>
        <w:rPr>
          <w:sz w:val="24"/>
        </w:rPr>
        <w:t>3.1</w:t>
      </w:r>
      <w:r>
        <w:rPr>
          <w:sz w:val="24"/>
        </w:rPr>
        <w:tab/>
        <w:t>Before you enter into a residence contract</w:t>
      </w:r>
      <w:bookmarkEnd w:id="46"/>
      <w:bookmarkEnd w:id="4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costs payable to enter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all recurrent charges or fees payable and the method of determining any variation;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any additional or optional services provided and their respective cost;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details of costs associated with moving to and living in alternative accommodation within the village;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r>
        <w:rPr>
          <w:rFonts w:ascii="Symbol" w:hAnsi="Symbol"/>
        </w:rPr>
        <w:t></w:t>
      </w:r>
      <w:r>
        <w:rPr>
          <w:rFonts w:ascii="Symbol" w:hAnsi="Symbol"/>
        </w:rPr>
        <w:tab/>
      </w:r>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outlineLvl w:val="9"/>
        <w:rPr>
          <w:sz w:val="24"/>
        </w:rPr>
      </w:pPr>
      <w:bookmarkStart w:id="48" w:name="_Toc378248250"/>
      <w:bookmarkStart w:id="49" w:name="_Toc435099842"/>
      <w:r>
        <w:rPr>
          <w:sz w:val="24"/>
        </w:rPr>
        <w:t>3.2</w:t>
      </w:r>
      <w:r>
        <w:rPr>
          <w:sz w:val="24"/>
        </w:rPr>
        <w:tab/>
        <w:t>Before you enter into a service contract</w:t>
      </w:r>
      <w:bookmarkEnd w:id="48"/>
      <w:bookmarkEnd w:id="49"/>
    </w:p>
    <w:p>
      <w:pPr>
        <w:pStyle w:val="ySubsection"/>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50" w:name="_Toc378248251"/>
      <w:bookmarkStart w:id="51" w:name="_Toc426984140"/>
      <w:bookmarkStart w:id="52" w:name="_Toc435099843"/>
      <w:r>
        <w:rPr>
          <w:rStyle w:val="CharDivNo"/>
        </w:rPr>
        <w:t>Division 4</w:t>
      </w:r>
      <w:r>
        <w:t xml:space="preserve"> — </w:t>
      </w:r>
      <w:r>
        <w:rPr>
          <w:rStyle w:val="CharDivText"/>
        </w:rPr>
        <w:t>The Contract</w:t>
      </w:r>
      <w:bookmarkEnd w:id="50"/>
      <w:bookmarkEnd w:id="51"/>
      <w:bookmarkEnd w:id="52"/>
    </w:p>
    <w:p>
      <w:pPr>
        <w:pStyle w:val="yHeading5"/>
        <w:rPr>
          <w:sz w:val="24"/>
        </w:rPr>
      </w:pPr>
      <w:bookmarkStart w:id="53" w:name="_Toc378248252"/>
      <w:bookmarkStart w:id="54" w:name="_Toc435099844"/>
      <w:r>
        <w:rPr>
          <w:sz w:val="24"/>
        </w:rPr>
        <w:t>4.1</w:t>
      </w:r>
      <w:r>
        <w:rPr>
          <w:sz w:val="24"/>
        </w:rPr>
        <w:tab/>
        <w:t>Legibility and presentation requirements</w:t>
      </w:r>
      <w:bookmarkEnd w:id="53"/>
      <w:bookmarkEnd w:id="54"/>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keepNext/>
        <w:keepLines/>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rPr>
          <w:i/>
        </w:rP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rPr>
          <w:sz w:val="24"/>
        </w:rPr>
      </w:pPr>
      <w:bookmarkStart w:id="55" w:name="_Toc378248253"/>
      <w:bookmarkStart w:id="56" w:name="_Toc435099845"/>
      <w:r>
        <w:rPr>
          <w:sz w:val="24"/>
        </w:rPr>
        <w:t>4.2</w:t>
      </w:r>
      <w:r>
        <w:rPr>
          <w:sz w:val="24"/>
        </w:rPr>
        <w:tab/>
        <w:t>Title and tenure</w:t>
      </w:r>
      <w:bookmarkEnd w:id="55"/>
      <w:bookmarkEnd w:id="56"/>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rPr>
          <w:sz w:val="24"/>
        </w:rPr>
      </w:pPr>
      <w:bookmarkStart w:id="57" w:name="_Toc378248254"/>
      <w:bookmarkStart w:id="58" w:name="_Toc435099846"/>
      <w:r>
        <w:rPr>
          <w:sz w:val="24"/>
        </w:rPr>
        <w:t>4.3</w:t>
      </w:r>
      <w:r>
        <w:rPr>
          <w:sz w:val="24"/>
        </w:rPr>
        <w:tab/>
        <w:t>Accommodation unit</w:t>
      </w:r>
      <w:bookmarkEnd w:id="57"/>
      <w:bookmarkEnd w:id="58"/>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rPr>
          <w:sz w:val="24"/>
        </w:rPr>
      </w:pPr>
      <w:bookmarkStart w:id="59" w:name="_Toc378248255"/>
      <w:bookmarkStart w:id="60" w:name="_Toc435099847"/>
      <w:r>
        <w:rPr>
          <w:sz w:val="24"/>
        </w:rPr>
        <w:t>4.4</w:t>
      </w:r>
      <w:r>
        <w:rPr>
          <w:sz w:val="24"/>
        </w:rPr>
        <w:tab/>
        <w:t>Services and facilities</w:t>
      </w:r>
      <w:bookmarkEnd w:id="59"/>
      <w:bookmarkEnd w:id="60"/>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rPr>
          <w:sz w:val="24"/>
        </w:rPr>
      </w:pPr>
      <w:bookmarkStart w:id="61" w:name="_Toc378248256"/>
      <w:bookmarkStart w:id="62" w:name="_Toc435099848"/>
      <w:r>
        <w:rPr>
          <w:sz w:val="24"/>
        </w:rPr>
        <w:t>4.5</w:t>
      </w:r>
      <w:r>
        <w:rPr>
          <w:sz w:val="24"/>
        </w:rPr>
        <w:tab/>
        <w:t>Accommodation charges, entry contributions and refund provisions</w:t>
      </w:r>
      <w:bookmarkEnd w:id="61"/>
      <w:bookmarkEnd w:id="62"/>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rPr>
          <w:sz w:val="24"/>
        </w:rPr>
      </w:pPr>
      <w:bookmarkStart w:id="63" w:name="_Toc378248257"/>
      <w:bookmarkStart w:id="64" w:name="_Toc435099849"/>
      <w:r>
        <w:rPr>
          <w:sz w:val="24"/>
        </w:rPr>
        <w:t>4.6</w:t>
      </w:r>
      <w:r>
        <w:rPr>
          <w:sz w:val="24"/>
        </w:rPr>
        <w:tab/>
        <w:t>Regular maintenance and service charges</w:t>
      </w:r>
      <w:bookmarkEnd w:id="63"/>
      <w:bookmarkEnd w:id="64"/>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rPr>
          <w:sz w:val="24"/>
        </w:rPr>
      </w:pPr>
      <w:bookmarkStart w:id="65" w:name="_Toc378248258"/>
      <w:bookmarkStart w:id="66" w:name="_Toc435099850"/>
      <w:r>
        <w:rPr>
          <w:sz w:val="24"/>
        </w:rPr>
        <w:t>4.7</w:t>
      </w:r>
      <w:r>
        <w:rPr>
          <w:sz w:val="24"/>
        </w:rPr>
        <w:tab/>
        <w:t>Relocation</w:t>
      </w:r>
      <w:bookmarkEnd w:id="65"/>
      <w:bookmarkEnd w:id="66"/>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rPr>
          <w:sz w:val="24"/>
        </w:rPr>
      </w:pPr>
      <w:bookmarkStart w:id="67" w:name="_Toc378248259"/>
      <w:bookmarkStart w:id="68" w:name="_Toc435099851"/>
      <w:r>
        <w:rPr>
          <w:sz w:val="24"/>
        </w:rPr>
        <w:t>4.8</w:t>
      </w:r>
      <w:r>
        <w:rPr>
          <w:sz w:val="24"/>
        </w:rPr>
        <w:tab/>
        <w:t>Termination of residence contract and fees payable on termination</w:t>
      </w:r>
      <w:bookmarkEnd w:id="67"/>
      <w:bookmarkEnd w:id="68"/>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rPr>
          <w:i/>
          <w:sz w:val="24"/>
        </w:rPr>
      </w:pPr>
      <w:bookmarkStart w:id="69" w:name="_Toc378248260"/>
      <w:bookmarkStart w:id="70" w:name="_Toc435099852"/>
      <w:r>
        <w:rPr>
          <w:sz w:val="24"/>
        </w:rPr>
        <w:t>4.9</w:t>
      </w:r>
      <w:r>
        <w:rPr>
          <w:sz w:val="24"/>
        </w:rPr>
        <w:tab/>
        <w:t xml:space="preserve">Residence contract to refer to this Code and the </w:t>
      </w:r>
      <w:r>
        <w:rPr>
          <w:i/>
          <w:sz w:val="24"/>
        </w:rPr>
        <w:t>Retirement Villages Act 1992</w:t>
      </w:r>
      <w:bookmarkEnd w:id="69"/>
      <w:bookmarkEnd w:id="70"/>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71" w:name="_Toc378248261"/>
      <w:bookmarkStart w:id="72" w:name="_Toc426984150"/>
      <w:bookmarkStart w:id="73" w:name="_Toc435099853"/>
      <w:r>
        <w:rPr>
          <w:rStyle w:val="CharDivNo"/>
        </w:rPr>
        <w:t>Division 5</w:t>
      </w:r>
      <w:r>
        <w:t xml:space="preserve"> — </w:t>
      </w:r>
      <w:r>
        <w:rPr>
          <w:rStyle w:val="CharDivText"/>
        </w:rPr>
        <w:t>Village management</w:t>
      </w:r>
      <w:bookmarkEnd w:id="71"/>
      <w:bookmarkEnd w:id="72"/>
      <w:bookmarkEnd w:id="73"/>
    </w:p>
    <w:p>
      <w:pPr>
        <w:pStyle w:val="yHeading5"/>
        <w:rPr>
          <w:sz w:val="24"/>
        </w:rPr>
      </w:pPr>
      <w:bookmarkStart w:id="74" w:name="_Toc378248262"/>
      <w:bookmarkStart w:id="75" w:name="_Toc435099854"/>
      <w:r>
        <w:rPr>
          <w:sz w:val="24"/>
        </w:rPr>
        <w:t>5.1</w:t>
      </w:r>
      <w:r>
        <w:rPr>
          <w:sz w:val="24"/>
        </w:rPr>
        <w:tab/>
        <w:t>Administering body to create procedures for resident input</w:t>
      </w:r>
      <w:bookmarkEnd w:id="74"/>
      <w:bookmarkEnd w:id="75"/>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spacing w:before="160"/>
        <w:rPr>
          <w:sz w:val="24"/>
        </w:rPr>
      </w:pPr>
      <w:bookmarkStart w:id="76" w:name="_Toc378248263"/>
      <w:bookmarkStart w:id="77" w:name="_Toc435099855"/>
      <w:r>
        <w:rPr>
          <w:sz w:val="24"/>
        </w:rPr>
        <w:t>5.2</w:t>
      </w:r>
      <w:r>
        <w:rPr>
          <w:sz w:val="24"/>
        </w:rPr>
        <w:tab/>
        <w:t>Input into management</w:t>
      </w:r>
      <w:bookmarkEnd w:id="76"/>
      <w:bookmarkEnd w:id="77"/>
    </w:p>
    <w:p>
      <w:pPr>
        <w:pStyle w:val="ySubsection"/>
        <w:spacing w:before="120"/>
        <w:rPr>
          <w:sz w:val="24"/>
        </w:rPr>
      </w:pPr>
      <w:r>
        <w:rPr>
          <w:sz w:val="24"/>
        </w:rPr>
        <w:tab/>
      </w:r>
      <w:r>
        <w:rPr>
          <w:sz w:val="24"/>
        </w:rPr>
        <w:tab/>
        <w:t>Procedures established by the administering body must allow for residents to —</w:t>
      </w:r>
    </w:p>
    <w:p>
      <w:pPr>
        <w:pStyle w:val="yIndenta"/>
        <w:spacing w:before="40"/>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spacing w:before="40"/>
        <w:rPr>
          <w:sz w:val="24"/>
        </w:rPr>
      </w:pPr>
      <w:r>
        <w:rPr>
          <w:sz w:val="24"/>
        </w:rPr>
        <w:tab/>
        <w:t>(b)</w:t>
      </w:r>
      <w:r>
        <w:rPr>
          <w:sz w:val="24"/>
        </w:rPr>
        <w:tab/>
        <w:t>have input into any plans for expansion of the village;</w:t>
      </w:r>
    </w:p>
    <w:p>
      <w:pPr>
        <w:pStyle w:val="yIndenta"/>
        <w:spacing w:before="40"/>
        <w:rPr>
          <w:sz w:val="24"/>
        </w:rPr>
      </w:pPr>
      <w:r>
        <w:rPr>
          <w:sz w:val="24"/>
        </w:rPr>
        <w:tab/>
        <w:t>(c)</w:t>
      </w:r>
      <w:r>
        <w:rPr>
          <w:sz w:val="24"/>
        </w:rPr>
        <w:tab/>
        <w:t>contribute to the formation of a Village Disputes Resolution Committee; and</w:t>
      </w:r>
    </w:p>
    <w:p>
      <w:pPr>
        <w:pStyle w:val="yIndenta"/>
        <w:spacing w:before="40"/>
        <w:rPr>
          <w:sz w:val="24"/>
        </w:rPr>
      </w:pPr>
      <w:r>
        <w:rPr>
          <w:sz w:val="24"/>
        </w:rPr>
        <w:tab/>
        <w:t>(d)</w:t>
      </w:r>
      <w:r>
        <w:rPr>
          <w:sz w:val="24"/>
        </w:rPr>
        <w:tab/>
        <w:t>contribute to the establishment, amendment or addition to the residence rules (see clause 5.4).</w:t>
      </w:r>
    </w:p>
    <w:p>
      <w:pPr>
        <w:pStyle w:val="yHeading5"/>
        <w:spacing w:before="160"/>
        <w:rPr>
          <w:sz w:val="24"/>
        </w:rPr>
      </w:pPr>
      <w:bookmarkStart w:id="78" w:name="_Toc378248264"/>
      <w:bookmarkStart w:id="79" w:name="_Toc435099856"/>
      <w:r>
        <w:rPr>
          <w:sz w:val="24"/>
        </w:rPr>
        <w:t>5.3</w:t>
      </w:r>
      <w:r>
        <w:rPr>
          <w:sz w:val="24"/>
        </w:rPr>
        <w:tab/>
        <w:t>Input into financial arrangements</w:t>
      </w:r>
      <w:bookmarkEnd w:id="78"/>
      <w:bookmarkEnd w:id="79"/>
    </w:p>
    <w:p>
      <w:pPr>
        <w:pStyle w:val="ySubsection"/>
        <w:spacing w:before="120"/>
        <w:rPr>
          <w:sz w:val="24"/>
        </w:rPr>
      </w:pPr>
      <w:r>
        <w:rPr>
          <w:sz w:val="24"/>
        </w:rPr>
        <w:tab/>
        <w:t>(1)</w:t>
      </w:r>
      <w:r>
        <w:rPr>
          <w:sz w:val="24"/>
        </w:rPr>
        <w:tab/>
        <w:t>Procedures established by the administering body must allow for residents —</w:t>
      </w:r>
    </w:p>
    <w:p>
      <w:pPr>
        <w:pStyle w:val="yIndenta"/>
        <w:spacing w:before="40"/>
        <w:rPr>
          <w:sz w:val="24"/>
        </w:rPr>
      </w:pPr>
      <w:r>
        <w:rPr>
          <w:sz w:val="24"/>
        </w:rPr>
        <w:tab/>
        <w:t>(a)</w:t>
      </w:r>
      <w:r>
        <w:rPr>
          <w:sz w:val="24"/>
        </w:rPr>
        <w:tab/>
        <w:t>to be able to have input into the budget for each financial year;</w:t>
      </w:r>
    </w:p>
    <w:p>
      <w:pPr>
        <w:pStyle w:val="yIndenta"/>
        <w:spacing w:before="40"/>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spacing w:before="40"/>
        <w:rPr>
          <w:sz w:val="24"/>
        </w:rPr>
      </w:pPr>
      <w:r>
        <w:rPr>
          <w:sz w:val="24"/>
        </w:rPr>
        <w:tab/>
        <w:t>(c)</w:t>
      </w:r>
      <w:r>
        <w:rPr>
          <w:sz w:val="24"/>
        </w:rPr>
        <w:tab/>
        <w:t>to be able to convene an annual meeting of residents for each village within 5 months after the end of each financial year; and</w:t>
      </w:r>
    </w:p>
    <w:p>
      <w:pPr>
        <w:pStyle w:val="yIndenta"/>
        <w:spacing w:before="40"/>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spacing w:before="120"/>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spacing w:before="120"/>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rPr>
          <w:sz w:val="24"/>
        </w:rPr>
      </w:pPr>
      <w:bookmarkStart w:id="80" w:name="_Toc378248265"/>
      <w:bookmarkStart w:id="81" w:name="_Toc435099857"/>
      <w:r>
        <w:rPr>
          <w:sz w:val="24"/>
        </w:rPr>
        <w:t>5.4</w:t>
      </w:r>
      <w:r>
        <w:rPr>
          <w:sz w:val="24"/>
        </w:rPr>
        <w:tab/>
        <w:t>Residence rules</w:t>
      </w:r>
      <w:bookmarkEnd w:id="80"/>
      <w:bookmarkEnd w:id="81"/>
    </w:p>
    <w:p>
      <w:pPr>
        <w:pStyle w:val="ySubsection"/>
        <w:spacing w:before="120"/>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spacing w:before="120"/>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spacing w:before="120"/>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82" w:name="_Toc378248266"/>
      <w:bookmarkStart w:id="83" w:name="_Toc426984155"/>
      <w:bookmarkStart w:id="84" w:name="_Toc435099858"/>
      <w:r>
        <w:rPr>
          <w:rStyle w:val="CharDivNo"/>
        </w:rPr>
        <w:t>Division 6</w:t>
      </w:r>
      <w:r>
        <w:rPr>
          <w:rStyle w:val="CharPartNo"/>
        </w:rPr>
        <w:t xml:space="preserve"> — </w:t>
      </w:r>
      <w:r>
        <w:rPr>
          <w:rStyle w:val="CharDivText"/>
        </w:rPr>
        <w:t xml:space="preserve">Dispute </w:t>
      </w:r>
      <w:r>
        <w:t>resolution</w:t>
      </w:r>
      <w:bookmarkEnd w:id="82"/>
      <w:bookmarkEnd w:id="83"/>
      <w:bookmarkEnd w:id="84"/>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rPr>
          <w:sz w:val="24"/>
        </w:rPr>
      </w:pPr>
      <w:bookmarkStart w:id="85" w:name="_Toc378248267"/>
      <w:bookmarkStart w:id="86" w:name="_Toc435099859"/>
      <w:r>
        <w:rPr>
          <w:sz w:val="24"/>
        </w:rPr>
        <w:t>6.1</w:t>
      </w:r>
      <w:r>
        <w:rPr>
          <w:sz w:val="24"/>
        </w:rPr>
        <w:tab/>
        <w:t>Village Disputes Resolution Committee</w:t>
      </w:r>
      <w:bookmarkEnd w:id="85"/>
      <w:bookmarkEnd w:id="86"/>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spacing w:before="120"/>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keepNext/>
        <w:keepLines/>
        <w:spacing w:before="120"/>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keepNext/>
        <w:keepLines/>
        <w:spacing w:before="120"/>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keepNext/>
        <w:keepLines/>
        <w:spacing w:before="120"/>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keepNext/>
        <w:keepLines/>
        <w:spacing w:before="120"/>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spacing w:before="40"/>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keepNext/>
        <w:keepLines/>
        <w:spacing w:before="40"/>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keepNext/>
        <w:keepLines/>
        <w:spacing w:before="120"/>
      </w:pPr>
      <w:r>
        <w:tab/>
      </w:r>
      <w:r>
        <w:tab/>
      </w:r>
      <w:r>
        <w:rPr>
          <w:sz w:val="24"/>
        </w:rPr>
        <w:t>and any person so appointed is to be considered as having been nominated in accordance with subclause (2).</w:t>
      </w:r>
    </w:p>
    <w:p>
      <w:pPr>
        <w:pStyle w:val="yHeading5"/>
        <w:spacing w:before="160"/>
        <w:rPr>
          <w:sz w:val="24"/>
        </w:rPr>
      </w:pPr>
      <w:bookmarkStart w:id="87" w:name="_Toc378248268"/>
      <w:bookmarkStart w:id="88" w:name="_Toc435099860"/>
      <w:r>
        <w:rPr>
          <w:sz w:val="24"/>
        </w:rPr>
        <w:t>6.2</w:t>
      </w:r>
      <w:r>
        <w:rPr>
          <w:sz w:val="24"/>
        </w:rPr>
        <w:tab/>
        <w:t>Dispute procedures</w:t>
      </w:r>
      <w:bookmarkEnd w:id="87"/>
      <w:bookmarkEnd w:id="88"/>
    </w:p>
    <w:p>
      <w:pPr>
        <w:pStyle w:val="ySubsection"/>
        <w:spacing w:before="120"/>
        <w:rPr>
          <w:sz w:val="24"/>
        </w:rPr>
      </w:pPr>
      <w:r>
        <w:rPr>
          <w:sz w:val="24"/>
        </w:rPr>
        <w:tab/>
        <w:t>(1)</w:t>
      </w:r>
      <w:r>
        <w:rPr>
          <w:sz w:val="24"/>
        </w:rPr>
        <w:tab/>
      </w:r>
      <w:r>
        <w:rPr>
          <w:spacing w:val="-4"/>
          <w:sz w:val="24"/>
        </w:rPr>
        <w:t xml:space="preserve">The </w:t>
      </w:r>
      <w:r>
        <w:rPr>
          <w:sz w:val="24"/>
        </w:rPr>
        <w:t>administering</w:t>
      </w:r>
      <w:r>
        <w:rPr>
          <w:spacing w:val="-4"/>
          <w:sz w:val="24"/>
        </w:rPr>
        <w:t xml:space="preserve">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spacing w:before="120"/>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spacing w:before="120"/>
        <w:rPr>
          <w:sz w:val="24"/>
        </w:rPr>
      </w:pPr>
      <w:r>
        <w:rPr>
          <w:sz w:val="24"/>
        </w:rPr>
        <w:tab/>
        <w:t>(3)</w:t>
      </w:r>
      <w:r>
        <w:rPr>
          <w:sz w:val="24"/>
        </w:rPr>
        <w:tab/>
        <w:t>Where a dispute arises within the charter, either a resident or the administering body may apply to the Committee to have the matter heard.</w:t>
      </w:r>
    </w:p>
    <w:p>
      <w:pPr>
        <w:pStyle w:val="ySubsection"/>
        <w:spacing w:before="120"/>
        <w:rPr>
          <w:sz w:val="24"/>
        </w:rPr>
      </w:pPr>
      <w:r>
        <w:rPr>
          <w:sz w:val="24"/>
        </w:rPr>
        <w:tab/>
        <w:t>(4)</w:t>
      </w:r>
      <w:r>
        <w:rPr>
          <w:sz w:val="24"/>
        </w:rPr>
        <w:tab/>
        <w:t>The Committee must meet as soon as possible after being notified of a dispute and hear the dispute in accordance with the charter.</w:t>
      </w:r>
    </w:p>
    <w:p>
      <w:pPr>
        <w:pStyle w:val="ySubsection"/>
        <w:spacing w:before="120"/>
        <w:rPr>
          <w:sz w:val="24"/>
        </w:rPr>
      </w:pPr>
      <w:r>
        <w:rPr>
          <w:sz w:val="24"/>
        </w:rPr>
        <w:tab/>
        <w:t>(5)</w:t>
      </w:r>
      <w:r>
        <w:rPr>
          <w:sz w:val="24"/>
        </w:rPr>
        <w:tab/>
        <w:t>After hearing a dispute, the Committee must advise the parties to the dispute of its decision, in writing, within 10 days of the hearing.</w:t>
      </w:r>
    </w:p>
    <w:p>
      <w:pPr>
        <w:pStyle w:val="ySubsection"/>
        <w:spacing w:before="120"/>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spacing w:before="120"/>
        <w:rPr>
          <w:spacing w:val="-4"/>
          <w:sz w:val="24"/>
        </w:rPr>
      </w:pPr>
      <w:r>
        <w:rPr>
          <w:sz w:val="24"/>
        </w:rPr>
        <w:tab/>
        <w:t>(7)</w:t>
      </w:r>
      <w:r>
        <w:rPr>
          <w:sz w:val="24"/>
        </w:rPr>
        <w:tab/>
      </w:r>
      <w:r>
        <w:rPr>
          <w:spacing w:val="-4"/>
          <w:sz w:val="24"/>
        </w:rPr>
        <w:t xml:space="preserve">If the </w:t>
      </w:r>
      <w:r>
        <w:rPr>
          <w:sz w:val="24"/>
        </w:rPr>
        <w:t>Committee</w:t>
      </w:r>
      <w:r>
        <w:rPr>
          <w:spacing w:val="-4"/>
          <w:sz w:val="24"/>
        </w:rPr>
        <w:t xml:space="preserv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89" w:name="_Toc378248269"/>
      <w:bookmarkStart w:id="90" w:name="_Toc426984158"/>
      <w:bookmarkStart w:id="91" w:name="_Toc435099861"/>
      <w:r>
        <w:rPr>
          <w:rStyle w:val="CharDivNo"/>
        </w:rPr>
        <w:t>Division 7</w:t>
      </w:r>
      <w:r>
        <w:t xml:space="preserve"> — </w:t>
      </w:r>
      <w:r>
        <w:rPr>
          <w:rStyle w:val="CharDivText"/>
        </w:rPr>
        <w:t>Termination of residence contracts</w:t>
      </w:r>
      <w:bookmarkEnd w:id="89"/>
      <w:bookmarkEnd w:id="90"/>
      <w:bookmarkEnd w:id="91"/>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Retirement Villages Act 1992</w:t>
      </w:r>
      <w:r>
        <w:t xml:space="preserve">, an administering body may apply to the Tribunal to terminate a residence contract on any of the following grounds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Retirement Villages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40"/>
        <w:ind w:left="1021" w:hanging="454"/>
      </w:pPr>
      <w:r>
        <w:rPr>
          <w:rFonts w:ascii="Symbol" w:hAnsi="Symbol"/>
        </w:rPr>
        <w:t></w:t>
      </w:r>
      <w:r>
        <w:rPr>
          <w:rFonts w:ascii="Symbol" w:hAnsi="Symbol"/>
        </w:rPr>
        <w:tab/>
      </w:r>
      <w:r>
        <w:t>advise the resident of his or her right to occupy the accommodation unit until a termination date is fixed by the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rPr>
          <w:spacing w:val="-4"/>
        </w:rPr>
      </w:pPr>
      <w:r>
        <w:rPr>
          <w:rFonts w:ascii="Symbol" w:hAnsi="Symbol"/>
          <w:spacing w:val="-4"/>
        </w:rPr>
        <w:t></w:t>
      </w:r>
      <w:r>
        <w:rPr>
          <w:rFonts w:ascii="Symbol" w:hAnsi="Symbol"/>
          <w:spacing w:val="-4"/>
        </w:rPr>
        <w:tab/>
      </w:r>
      <w:r>
        <w:rPr>
          <w:spacing w:val="-4"/>
        </w:rPr>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r>
        <w:rPr>
          <w:rFonts w:ascii="Symbol" w:hAnsi="Symbol"/>
        </w:rPr>
        <w:t></w:t>
      </w:r>
      <w:r>
        <w:rPr>
          <w:rFonts w:ascii="Symbol" w:hAnsi="Symbol"/>
        </w:rPr>
        <w:tab/>
      </w: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92" w:name="_Toc378248270"/>
      <w:bookmarkStart w:id="93" w:name="_Toc426984159"/>
      <w:bookmarkStart w:id="94" w:name="_Toc435099862"/>
      <w:r>
        <w:rPr>
          <w:rStyle w:val="CharPartText"/>
        </w:rPr>
        <w:t xml:space="preserve">Appendix 1 — </w:t>
      </w:r>
      <w:r>
        <w:t>Copy of information statement for prospective resident</w:t>
      </w:r>
      <w:bookmarkEnd w:id="92"/>
      <w:bookmarkEnd w:id="93"/>
      <w:bookmarkEnd w:id="94"/>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7"/>
        </w:tabs>
        <w:ind w:left="1137" w:hanging="570"/>
      </w:pPr>
      <w:r>
        <w:t>1.</w:t>
      </w:r>
      <w:r>
        <w:tab/>
        <w:t>What costs will be payable to enter the retirement village?</w:t>
      </w:r>
    </w:p>
    <w:p>
      <w:pPr>
        <w:pStyle w:val="zMiscellaneousBody"/>
        <w:shd w:val="pct15" w:color="auto" w:fill="FFFFFF"/>
        <w:tabs>
          <w:tab w:val="left" w:pos="1137"/>
        </w:tabs>
        <w:ind w:left="1137" w:hanging="570"/>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7"/>
        </w:tabs>
        <w:ind w:left="1137" w:hanging="570"/>
      </w:pPr>
      <w:r>
        <w:t>3.</w:t>
      </w:r>
      <w:r>
        <w:tab/>
        <w:t>By what percentage did the maintenance fee increase during the previous financial year?</w:t>
      </w:r>
    </w:p>
    <w:p>
      <w:pPr>
        <w:pStyle w:val="zMiscellaneousBody"/>
        <w:shd w:val="pct15" w:color="auto" w:fill="FFFFFF"/>
        <w:tabs>
          <w:tab w:val="left" w:pos="1137"/>
        </w:tabs>
        <w:ind w:left="1137" w:hanging="570"/>
      </w:pPr>
      <w:r>
        <w:t>4.</w:t>
      </w:r>
      <w:r>
        <w:tab/>
        <w:t>What are the arrangements and fees for any necessary insurance cover?</w:t>
      </w:r>
    </w:p>
    <w:p>
      <w:pPr>
        <w:pStyle w:val="zMiscellaneousBody"/>
        <w:shd w:val="pct15" w:color="auto" w:fill="FFFFFF"/>
        <w:tabs>
          <w:tab w:val="left" w:pos="1137"/>
        </w:tabs>
        <w:ind w:left="1137" w:hanging="570"/>
      </w:pPr>
      <w:r>
        <w:t>5.</w:t>
      </w:r>
      <w:r>
        <w:tab/>
        <w:t>What provision is there for a sinking fund for major maintenance and replacement?</w:t>
      </w:r>
    </w:p>
    <w:p>
      <w:pPr>
        <w:pStyle w:val="zMiscellaneousBody"/>
        <w:shd w:val="pct15" w:color="auto" w:fill="FFFFFF"/>
        <w:tabs>
          <w:tab w:val="left" w:pos="1137"/>
        </w:tabs>
        <w:ind w:left="1137" w:hanging="570"/>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7"/>
        </w:tabs>
        <w:ind w:left="1137" w:hanging="570"/>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7"/>
        </w:tabs>
        <w:ind w:left="1137" w:hanging="570"/>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7"/>
        </w:tabs>
        <w:ind w:left="1137" w:hanging="570"/>
      </w:pPr>
      <w:r>
        <w:t>9.</w:t>
      </w:r>
      <w:r>
        <w:tab/>
        <w:t>What services will be provided for the fees payable?</w:t>
      </w:r>
    </w:p>
    <w:p>
      <w:pPr>
        <w:pStyle w:val="zMiscellaneousBody"/>
        <w:shd w:val="pct15" w:color="auto" w:fill="FFFFFF"/>
        <w:tabs>
          <w:tab w:val="left" w:pos="1137"/>
        </w:tabs>
        <w:ind w:left="1137" w:hanging="570"/>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7"/>
        </w:tabs>
        <w:ind w:left="1137" w:hanging="570"/>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7"/>
        </w:tabs>
        <w:ind w:left="1137" w:hanging="570"/>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7"/>
        </w:tabs>
        <w:ind w:left="1137" w:hanging="570"/>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7"/>
        </w:tabs>
        <w:ind w:left="1137" w:hanging="570"/>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7"/>
        </w:tabs>
        <w:ind w:left="1137" w:hanging="570"/>
      </w:pPr>
      <w:r>
        <w:t>15.</w:t>
      </w:r>
      <w:r>
        <w:tab/>
        <w:t>Does the prospective resident have to supply a medical certificate or report to certify his/her ability to live independently?</w:t>
      </w:r>
    </w:p>
    <w:p>
      <w:pPr>
        <w:pStyle w:val="zMiscellaneousBody"/>
        <w:shd w:val="pct15" w:color="auto" w:fill="FFFFFF"/>
        <w:tabs>
          <w:tab w:val="left" w:pos="1137"/>
        </w:tabs>
        <w:ind w:left="1137" w:hanging="570"/>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7"/>
        </w:tabs>
        <w:ind w:left="1137" w:hanging="570"/>
      </w:pPr>
      <w:r>
        <w:t>17.</w:t>
      </w:r>
      <w:r>
        <w:tab/>
        <w:t>Is there an emergency call system?  If so, when is it monitored?  Who is responsible for responding to the calls?</w:t>
      </w:r>
    </w:p>
    <w:p>
      <w:pPr>
        <w:pStyle w:val="zMiscellaneousBody"/>
        <w:shd w:val="pct15" w:color="auto" w:fill="FFFFFF"/>
        <w:tabs>
          <w:tab w:val="left" w:pos="1137"/>
        </w:tabs>
        <w:ind w:left="1137" w:hanging="570"/>
      </w:pPr>
      <w:r>
        <w:t>18.</w:t>
      </w:r>
      <w:r>
        <w:tab/>
        <w:t>In the event of an emergency who will be called and how will they gain access to the unit?</w:t>
      </w:r>
    </w:p>
    <w:p>
      <w:pPr>
        <w:pStyle w:val="zMiscellaneousBody"/>
        <w:shd w:val="pct15" w:color="auto" w:fill="FFFFFF"/>
        <w:tabs>
          <w:tab w:val="left" w:pos="1137"/>
        </w:tabs>
        <w:ind w:left="1137" w:hanging="570"/>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7"/>
        </w:tabs>
        <w:ind w:left="1137" w:hanging="570"/>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7"/>
        </w:tabs>
        <w:ind w:left="1137" w:hanging="570"/>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7"/>
        </w:tabs>
        <w:ind w:left="1137" w:hanging="570"/>
      </w:pPr>
      <w:r>
        <w:t>22.</w:t>
      </w:r>
      <w:r>
        <w:tab/>
        <w:t>What costs are associated with moving to and living in alternative accommodation within the village?</w:t>
      </w:r>
    </w:p>
    <w:p>
      <w:pPr>
        <w:pStyle w:val="zMiscellaneousBody"/>
        <w:shd w:val="pct15" w:color="auto" w:fill="FFFFFF"/>
        <w:tabs>
          <w:tab w:val="left" w:pos="1137"/>
        </w:tabs>
        <w:ind w:left="1137" w:hanging="570"/>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7"/>
        </w:tabs>
        <w:ind w:left="1137" w:hanging="570"/>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7"/>
        </w:tabs>
        <w:ind w:left="1137" w:hanging="570"/>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7"/>
        </w:tabs>
        <w:ind w:left="1137" w:hanging="570"/>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7"/>
        </w:tabs>
        <w:ind w:left="1137" w:hanging="570"/>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keepNext/>
        <w:keepLines/>
        <w:shd w:val="pct15" w:color="auto" w:fill="FFFFFF"/>
        <w:tabs>
          <w:tab w:val="left" w:pos="1137"/>
        </w:tabs>
        <w:ind w:left="1137" w:hanging="570"/>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7"/>
        </w:tabs>
        <w:ind w:left="1137" w:hanging="570"/>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keepNext/>
        <w:keepLines/>
        <w:shd w:val="pct15" w:color="auto" w:fill="FFFFFF"/>
        <w:tabs>
          <w:tab w:val="left" w:pos="1137"/>
        </w:tabs>
        <w:ind w:left="1137" w:hanging="570"/>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keepNext/>
        <w:keepLines/>
        <w:shd w:val="pct15" w:color="auto" w:fill="FFFFFF"/>
        <w:tabs>
          <w:tab w:val="left" w:pos="1137"/>
        </w:tabs>
        <w:ind w:left="1137" w:hanging="570"/>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95" w:name="_Toc378248271"/>
      <w:bookmarkStart w:id="96" w:name="_Toc426984160"/>
      <w:bookmarkStart w:id="97" w:name="_Toc435099863"/>
      <w:r>
        <w:rPr>
          <w:rStyle w:val="CharPartText"/>
        </w:rPr>
        <w:t xml:space="preserve">Appendix 2 — </w:t>
      </w:r>
      <w:r>
        <w:t>Checklist for prospective resident</w:t>
      </w:r>
      <w:bookmarkEnd w:id="95"/>
      <w:bookmarkEnd w:id="96"/>
      <w:bookmarkEnd w:id="97"/>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6.</w:t>
      </w:r>
      <w:r>
        <w:tab/>
        <w:t>Will the village and my unit be readily accessible if I become disabled and need a wheelchair or walking aid?  What alternatives do I have if I am no longer able to live alone?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7.</w:t>
      </w:r>
      <w:r>
        <w:tab/>
        <w:t>Does the village provide personal care or nursing care, an emergency call system and other facilities specially designed for the elderly?  Do these meet my present and likely future needs?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12.</w:t>
      </w:r>
      <w:r>
        <w:tab/>
        <w:t xml:space="preserve">Before I sign the contract, have I received and considered all the information required to be given to me under the </w:t>
      </w:r>
      <w:r>
        <w:rPr>
          <w:i/>
        </w:rPr>
        <w:t>Interim Code of Fair Practice for Retirement Villages (No. 2) 2002</w:t>
      </w:r>
      <w:r>
        <w:t xml:space="preserve"> and the </w:t>
      </w:r>
      <w:r>
        <w:rPr>
          <w:i/>
        </w:rPr>
        <w:t>Retirement Villages Act 1992</w:t>
      </w:r>
      <w:r>
        <w: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9" w:name="_Toc378248272"/>
      <w:bookmarkStart w:id="100" w:name="_Toc426984161"/>
      <w:bookmarkStart w:id="101" w:name="_Toc435099864"/>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(No. 2)) Regulations 2002</w:t>
      </w:r>
      <w:r>
        <w:t>.</w:t>
      </w:r>
    </w:p>
    <w:p>
      <w:pPr>
        <w:pStyle w:val="nHeading3"/>
      </w:pPr>
      <w:bookmarkStart w:id="102" w:name="_Toc378248273"/>
      <w:bookmarkStart w:id="103" w:name="_Toc435099865"/>
      <w: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(No. 2)) Regulations 2002</w:t>
            </w:r>
          </w:p>
        </w:tc>
        <w:tc>
          <w:tcPr>
            <w:tcW w:w="1276" w:type="dxa"/>
            <w:tcBorders>
              <w:top w:val="single" w:sz="8" w:space="0" w:color="auto"/>
            </w:tcBorders>
          </w:tcPr>
          <w:p>
            <w:pPr>
              <w:pStyle w:val="nTable"/>
            </w:pPr>
            <w:r>
              <w:t>27 Sep 2002 p. 4789-826</w:t>
            </w:r>
          </w:p>
        </w:tc>
        <w:tc>
          <w:tcPr>
            <w:tcW w:w="2693" w:type="dxa"/>
            <w:tcBorders>
              <w:top w:val="single" w:sz="8" w:space="0" w:color="auto"/>
            </w:tcBorders>
          </w:tcPr>
          <w:p>
            <w:pPr>
              <w:pStyle w:val="nTable"/>
            </w:pPr>
            <w:r>
              <w:t>1 Oct 2002 (see r. 2)</w:t>
            </w:r>
          </w:p>
        </w:tc>
      </w:tr>
      <w:tr>
        <w:trPr>
          <w:cantSplit/>
        </w:trPr>
        <w:tc>
          <w:tcPr>
            <w:tcW w:w="7088" w:type="dxa"/>
            <w:gridSpan w:val="3"/>
            <w:tcBorders>
              <w:bottom w:val="single" w:sz="8" w:space="0" w:color="auto"/>
            </w:tcBorders>
          </w:tcPr>
          <w:p>
            <w:pPr>
              <w:pStyle w:val="nTable"/>
              <w:rPr>
                <w:b/>
                <w:bCs/>
                <w:color w:val="FF0000"/>
              </w:rPr>
            </w:pPr>
            <w:r>
              <w:rPr>
                <w:b/>
                <w:bCs/>
                <w:color w:val="FF0000"/>
              </w:rPr>
              <w:t>These regulations expired on 31 Mar 2003 (see r. 4 of these regulations)</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Mar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(No. 2))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CE79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8CFA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F49E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EC4B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FE32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4292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F233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4068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9EE11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6EB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7E81DB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9"/>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948"/>
    <w:docVar w:name="WAFER_20140123132834" w:val="RemoveTocBookmarks,RemoveUnusedBookmarks,RemoveLanguageTags,UsedStyles,ResetPageSize,UpdateArrangement"/>
    <w:docVar w:name="WAFER_20140123132834_GUID" w:val="b7ff6f1e-6a7e-4e27-80e0-f138da58570c"/>
    <w:docVar w:name="WAFER_20140123134336" w:val="RemoveTocBookmarks,RunningHeaders"/>
    <w:docVar w:name="WAFER_20140123134336_GUID" w:val="5a8b0543-60fd-4315-a02b-7297b8bbf433"/>
    <w:docVar w:name="WAFER_20150810153039" w:val="ResetPageSize,UpdateArrangement,UpdateNTable"/>
    <w:docVar w:name="WAFER_20150810153039_GUID" w:val="b13fe4ac-ec49-4b3b-a1e8-2f92ca67d348"/>
    <w:docVar w:name="WAFER_20151112110948" w:val="UpdateStyles,UsedStyles"/>
    <w:docVar w:name="WAFER_20151112110948_GUID" w:val="e6ded125-f0d9-491b-b6d2-233dd7246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8161</Words>
  <Characters>42356</Characters>
  <Application>Microsoft Office Word</Application>
  <DocSecurity>0</DocSecurity>
  <Lines>1086</Lines>
  <Paragraphs>510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Schedule 1 — Interim Code of Fair Practice for Retirement Villages (No. 2) 2002</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(No. 2)) Regulations 2002 - 00-b0-06</dc:title>
  <dc:subject/>
  <dc:creator/>
  <cp:keywords/>
  <dc:description/>
  <cp:lastModifiedBy>svcMRProcess</cp:lastModifiedBy>
  <cp:revision>4</cp:revision>
  <cp:lastPrinted>2006-04-19T00:51:00Z</cp:lastPrinted>
  <dcterms:created xsi:type="dcterms:W3CDTF">2018-09-11T14:46:00Z</dcterms:created>
  <dcterms:modified xsi:type="dcterms:W3CDTF">2018-09-11T14:46:00Z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2002 p. 4789-826</vt:lpwstr>
  </property>
  <property fmtid="{D5CDD505-2E9C-101B-9397-08002B2CF9AE}" pid="3" name="CommencementDate">
    <vt:lpwstr>20030331</vt:lpwstr>
  </property>
  <property fmtid="{D5CDD505-2E9C-101B-9397-08002B2CF9AE}" pid="4" name="DocumentType">
    <vt:lpwstr>Reg</vt:lpwstr>
  </property>
  <property fmtid="{D5CDD505-2E9C-101B-9397-08002B2CF9AE}" pid="5" name="AsAtDate">
    <vt:lpwstr>31 Mar 2003</vt:lpwstr>
  </property>
  <property fmtid="{D5CDD505-2E9C-101B-9397-08002B2CF9AE}" pid="6" name="Suffix">
    <vt:lpwstr>00-b0-06</vt:lpwstr>
  </property>
  <property fmtid="{D5CDD505-2E9C-101B-9397-08002B2CF9AE}" pid="7" name="Status">
    <vt:lpwstr>NIF</vt:lpwstr>
  </property>
</Properties>
</file>