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Family Court Act 1997</w:t>
      </w:r>
    </w:p>
    <w:p>
      <w:pPr>
        <w:pStyle w:val="NameofActReg"/>
        <w:spacing w:before="3760" w:after="4200"/>
      </w:pPr>
      <w:r>
        <w:rPr>
          <w:noProof/>
        </w:rPr>
        <w:t>Family Court Regulations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_Toc160609190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_Toc160609191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_Toc160609192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Dispensing with compliance</w:t>
      </w:r>
      <w:r>
        <w:tab/>
      </w:r>
      <w:r>
        <w:fldChar w:fldCharType="begin"/>
      </w:r>
      <w:r>
        <w:instrText xml:space="preserve"> PAGEREF _Toc160609193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Court registry</w:t>
      </w:r>
      <w:r>
        <w:tab/>
      </w:r>
      <w:r>
        <w:fldChar w:fldCharType="begin"/>
      </w:r>
      <w:r>
        <w:instrText xml:space="preserve"> PAGEREF _Toc160609194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Fees of Marshal</w:t>
      </w:r>
      <w:r>
        <w:tab/>
      </w:r>
      <w:r>
        <w:fldChar w:fldCharType="begin"/>
      </w:r>
      <w:r>
        <w:instrText xml:space="preserve"> PAGEREF _Toc160609195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Recording of proceedings</w:t>
      </w:r>
      <w:r>
        <w:tab/>
      </w:r>
      <w:r>
        <w:fldChar w:fldCharType="begin"/>
      </w:r>
      <w:r>
        <w:instrText xml:space="preserve"> PAGEREF _Toc160609196 \h </w:instrText>
      </w:r>
      <w:r>
        <w:fldChar w:fldCharType="separate"/>
      </w:r>
      <w:r>
        <w:t>3</w:t>
      </w:r>
      <w:r>
        <w:fldChar w:fldCharType="end"/>
      </w:r>
    </w:p>
    <w:p>
      <w:pPr>
        <w:pStyle w:val="TOC8"/>
        <w:rPr>
          <w:sz w:val="24"/>
          <w:szCs w:val="24"/>
        </w:rPr>
      </w:pPr>
      <w:r>
        <w:rPr>
          <w:szCs w:val="24"/>
        </w:rPr>
        <w:t>8.</w:t>
      </w:r>
      <w:r>
        <w:rPr>
          <w:szCs w:val="24"/>
        </w:rPr>
        <w:tab/>
        <w:t>Family Dispute Resolution</w:t>
      </w:r>
      <w:r>
        <w:tab/>
      </w:r>
      <w:r>
        <w:fldChar w:fldCharType="begin"/>
      </w:r>
      <w:r>
        <w:instrText xml:space="preserve"> PAGEREF _Toc160609197 \h </w:instrText>
      </w:r>
      <w:r>
        <w:fldChar w:fldCharType="separate"/>
      </w:r>
      <w:r>
        <w:t>3</w:t>
      </w:r>
      <w:r>
        <w:fldChar w:fldCharType="end"/>
      </w:r>
    </w:p>
    <w:p>
      <w:pPr>
        <w:pStyle w:val="TOC8"/>
        <w:rPr>
          <w:sz w:val="24"/>
          <w:szCs w:val="24"/>
        </w:rPr>
      </w:pPr>
      <w:r>
        <w:rPr>
          <w:szCs w:val="24"/>
        </w:rPr>
        <w:t>9.</w:t>
      </w:r>
      <w:r>
        <w:rPr>
          <w:szCs w:val="24"/>
        </w:rPr>
        <w:tab/>
        <w:t>Prescribed information about reconciliation</w:t>
      </w:r>
      <w:r>
        <w:tab/>
      </w:r>
      <w:r>
        <w:fldChar w:fldCharType="begin"/>
      </w:r>
      <w:r>
        <w:instrText xml:space="preserve"> PAGEREF _Toc160609198 \h </w:instrText>
      </w:r>
      <w:r>
        <w:fldChar w:fldCharType="separate"/>
      </w:r>
      <w:r>
        <w:t>3</w:t>
      </w:r>
      <w:r>
        <w:fldChar w:fldCharType="end"/>
      </w:r>
    </w:p>
    <w:p>
      <w:pPr>
        <w:pStyle w:val="TOC8"/>
        <w:rPr>
          <w:sz w:val="24"/>
          <w:szCs w:val="24"/>
        </w:rPr>
      </w:pPr>
      <w:r>
        <w:rPr>
          <w:szCs w:val="24"/>
        </w:rPr>
        <w:t>10.</w:t>
      </w:r>
      <w:r>
        <w:rPr>
          <w:szCs w:val="24"/>
        </w:rPr>
        <w:tab/>
        <w:t>Matters that a family law dispute resolution practitioner is to have regard to before giving a certificate under section 66H(7)(b)</w:t>
      </w:r>
      <w:r>
        <w:tab/>
      </w:r>
      <w:r>
        <w:fldChar w:fldCharType="begin"/>
      </w:r>
      <w:r>
        <w:instrText xml:space="preserve"> PAGEREF _Toc160609199 \h </w:instrText>
      </w:r>
      <w:r>
        <w:fldChar w:fldCharType="separate"/>
      </w:r>
      <w:r>
        <w:t>3</w:t>
      </w:r>
      <w:r>
        <w:fldChar w:fldCharType="end"/>
      </w:r>
    </w:p>
    <w:p>
      <w:pPr>
        <w:pStyle w:val="TOC8"/>
        <w:rPr>
          <w:sz w:val="24"/>
          <w:szCs w:val="24"/>
        </w:rPr>
      </w:pPr>
      <w:r>
        <w:rPr>
          <w:szCs w:val="24"/>
        </w:rPr>
        <w:t>11.</w:t>
      </w:r>
      <w:r>
        <w:rPr>
          <w:szCs w:val="24"/>
        </w:rPr>
        <w:tab/>
        <w:t>Registration of court decision</w:t>
      </w:r>
      <w:r>
        <w:tab/>
      </w:r>
      <w:r>
        <w:fldChar w:fldCharType="begin"/>
      </w:r>
      <w:r>
        <w:instrText xml:space="preserve"> PAGEREF _Toc160609200 \h </w:instrText>
      </w:r>
      <w:r>
        <w:fldChar w:fldCharType="separate"/>
      </w:r>
      <w:r>
        <w:t>4</w:t>
      </w:r>
      <w:r>
        <w:fldChar w:fldCharType="end"/>
      </w:r>
    </w:p>
    <w:p>
      <w:pPr>
        <w:pStyle w:val="TOC8"/>
        <w:rPr>
          <w:sz w:val="24"/>
          <w:szCs w:val="24"/>
        </w:rPr>
      </w:pPr>
      <w:r>
        <w:rPr>
          <w:szCs w:val="24"/>
        </w:rPr>
        <w:t>12.</w:t>
      </w:r>
      <w:r>
        <w:rPr>
          <w:szCs w:val="24"/>
        </w:rPr>
        <w:tab/>
        <w:t>Prescribed government agencies</w:t>
      </w:r>
      <w:r>
        <w:tab/>
      </w:r>
      <w:r>
        <w:fldChar w:fldCharType="begin"/>
      </w:r>
      <w:r>
        <w:instrText xml:space="preserve"> PAGEREF _Toc160609201 \h </w:instrText>
      </w:r>
      <w:r>
        <w:fldChar w:fldCharType="separate"/>
      </w:r>
      <w:r>
        <w:t>4</w:t>
      </w:r>
      <w:r>
        <w:fldChar w:fldCharType="end"/>
      </w:r>
    </w:p>
    <w:p>
      <w:pPr>
        <w:pStyle w:val="TOC8"/>
        <w:rPr>
          <w:sz w:val="24"/>
          <w:szCs w:val="24"/>
        </w:rPr>
      </w:pPr>
      <w:r>
        <w:rPr>
          <w:szCs w:val="24"/>
        </w:rPr>
        <w:t>13.</w:t>
      </w:r>
      <w:r>
        <w:rPr>
          <w:szCs w:val="24"/>
        </w:rPr>
        <w:tab/>
        <w:t>Third party expenses</w:t>
      </w:r>
      <w:r>
        <w:tab/>
      </w:r>
      <w:r>
        <w:fldChar w:fldCharType="begin"/>
      </w:r>
      <w:r>
        <w:instrText xml:space="preserve"> PAGEREF _Toc160609202 \h </w:instrText>
      </w:r>
      <w:r>
        <w:fldChar w:fldCharType="separate"/>
      </w:r>
      <w:r>
        <w:t>4</w:t>
      </w:r>
      <w:r>
        <w:fldChar w:fldCharType="end"/>
      </w:r>
    </w:p>
    <w:p>
      <w:pPr>
        <w:pStyle w:val="TOC8"/>
        <w:rPr>
          <w:sz w:val="24"/>
          <w:szCs w:val="24"/>
        </w:rPr>
      </w:pPr>
      <w:r>
        <w:rPr>
          <w:szCs w:val="24"/>
        </w:rPr>
        <w:t>14F.</w:t>
      </w:r>
      <w:r>
        <w:rPr>
          <w:szCs w:val="24"/>
        </w:rPr>
        <w:tab/>
        <w:t>Prescribed benefits</w:t>
      </w:r>
      <w:r>
        <w:tab/>
      </w:r>
      <w:r>
        <w:fldChar w:fldCharType="begin"/>
      </w:r>
      <w:r>
        <w:instrText xml:space="preserve"> PAGEREF _Toc160609203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Parentage testing procedures</w:t>
      </w:r>
      <w:r>
        <w:tab/>
      </w:r>
      <w:r>
        <w:fldChar w:fldCharType="begin"/>
      </w:r>
      <w:r>
        <w:instrText xml:space="preserve"> PAGEREF _Toc160609204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Parentage testing reports</w:t>
      </w:r>
      <w:r>
        <w:tab/>
      </w:r>
      <w:r>
        <w:fldChar w:fldCharType="begin"/>
      </w:r>
      <w:r>
        <w:instrText xml:space="preserve"> PAGEREF _Toc160609205 \h </w:instrText>
      </w:r>
      <w:r>
        <w:fldChar w:fldCharType="separate"/>
      </w:r>
      <w:r>
        <w:t>5</w:t>
      </w:r>
      <w:r>
        <w:fldChar w:fldCharType="end"/>
      </w:r>
    </w:p>
    <w:p>
      <w:pPr>
        <w:pStyle w:val="TOC8"/>
        <w:rPr>
          <w:sz w:val="24"/>
          <w:szCs w:val="24"/>
        </w:rPr>
      </w:pPr>
      <w:r>
        <w:rPr>
          <w:szCs w:val="24"/>
        </w:rPr>
        <w:t>17</w:t>
      </w:r>
      <w:r>
        <w:rPr>
          <w:snapToGrid w:val="0"/>
          <w:szCs w:val="24"/>
        </w:rPr>
        <w:t>.</w:t>
      </w:r>
      <w:r>
        <w:rPr>
          <w:snapToGrid w:val="0"/>
          <w:szCs w:val="24"/>
        </w:rPr>
        <w:tab/>
        <w:t>Registration in a court of orders etc. made by another court</w:t>
      </w:r>
      <w:r>
        <w:tab/>
      </w:r>
      <w:r>
        <w:fldChar w:fldCharType="begin"/>
      </w:r>
      <w:r>
        <w:instrText xml:space="preserve"> PAGEREF _Toc160609206 \h </w:instrText>
      </w:r>
      <w:r>
        <w:fldChar w:fldCharType="separate"/>
      </w:r>
      <w:r>
        <w:t>5</w:t>
      </w:r>
      <w:r>
        <w:fldChar w:fldCharType="end"/>
      </w:r>
    </w:p>
    <w:p>
      <w:pPr>
        <w:pStyle w:val="TOC8"/>
        <w:rPr>
          <w:sz w:val="24"/>
          <w:szCs w:val="24"/>
        </w:rPr>
      </w:pPr>
      <w:r>
        <w:rPr>
          <w:szCs w:val="24"/>
        </w:rPr>
        <w:t>18</w:t>
      </w:r>
      <w:r>
        <w:rPr>
          <w:snapToGrid w:val="0"/>
          <w:szCs w:val="24"/>
        </w:rPr>
        <w:t>.</w:t>
      </w:r>
      <w:r>
        <w:rPr>
          <w:snapToGrid w:val="0"/>
          <w:szCs w:val="24"/>
        </w:rPr>
        <w:tab/>
        <w:t>Court fees payable in respect of proceedings</w:t>
      </w:r>
      <w:r>
        <w:tab/>
      </w:r>
      <w:r>
        <w:fldChar w:fldCharType="begin"/>
      </w:r>
      <w:r>
        <w:instrText xml:space="preserve"> PAGEREF _Toc160609207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Biennial increases</w:t>
      </w:r>
      <w:r>
        <w:tab/>
      </w:r>
      <w:r>
        <w:fldChar w:fldCharType="begin"/>
      </w:r>
      <w:r>
        <w:instrText xml:space="preserve"> PAGEREF _Toc160609208 \h </w:instrText>
      </w:r>
      <w:r>
        <w:fldChar w:fldCharType="separate"/>
      </w:r>
      <w:r>
        <w:t>9</w:t>
      </w:r>
      <w:r>
        <w:fldChar w:fldCharType="end"/>
      </w:r>
    </w:p>
    <w:p>
      <w:pPr>
        <w:pStyle w:val="TOC8"/>
        <w:rPr>
          <w:sz w:val="24"/>
          <w:szCs w:val="24"/>
        </w:rPr>
      </w:pPr>
      <w:r>
        <w:rPr>
          <w:szCs w:val="24"/>
        </w:rPr>
        <w:t>20</w:t>
      </w:r>
      <w:r>
        <w:rPr>
          <w:snapToGrid w:val="0"/>
          <w:szCs w:val="24"/>
        </w:rPr>
        <w:t>.</w:t>
      </w:r>
      <w:r>
        <w:rPr>
          <w:snapToGrid w:val="0"/>
          <w:szCs w:val="24"/>
        </w:rPr>
        <w:tab/>
        <w:t>Calculation of increase</w:t>
      </w:r>
      <w:r>
        <w:tab/>
      </w:r>
      <w:r>
        <w:fldChar w:fldCharType="begin"/>
      </w:r>
      <w:r>
        <w:instrText xml:space="preserve"> PAGEREF _Toc160609209 \h </w:instrText>
      </w:r>
      <w:r>
        <w:fldChar w:fldCharType="separate"/>
      </w:r>
      <w:r>
        <w:t>9</w:t>
      </w:r>
      <w:r>
        <w:fldChar w:fldCharType="end"/>
      </w:r>
    </w:p>
    <w:p>
      <w:pPr>
        <w:pStyle w:val="TOC8"/>
        <w:rPr>
          <w:sz w:val="24"/>
          <w:szCs w:val="24"/>
        </w:rPr>
      </w:pPr>
      <w:r>
        <w:rPr>
          <w:szCs w:val="24"/>
        </w:rPr>
        <w:lastRenderedPageBreak/>
        <w:t>21</w:t>
      </w:r>
      <w:r>
        <w:rPr>
          <w:snapToGrid w:val="0"/>
          <w:szCs w:val="24"/>
        </w:rPr>
        <w:t>.</w:t>
      </w:r>
      <w:r>
        <w:rPr>
          <w:snapToGrid w:val="0"/>
          <w:szCs w:val="24"/>
        </w:rPr>
        <w:tab/>
        <w:t>Review of functions of registrars</w:t>
      </w:r>
      <w:r>
        <w:tab/>
      </w:r>
      <w:r>
        <w:fldChar w:fldCharType="begin"/>
      </w:r>
      <w:r>
        <w:instrText xml:space="preserve"> PAGEREF _Toc160609210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_Toc160609212 \h </w:instrText>
      </w:r>
      <w:r>
        <w:fldChar w:fldCharType="separate"/>
      </w:r>
      <w:r>
        <w:t>12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PrincipalActReg"/>
      </w:pPr>
      <w:r>
        <w:t>Family Court Act 1997</w:t>
      </w:r>
    </w:p>
    <w:p>
      <w:pPr>
        <w:pStyle w:val="NameofActReg"/>
      </w:pPr>
      <w:r>
        <w:t>Family Court Regulations 1998</w:t>
      </w:r>
    </w:p>
    <w:p>
      <w:pPr>
        <w:pStyle w:val="Heading5"/>
      </w:pPr>
      <w:bookmarkStart w:id="1" w:name="_Toc429277116"/>
      <w:bookmarkStart w:id="2" w:name="_Toc26254723"/>
      <w:bookmarkStart w:id="3" w:name="_Toc26330918"/>
      <w:bookmarkStart w:id="4" w:name="_Toc160609190"/>
      <w:r>
        <w:rPr>
          <w:rStyle w:val="CharSectno"/>
        </w:rPr>
        <w:t>1</w:t>
      </w:r>
      <w:r>
        <w:t>.</w:t>
      </w:r>
      <w:r>
        <w:tab/>
        <w:t>Citation</w:t>
      </w:r>
      <w:bookmarkEnd w:id="1"/>
      <w:bookmarkEnd w:id="2"/>
      <w:bookmarkEnd w:id="3"/>
      <w:bookmarkEnd w:id="4"/>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5" w:name="_Toc429277117"/>
      <w:bookmarkStart w:id="6" w:name="_Toc26254724"/>
      <w:bookmarkStart w:id="7" w:name="_Toc26330919"/>
      <w:bookmarkStart w:id="8" w:name="_Toc160609191"/>
      <w:r>
        <w:rPr>
          <w:rStyle w:val="CharSectno"/>
        </w:rPr>
        <w:t>2</w:t>
      </w:r>
      <w:r>
        <w:rPr>
          <w:spacing w:val="-2"/>
        </w:rPr>
        <w:t>.</w:t>
      </w:r>
      <w:r>
        <w:rPr>
          <w:spacing w:val="-2"/>
        </w:rPr>
        <w:tab/>
        <w:t>Commencement</w:t>
      </w:r>
      <w:bookmarkEnd w:id="5"/>
      <w:bookmarkEnd w:id="6"/>
      <w:bookmarkEnd w:id="7"/>
      <w:bookmarkEnd w:id="8"/>
    </w:p>
    <w:p>
      <w:pPr>
        <w:pStyle w:val="Subsection"/>
        <w:rPr>
          <w:spacing w:val="-2"/>
        </w:rPr>
      </w:pPr>
      <w:r>
        <w:rPr>
          <w:spacing w:val="-2"/>
        </w:rPr>
        <w:tab/>
      </w:r>
      <w:r>
        <w:rPr>
          <w:spacing w:val="-2"/>
        </w:rPr>
        <w:tab/>
      </w:r>
      <w:bookmarkStart w:id="9" w:name="Start_Cursor"/>
      <w:bookmarkEnd w:id="9"/>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0" w:name="_Toc429277118"/>
      <w:bookmarkStart w:id="11" w:name="_Toc26254725"/>
      <w:bookmarkStart w:id="12" w:name="_Toc26330920"/>
      <w:bookmarkStart w:id="13" w:name="_Toc160609192"/>
      <w:r>
        <w:rPr>
          <w:rStyle w:val="CharSectno"/>
        </w:rPr>
        <w:t>3</w:t>
      </w:r>
      <w:r>
        <w:rPr>
          <w:snapToGrid w:val="0"/>
        </w:rPr>
        <w:t>.</w:t>
      </w:r>
      <w:r>
        <w:rPr>
          <w:snapToGrid w:val="0"/>
        </w:rPr>
        <w:tab/>
      </w:r>
      <w:bookmarkEnd w:id="10"/>
      <w:bookmarkEnd w:id="11"/>
      <w:bookmarkEnd w:id="12"/>
      <w:r>
        <w:rPr>
          <w:snapToGrid w:val="0"/>
        </w:rPr>
        <w:t>Terms used in these regulations</w:t>
      </w:r>
      <w:bookmarkEnd w:id="1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Centrelink</w:t>
      </w:r>
      <w:r>
        <w:t xml:space="preserve"> means the Commonwealth Services Delivery Agency established under the </w:t>
      </w:r>
      <w:r>
        <w:rPr>
          <w:i/>
          <w:iCs/>
        </w:rPr>
        <w:t>Commonwealth Services Delivery Agency Act 1997</w:t>
      </w:r>
      <w:r>
        <w:t>;</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w:t>
      </w:r>
    </w:p>
    <w:p>
      <w:pPr>
        <w:pStyle w:val="Indenta"/>
        <w:rPr>
          <w:snapToGrid w:val="0"/>
        </w:rPr>
      </w:pPr>
      <w:r>
        <w:rPr>
          <w:snapToGrid w:val="0"/>
        </w:rPr>
        <w:tab/>
        <w:t>(c)</w:t>
      </w:r>
      <w:r>
        <w:rPr>
          <w:snapToGrid w:val="0"/>
        </w:rPr>
        <w:tab/>
        <w:t>to a Registry of the Family Court is to be treated as a reference to the registry of the Family Court of Western Australia;</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w:t>
      </w:r>
    </w:p>
    <w:p>
      <w:pPr>
        <w:pStyle w:val="Heading5"/>
        <w:rPr>
          <w:snapToGrid w:val="0"/>
        </w:rPr>
      </w:pPr>
      <w:bookmarkStart w:id="14" w:name="_Toc429277119"/>
      <w:bookmarkStart w:id="15" w:name="_Toc26254726"/>
      <w:bookmarkStart w:id="16" w:name="_Toc26330921"/>
      <w:bookmarkStart w:id="17" w:name="_Toc160609193"/>
      <w:r>
        <w:rPr>
          <w:rStyle w:val="CharSectno"/>
        </w:rPr>
        <w:t>4</w:t>
      </w:r>
      <w:r>
        <w:rPr>
          <w:snapToGrid w:val="0"/>
        </w:rPr>
        <w:t>.</w:t>
      </w:r>
      <w:r>
        <w:rPr>
          <w:snapToGrid w:val="0"/>
        </w:rPr>
        <w:tab/>
        <w:t>Dispensing with compliance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18" w:name="_Toc429277120"/>
      <w:bookmarkStart w:id="19" w:name="_Toc26254727"/>
      <w:bookmarkStart w:id="20" w:name="_Toc26330922"/>
      <w:bookmarkStart w:id="21" w:name="_Toc160609194"/>
      <w:r>
        <w:rPr>
          <w:rStyle w:val="CharSectno"/>
        </w:rPr>
        <w:t>5</w:t>
      </w:r>
      <w:r>
        <w:rPr>
          <w:snapToGrid w:val="0"/>
        </w:rPr>
        <w:t>.</w:t>
      </w:r>
      <w:r>
        <w:rPr>
          <w:snapToGrid w:val="0"/>
        </w:rPr>
        <w:tab/>
        <w:t>Court registry</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rPr>
          <w:snapToGrid w:val="0"/>
        </w:rPr>
      </w:pPr>
      <w:bookmarkStart w:id="22" w:name="_Toc429277121"/>
      <w:bookmarkStart w:id="23" w:name="_Toc26254728"/>
      <w:bookmarkStart w:id="24" w:name="_Toc26330923"/>
      <w:bookmarkStart w:id="25" w:name="_Toc160609195"/>
      <w:r>
        <w:rPr>
          <w:rStyle w:val="CharSectno"/>
        </w:rPr>
        <w:t>6</w:t>
      </w:r>
      <w:r>
        <w:rPr>
          <w:snapToGrid w:val="0"/>
        </w:rPr>
        <w:t>.</w:t>
      </w:r>
      <w:r>
        <w:rPr>
          <w:snapToGrid w:val="0"/>
        </w:rPr>
        <w:tab/>
        <w:t>Fees of Marshal</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fees payable to the Marshal are to be in accordance with Part III of the Fifth Schedule to the </w:t>
      </w:r>
      <w:r>
        <w:rPr>
          <w:i/>
          <w:snapToGrid w:val="0"/>
        </w:rPr>
        <w:t>Rules of the Supreme Court 1971</w:t>
      </w:r>
      <w:r>
        <w:rPr>
          <w:snapToGrid w:val="0"/>
        </w:rPr>
        <w:t>.</w:t>
      </w:r>
    </w:p>
    <w:p>
      <w:pPr>
        <w:pStyle w:val="Heading5"/>
        <w:rPr>
          <w:snapToGrid w:val="0"/>
        </w:rPr>
      </w:pPr>
      <w:bookmarkStart w:id="26" w:name="_Toc429277122"/>
      <w:bookmarkStart w:id="27" w:name="_Toc26254729"/>
      <w:bookmarkStart w:id="28" w:name="_Toc26330924"/>
      <w:bookmarkStart w:id="29" w:name="_Toc160609196"/>
      <w:r>
        <w:rPr>
          <w:rStyle w:val="CharSectno"/>
        </w:rPr>
        <w:t>7</w:t>
      </w:r>
      <w:r>
        <w:rPr>
          <w:snapToGrid w:val="0"/>
        </w:rPr>
        <w:t>.</w:t>
      </w:r>
      <w:r>
        <w:rPr>
          <w:snapToGrid w:val="0"/>
        </w:rPr>
        <w:tab/>
        <w:t>Recording of proceedings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Heading5"/>
      </w:pPr>
      <w:bookmarkStart w:id="30" w:name="_Toc160609197"/>
      <w:bookmarkStart w:id="31" w:name="_Toc26254743"/>
      <w:bookmarkStart w:id="32" w:name="_Toc26330938"/>
      <w:bookmarkStart w:id="33" w:name="_Toc429277130"/>
      <w:r>
        <w:rPr>
          <w:rStyle w:val="CharSectno"/>
        </w:rPr>
        <w:t>8</w:t>
      </w:r>
      <w:r>
        <w:t>.</w:t>
      </w:r>
      <w:r>
        <w:tab/>
        <w:t>Family Dispute Resolution</w:t>
      </w:r>
      <w:bookmarkEnd w:id="30"/>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4" w:name="_Toc160609198"/>
      <w:r>
        <w:rPr>
          <w:rStyle w:val="CharSectno"/>
        </w:rPr>
        <w:t>9</w:t>
      </w:r>
      <w:r>
        <w:t>.</w:t>
      </w:r>
      <w:r>
        <w:tab/>
        <w:t>Prescribed information about reconciliation</w:t>
      </w:r>
      <w:bookmarkEnd w:id="34"/>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5" w:name="_Toc160609199"/>
      <w:r>
        <w:rPr>
          <w:rStyle w:val="CharSectno"/>
        </w:rPr>
        <w:t>10</w:t>
      </w:r>
      <w:r>
        <w:t>.</w:t>
      </w:r>
      <w:r>
        <w:tab/>
        <w:t>Matters that a family law dispute resolution practitioner is to have regard to before giving a certificate under section 66H(7)(b)</w:t>
      </w:r>
      <w:bookmarkEnd w:id="35"/>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36" w:name="_Toc160609200"/>
      <w:r>
        <w:rPr>
          <w:rStyle w:val="CharSectno"/>
        </w:rPr>
        <w:t>11</w:t>
      </w:r>
      <w:r>
        <w:t>.</w:t>
      </w:r>
      <w:r>
        <w:tab/>
        <w:t>Registration of court decision</w:t>
      </w:r>
      <w:bookmarkEnd w:id="36"/>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37" w:name="_Toc160609201"/>
      <w:r>
        <w:rPr>
          <w:rStyle w:val="CharSectno"/>
        </w:rPr>
        <w:t>12</w:t>
      </w:r>
      <w:r>
        <w:t>.</w:t>
      </w:r>
      <w:r>
        <w:tab/>
        <w:t>Prescribed government agencies</w:t>
      </w:r>
      <w:bookmarkEnd w:id="37"/>
    </w:p>
    <w:p>
      <w:pPr>
        <w:pStyle w:val="Subsection"/>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in Gazette 14 Jul 2006 p. 2562.]</w:t>
      </w:r>
    </w:p>
    <w:p>
      <w:pPr>
        <w:pStyle w:val="Heading5"/>
      </w:pPr>
      <w:bookmarkStart w:id="38" w:name="_Toc160609202"/>
      <w:r>
        <w:rPr>
          <w:rStyle w:val="CharSectno"/>
        </w:rPr>
        <w:t>13</w:t>
      </w:r>
      <w:r>
        <w:t>.</w:t>
      </w:r>
      <w:r>
        <w:tab/>
        <w:t>Third party expenses</w:t>
      </w:r>
      <w:bookmarkEnd w:id="38"/>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39" w:name="_Toc160609203"/>
      <w:r>
        <w:rPr>
          <w:rStyle w:val="CharSectno"/>
        </w:rPr>
        <w:t>14F</w:t>
      </w:r>
      <w:r>
        <w:t>.</w:t>
      </w:r>
      <w:r>
        <w:tab/>
        <w:t>Prescribed benefits</w:t>
      </w:r>
      <w:bookmarkEnd w:id="31"/>
      <w:bookmarkEnd w:id="32"/>
      <w:bookmarkEnd w:id="39"/>
    </w:p>
    <w:p>
      <w:pPr>
        <w:pStyle w:val="Subsection"/>
      </w:pPr>
      <w:r>
        <w:tab/>
      </w:r>
      <w:r>
        <w:tab/>
        <w:t>Family Law Regulation 12A is adopted and applies for the purposes of the definition of “income tested pension, allowance or benefit” in section 205T.</w:t>
      </w:r>
    </w:p>
    <w:p>
      <w:pPr>
        <w:pStyle w:val="Footnotesection"/>
      </w:pPr>
      <w:r>
        <w:tab/>
        <w:t>[Regulation 14F inserted in Gazette 29 Nov 2002 p. 5665.]</w:t>
      </w:r>
    </w:p>
    <w:p>
      <w:pPr>
        <w:pStyle w:val="Heading5"/>
        <w:rPr>
          <w:snapToGrid w:val="0"/>
        </w:rPr>
      </w:pPr>
      <w:bookmarkStart w:id="40" w:name="_Toc26254744"/>
      <w:bookmarkStart w:id="41" w:name="_Toc26330939"/>
      <w:bookmarkStart w:id="42" w:name="_Toc160609204"/>
      <w:r>
        <w:rPr>
          <w:rStyle w:val="CharSectno"/>
        </w:rPr>
        <w:t>15</w:t>
      </w:r>
      <w:r>
        <w:rPr>
          <w:snapToGrid w:val="0"/>
        </w:rPr>
        <w:t>.</w:t>
      </w:r>
      <w:r>
        <w:rPr>
          <w:snapToGrid w:val="0"/>
        </w:rPr>
        <w:tab/>
        <w:t>Parentage testing procedures</w:t>
      </w:r>
      <w:bookmarkEnd w:id="33"/>
      <w:bookmarkEnd w:id="40"/>
      <w:bookmarkEnd w:id="41"/>
      <w:bookmarkEnd w:id="42"/>
      <w:r>
        <w:rPr>
          <w:snapToGrid w:val="0"/>
        </w:rPr>
        <w:t xml:space="preserve"> </w:t>
      </w:r>
    </w:p>
    <w:p>
      <w:pPr>
        <w:pStyle w:val="Subsection"/>
        <w:rPr>
          <w:snapToGrid w:val="0"/>
        </w:rPr>
      </w:pPr>
      <w:r>
        <w:rPr>
          <w:snapToGrid w:val="0"/>
        </w:rPr>
        <w:tab/>
        <w:t>(1)</w:t>
      </w:r>
      <w:r>
        <w:rPr>
          <w:snapToGrid w:val="0"/>
        </w:rPr>
        <w:tab/>
        <w:t>Family Law Regulation 21C is adopted and applies for the purposes of the definition of “parentage testing procedure”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3" w:name="_Toc429277131"/>
      <w:bookmarkStart w:id="44" w:name="_Toc26254745"/>
      <w:bookmarkStart w:id="45" w:name="_Toc26330940"/>
      <w:bookmarkStart w:id="46" w:name="_Toc160609205"/>
      <w:r>
        <w:rPr>
          <w:rStyle w:val="CharSectno"/>
        </w:rPr>
        <w:t>16</w:t>
      </w:r>
      <w:r>
        <w:rPr>
          <w:snapToGrid w:val="0"/>
        </w:rPr>
        <w:t>.</w:t>
      </w:r>
      <w:r>
        <w:rPr>
          <w:snapToGrid w:val="0"/>
        </w:rPr>
        <w:tab/>
        <w:t>Parentage testing reports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7" w:name="_Toc429277132"/>
      <w:bookmarkStart w:id="48" w:name="_Toc26254746"/>
      <w:bookmarkStart w:id="49" w:name="_Toc26330941"/>
      <w:bookmarkStart w:id="50" w:name="_Toc160609206"/>
      <w:r>
        <w:rPr>
          <w:rStyle w:val="CharSectno"/>
        </w:rPr>
        <w:t>17</w:t>
      </w:r>
      <w:r>
        <w:rPr>
          <w:snapToGrid w:val="0"/>
        </w:rPr>
        <w:t>.</w:t>
      </w:r>
      <w:r>
        <w:rPr>
          <w:snapToGrid w:val="0"/>
        </w:rPr>
        <w:tab/>
        <w:t>Registration in a court of orders etc. made by another court</w:t>
      </w:r>
      <w:bookmarkEnd w:id="47"/>
      <w:bookmarkEnd w:id="48"/>
      <w:bookmarkEnd w:id="49"/>
      <w:bookmarkEnd w:id="50"/>
      <w:r>
        <w:rPr>
          <w:snapToGrid w:val="0"/>
        </w:rPr>
        <w:t xml:space="preserve"> </w:t>
      </w:r>
    </w:p>
    <w:p>
      <w:pPr>
        <w:pStyle w:val="Subsection"/>
      </w:pPr>
      <w:r>
        <w:tab/>
        <w:t>(1)</w:t>
      </w:r>
      <w:r>
        <w:tab/>
        <w:t>An order under the Act referred to in section 223 in paragraph (f) of the definition of “order under this Act”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bookmarkStart w:id="51" w:name="_Toc429277133"/>
      <w:r>
        <w:tab/>
        <w:t>[Regulation 17 amended in Gazette 29 Nov 2002 p. 5665; 14 Jul 2006 p. 2562.]</w:t>
      </w:r>
    </w:p>
    <w:p>
      <w:pPr>
        <w:pStyle w:val="Heading5"/>
        <w:rPr>
          <w:snapToGrid w:val="0"/>
        </w:rPr>
      </w:pPr>
      <w:bookmarkStart w:id="52" w:name="_Toc26254747"/>
      <w:bookmarkStart w:id="53" w:name="_Toc26330942"/>
      <w:bookmarkStart w:id="54" w:name="_Toc160609207"/>
      <w:r>
        <w:rPr>
          <w:rStyle w:val="CharSectno"/>
        </w:rPr>
        <w:t>18</w:t>
      </w:r>
      <w:r>
        <w:rPr>
          <w:snapToGrid w:val="0"/>
        </w:rPr>
        <w:t>.</w:t>
      </w:r>
      <w:r>
        <w:rPr>
          <w:snapToGrid w:val="0"/>
        </w:rPr>
        <w:tab/>
        <w:t>Court fees payable in respect of proceedings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(7), the following fees are payable in respect of proceedings under the Act —</w:t>
      </w:r>
    </w:p>
    <w:p>
      <w:pPr>
        <w:pStyle w:val="Indenta"/>
        <w:rPr>
          <w:snapToGrid w:val="0"/>
        </w:rPr>
      </w:pPr>
      <w:r>
        <w:rPr>
          <w:snapToGrid w:val="0"/>
        </w:rPr>
        <w:tab/>
        <w:t>(a)</w:t>
      </w:r>
      <w:r>
        <w:rPr>
          <w:snapToGrid w:val="0"/>
        </w:rPr>
        <w:tab/>
      </w:r>
      <w:r>
        <w:t>in relation to Part 5A proceedings or for</w:t>
      </w:r>
      <w:r>
        <w:rPr>
          <w:snapToGrid w:val="0"/>
        </w:rPr>
        <w:t xml:space="preserve"> a </w:t>
      </w:r>
      <w:r>
        <w:t xml:space="preserve">parenting </w:t>
      </w:r>
      <w:r>
        <w:rPr>
          <w:snapToGrid w:val="0"/>
        </w:rPr>
        <w:t>order — </w:t>
      </w:r>
    </w:p>
    <w:p>
      <w:pPr>
        <w:pStyle w:val="Indenti"/>
        <w:rPr>
          <w:snapToGrid w:val="0"/>
        </w:rPr>
      </w:pPr>
      <w:r>
        <w:rPr>
          <w:snapToGrid w:val="0"/>
        </w:rPr>
        <w:tab/>
        <w:t>(i)</w:t>
      </w:r>
      <w:r>
        <w:rPr>
          <w:snapToGrid w:val="0"/>
        </w:rPr>
        <w:tab/>
        <w:t>a filing fee of $172 for each of the following applications — </w:t>
      </w:r>
    </w:p>
    <w:p>
      <w:pPr>
        <w:pStyle w:val="IndentI0"/>
        <w:rPr>
          <w:snapToGrid w:val="0"/>
        </w:rPr>
      </w:pPr>
      <w:r>
        <w:rPr>
          <w:snapToGrid w:val="0"/>
        </w:rPr>
        <w:tab/>
        <w:t>(I)</w:t>
      </w:r>
      <w:r>
        <w:rPr>
          <w:snapToGrid w:val="0"/>
        </w:rPr>
        <w:tab/>
        <w:t>an application for final orders;</w:t>
      </w:r>
    </w:p>
    <w:p>
      <w:pPr>
        <w:pStyle w:val="IndentI0"/>
        <w:rPr>
          <w:snapToGrid w:val="0"/>
        </w:rPr>
      </w:pPr>
      <w:r>
        <w:rPr>
          <w:snapToGrid w:val="0"/>
        </w:rPr>
        <w:tab/>
        <w:t>(II)</w:t>
      </w:r>
      <w:r>
        <w:rPr>
          <w:snapToGrid w:val="0"/>
        </w:rPr>
        <w:tab/>
        <w:t>a response to an application for final orders;</w:t>
      </w:r>
    </w:p>
    <w:p>
      <w:pPr>
        <w:pStyle w:val="Indenti"/>
        <w:rPr>
          <w:snapToGrid w:val="0"/>
        </w:rPr>
      </w:pPr>
      <w:r>
        <w:rPr>
          <w:snapToGrid w:val="0"/>
        </w:rPr>
        <w:tab/>
      </w:r>
      <w:r>
        <w:rPr>
          <w:snapToGrid w:val="0"/>
        </w:rPr>
        <w:tab/>
        <w:t>and</w:t>
      </w:r>
    </w:p>
    <w:p>
      <w:pPr>
        <w:pStyle w:val="Indenti"/>
        <w:keepNext/>
        <w:keepLines/>
        <w:rPr>
          <w:snapToGrid w:val="0"/>
        </w:rPr>
      </w:pPr>
      <w:r>
        <w:rPr>
          <w:snapToGrid w:val="0"/>
        </w:rPr>
        <w:tab/>
        <w:t>(ii)</w:t>
      </w:r>
      <w:r>
        <w:rPr>
          <w:snapToGrid w:val="0"/>
        </w:rPr>
        <w:tab/>
        <w:t>for an application for final orders that is defended — a hearing fee of $344;</w:t>
      </w:r>
    </w:p>
    <w:p>
      <w:pPr>
        <w:pStyle w:val="Indenta"/>
        <w:keepNext/>
        <w:rPr>
          <w:snapToGrid w:val="0"/>
        </w:rPr>
      </w:pPr>
      <w:r>
        <w:rPr>
          <w:snapToGrid w:val="0"/>
        </w:rPr>
        <w:tab/>
      </w:r>
      <w:r>
        <w:rPr>
          <w:snapToGrid w:val="0"/>
        </w:rPr>
        <w:tab/>
        <w:t>and</w:t>
      </w:r>
    </w:p>
    <w:p>
      <w:pPr>
        <w:pStyle w:val="Indenta"/>
      </w:pPr>
      <w:r>
        <w:rPr>
          <w:snapToGrid w:val="0"/>
        </w:rPr>
        <w:tab/>
        <w:t>(b)</w:t>
      </w:r>
      <w:r>
        <w:rPr>
          <w:snapToGrid w:val="0"/>
        </w:rPr>
        <w:tab/>
      </w:r>
      <w:r>
        <w:t>for an appeal under section 211 from a decree of a Magistrates Court — a hearing fee of $344.</w:t>
      </w:r>
    </w:p>
    <w:p>
      <w:pPr>
        <w:pStyle w:val="Subsection"/>
        <w:rPr>
          <w:snapToGrid w:val="0"/>
        </w:rPr>
      </w:pPr>
      <w:r>
        <w:rPr>
          <w:snapToGrid w:val="0"/>
        </w:rPr>
        <w:tab/>
        <w:t>(2)</w:t>
      </w:r>
      <w:r>
        <w:rPr>
          <w:snapToGrid w:val="0"/>
        </w:rPr>
        <w:tab/>
        <w:t>The person liable to pay a fee is — </w:t>
      </w:r>
    </w:p>
    <w:p>
      <w:pPr>
        <w:pStyle w:val="Indenta"/>
        <w:rPr>
          <w:snapToGrid w:val="0"/>
        </w:rPr>
      </w:pPr>
      <w:r>
        <w:rPr>
          <w:snapToGrid w:val="0"/>
        </w:rPr>
        <w:tab/>
        <w:t>(a)</w:t>
      </w:r>
      <w:r>
        <w:rPr>
          <w:snapToGrid w:val="0"/>
        </w:rPr>
        <w:tab/>
        <w:t>the person initiating the proceedings in respect of which the fee is payable; or</w:t>
      </w:r>
    </w:p>
    <w:p>
      <w:pPr>
        <w:pStyle w:val="Indenta"/>
        <w:rPr>
          <w:snapToGrid w:val="0"/>
        </w:rPr>
      </w:pPr>
      <w:r>
        <w:rPr>
          <w:snapToGrid w:val="0"/>
        </w:rPr>
        <w:tab/>
        <w:t>(b)</w:t>
      </w:r>
      <w:r>
        <w:rPr>
          <w:snapToGrid w:val="0"/>
        </w:rPr>
        <w:tab/>
        <w:t>if the court or a registrar so orders — </w:t>
      </w:r>
    </w:p>
    <w:p>
      <w:pPr>
        <w:pStyle w:val="Indenti"/>
        <w:rPr>
          <w:snapToGrid w:val="0"/>
        </w:rPr>
      </w:pPr>
      <w:r>
        <w:rPr>
          <w:snapToGrid w:val="0"/>
        </w:rPr>
        <w:tab/>
        <w:t>(i)</w:t>
      </w:r>
      <w:r>
        <w:rPr>
          <w:snapToGrid w:val="0"/>
        </w:rPr>
        <w:tab/>
        <w:t>another party to the proceedings; or</w:t>
      </w:r>
    </w:p>
    <w:p>
      <w:pPr>
        <w:pStyle w:val="Indenti"/>
        <w:rPr>
          <w:snapToGrid w:val="0"/>
        </w:rPr>
      </w:pPr>
      <w:r>
        <w:rPr>
          <w:snapToGrid w:val="0"/>
        </w:rPr>
        <w:tab/>
        <w:t>(ii)</w:t>
      </w:r>
      <w:r>
        <w:rPr>
          <w:snapToGrid w:val="0"/>
        </w:rPr>
        <w:tab/>
        <w:t>each of 2 or more of the parties to the proceedings, including the person initiating the proceedings, in the proportions ordered,</w:t>
      </w:r>
    </w:p>
    <w:p>
      <w:pPr>
        <w:pStyle w:val="Subsection"/>
        <w:rPr>
          <w:snapToGrid w:val="0"/>
        </w:rPr>
      </w:pPr>
      <w:r>
        <w:rPr>
          <w:snapToGrid w:val="0"/>
        </w:rPr>
        <w:tab/>
      </w:r>
      <w:r>
        <w:rPr>
          <w:snapToGrid w:val="0"/>
        </w:rPr>
        <w:tab/>
        <w:t>but nothing in this subregulation prevents a person other than the person liable to pay the fee from paying the fee.</w:t>
      </w:r>
    </w:p>
    <w:p>
      <w:pPr>
        <w:pStyle w:val="Subsection"/>
        <w:rPr>
          <w:snapToGrid w:val="0"/>
        </w:rPr>
      </w:pPr>
      <w:r>
        <w:rPr>
          <w:snapToGrid w:val="0"/>
        </w:rPr>
        <w:tab/>
        <w:t>(3)</w:t>
      </w:r>
      <w:r>
        <w:rPr>
          <w:snapToGrid w:val="0"/>
        </w:rPr>
        <w:tab/>
        <w:t>A filing fee is payable at the time when the application is filed.</w:t>
      </w:r>
    </w:p>
    <w:p>
      <w:pPr>
        <w:pStyle w:val="Subsection"/>
        <w:rPr>
          <w:snapToGrid w:val="0"/>
        </w:rPr>
      </w:pPr>
      <w:r>
        <w:rPr>
          <w:snapToGrid w:val="0"/>
        </w:rPr>
        <w:tab/>
        <w:t>(4)</w:t>
      </w:r>
      <w:r>
        <w:rPr>
          <w:snapToGrid w:val="0"/>
        </w:rPr>
        <w:tab/>
        <w:t>A hearing fee is payable — </w:t>
      </w:r>
    </w:p>
    <w:p>
      <w:pPr>
        <w:pStyle w:val="Indenta"/>
        <w:rPr>
          <w:snapToGrid w:val="0"/>
        </w:rPr>
      </w:pPr>
      <w:r>
        <w:rPr>
          <w:snapToGrid w:val="0"/>
        </w:rPr>
        <w:tab/>
        <w:t>(a)</w:t>
      </w:r>
      <w:r>
        <w:rPr>
          <w:snapToGrid w:val="0"/>
        </w:rPr>
        <w:tab/>
        <w:t>if a court or a registrar directs a time within which the fee must be paid — within that time; or</w:t>
      </w:r>
    </w:p>
    <w:p>
      <w:pPr>
        <w:pStyle w:val="Indenta"/>
        <w:rPr>
          <w:snapToGrid w:val="0"/>
        </w:rPr>
      </w:pPr>
      <w:r>
        <w:rPr>
          <w:snapToGrid w:val="0"/>
        </w:rPr>
        <w:tab/>
        <w:t>(b)</w:t>
      </w:r>
      <w:r>
        <w:rPr>
          <w:snapToGrid w:val="0"/>
        </w:rPr>
        <w:tab/>
        <w:t>in any other case — at the time when a date is fixed for the hearing of the proceedings.</w:t>
      </w:r>
    </w:p>
    <w:p>
      <w:pPr>
        <w:pStyle w:val="Subsection"/>
        <w:rPr>
          <w:snapToGrid w:val="0"/>
        </w:rPr>
      </w:pPr>
      <w:r>
        <w:rPr>
          <w:snapToGrid w:val="0"/>
        </w:rPr>
        <w:tab/>
        <w:t>(5)</w:t>
      </w:r>
      <w:r>
        <w:rPr>
          <w:snapToGrid w:val="0"/>
        </w:rPr>
        <w:tab/>
        <w:t>Subject to subregulation (7), a registrar must not accept an application for filing in any registry unless any filing fee under subregulation (1) has been paid.</w:t>
      </w:r>
    </w:p>
    <w:p>
      <w:pPr>
        <w:pStyle w:val="Subsection"/>
        <w:rPr>
          <w:snapToGrid w:val="0"/>
        </w:rPr>
      </w:pPr>
      <w:r>
        <w:rPr>
          <w:snapToGrid w:val="0"/>
        </w:rPr>
        <w:tab/>
        <w:t>(6)</w:t>
      </w:r>
      <w:r>
        <w:rPr>
          <w:snapToGrid w:val="0"/>
        </w:rPr>
        <w:tab/>
        <w:t>Subject to subregulation (7), if, in relation to an application, a hearing fee payable under subregulation (1) is unpaid — </w:t>
      </w:r>
    </w:p>
    <w:p>
      <w:pPr>
        <w:pStyle w:val="Indenta"/>
        <w:rPr>
          <w:snapToGrid w:val="0"/>
        </w:rPr>
      </w:pPr>
      <w:r>
        <w:rPr>
          <w:snapToGrid w:val="0"/>
        </w:rPr>
        <w:tab/>
        <w:t>(a)</w:t>
      </w:r>
      <w:r>
        <w:rPr>
          <w:snapToGrid w:val="0"/>
        </w:rPr>
        <w:tab/>
        <w:t xml:space="preserve">a court may order that no proceedings, or no proceedings other than specified proceedings, are to take place, except by leave, in the matter to which the application relates; </w:t>
      </w:r>
    </w:p>
    <w:p>
      <w:pPr>
        <w:pStyle w:val="Indenta"/>
        <w:rPr>
          <w:snapToGrid w:val="0"/>
        </w:rPr>
      </w:pPr>
      <w:r>
        <w:rPr>
          <w:snapToGrid w:val="0"/>
        </w:rPr>
        <w:tab/>
        <w:t>(b)</w:t>
      </w:r>
      <w:r>
        <w:rPr>
          <w:snapToGrid w:val="0"/>
        </w:rPr>
        <w:tab/>
        <w:t>a person other than the person liable to pay the fee may pay the fee without affecting any power of the court to make an order for costs for the fee; and</w:t>
      </w:r>
    </w:p>
    <w:p>
      <w:pPr>
        <w:pStyle w:val="Indenta"/>
        <w:rPr>
          <w:snapToGrid w:val="0"/>
        </w:rPr>
      </w:pPr>
      <w:r>
        <w:rPr>
          <w:snapToGrid w:val="0"/>
        </w:rPr>
        <w:tab/>
        <w:t>(c)</w:t>
      </w:r>
      <w:r>
        <w:rPr>
          <w:snapToGrid w:val="0"/>
        </w:rPr>
        <w:tab/>
        <w:t>the court may vacate the date fixed for hearing.</w:t>
      </w:r>
    </w:p>
    <w:p>
      <w:pPr>
        <w:pStyle w:val="Subsection"/>
        <w:keepNext/>
        <w:keepLines/>
        <w:rPr>
          <w:snapToGrid w:val="0"/>
        </w:rPr>
      </w:pPr>
      <w:r>
        <w:rPr>
          <w:snapToGrid w:val="0"/>
        </w:rPr>
        <w:tab/>
        <w:t>(7)</w:t>
      </w:r>
      <w:r>
        <w:rPr>
          <w:snapToGrid w:val="0"/>
        </w:rPr>
        <w:tab/>
        <w:t>A fee referred to in subregulation (1) is not payable if — </w:t>
      </w:r>
    </w:p>
    <w:p>
      <w:pPr>
        <w:pStyle w:val="Indenta"/>
        <w:keepNext/>
        <w:rPr>
          <w:snapToGrid w:val="0"/>
        </w:rPr>
      </w:pPr>
      <w:r>
        <w:rPr>
          <w:snapToGrid w:val="0"/>
        </w:rPr>
        <w:tab/>
        <w:t>(a)</w:t>
      </w:r>
      <w:r>
        <w:rPr>
          <w:snapToGrid w:val="0"/>
        </w:rPr>
        <w:tab/>
        <w:t>the person liable to pay the fee has been granted legal aid, under a legal aid scheme or service established under Commonwealth or State law or approved by the Attorney General of the Commonwealth, for the matter to which the proceedings relate;</w:t>
      </w:r>
    </w:p>
    <w:p>
      <w:pPr>
        <w:pStyle w:val="Indenta"/>
        <w:rPr>
          <w:snapToGrid w:val="0"/>
        </w:rPr>
      </w:pPr>
      <w:r>
        <w:rPr>
          <w:snapToGrid w:val="0"/>
        </w:rPr>
        <w:tab/>
        <w:t>(b)</w:t>
      </w:r>
      <w:r>
        <w:rPr>
          <w:snapToGrid w:val="0"/>
        </w:rPr>
        <w:tab/>
        <w:t>the applicant is, at the time the application is filed or a date is fixed for the hearing of the proceedings (as the case requires) — </w:t>
      </w:r>
    </w:p>
    <w:p>
      <w:pPr>
        <w:pStyle w:val="Indenti"/>
        <w:rPr>
          <w:snapToGrid w:val="0"/>
        </w:rPr>
      </w:pPr>
      <w:r>
        <w:rPr>
          <w:snapToGrid w:val="0"/>
        </w:rPr>
        <w:tab/>
        <w:t>(i)</w:t>
      </w:r>
      <w:r>
        <w:rPr>
          <w:snapToGrid w:val="0"/>
        </w:rPr>
        <w:tab/>
        <w:t xml:space="preserve">the holder of one of the following cards issued by </w:t>
      </w:r>
      <w:r>
        <w:t>Centrelink —</w:t>
      </w:r>
    </w:p>
    <w:p>
      <w:pPr>
        <w:pStyle w:val="IndentI0"/>
        <w:rPr>
          <w:snapToGrid w:val="0"/>
        </w:rPr>
      </w:pPr>
      <w:r>
        <w:rPr>
          <w:snapToGrid w:val="0"/>
        </w:rPr>
        <w:tab/>
        <w:t>(I)</w:t>
      </w:r>
      <w:r>
        <w:rPr>
          <w:snapToGrid w:val="0"/>
        </w:rPr>
        <w:tab/>
        <w:t>a health care card;</w:t>
      </w:r>
    </w:p>
    <w:p>
      <w:pPr>
        <w:pStyle w:val="IndentI0"/>
        <w:rPr>
          <w:snapToGrid w:val="0"/>
        </w:rPr>
      </w:pPr>
      <w:r>
        <w:rPr>
          <w:snapToGrid w:val="0"/>
        </w:rPr>
        <w:tab/>
        <w:t>(II)</w:t>
      </w:r>
      <w:r>
        <w:rPr>
          <w:snapToGrid w:val="0"/>
        </w:rPr>
        <w:tab/>
        <w:t>a health benefit card;</w:t>
      </w:r>
    </w:p>
    <w:p>
      <w:pPr>
        <w:pStyle w:val="IndentI0"/>
        <w:rPr>
          <w:snapToGrid w:val="0"/>
        </w:rPr>
      </w:pPr>
      <w:r>
        <w:rPr>
          <w:snapToGrid w:val="0"/>
        </w:rPr>
        <w:tab/>
        <w:t>(III)</w:t>
      </w:r>
      <w:r>
        <w:rPr>
          <w:snapToGrid w:val="0"/>
        </w:rPr>
        <w:tab/>
        <w:t>a pensioner concession card;</w:t>
      </w:r>
    </w:p>
    <w:p>
      <w:pPr>
        <w:pStyle w:val="IndentI0"/>
        <w:rPr>
          <w:snapToGrid w:val="0"/>
        </w:rPr>
      </w:pPr>
      <w:r>
        <w:rPr>
          <w:snapToGrid w:val="0"/>
        </w:rPr>
        <w:tab/>
        <w:t>(IV)</w:t>
      </w:r>
      <w:r>
        <w:rPr>
          <w:snapToGrid w:val="0"/>
        </w:rPr>
        <w:tab/>
        <w:t>a Commonwealth seniors health card;</w:t>
      </w:r>
    </w:p>
    <w:p>
      <w:pPr>
        <w:pStyle w:val="Indenti"/>
        <w:rPr>
          <w:snapToGrid w:val="0"/>
        </w:rPr>
      </w:pPr>
      <w:r>
        <w:rPr>
          <w:snapToGrid w:val="0"/>
        </w:rPr>
        <w:tab/>
        <w:t>(ii)</w:t>
      </w:r>
      <w:r>
        <w:rPr>
          <w:snapToGrid w:val="0"/>
        </w:rPr>
        <w:tab/>
        <w:t xml:space="preserve">the holder of any other card issued by </w:t>
      </w:r>
      <w:r>
        <w:t>Centrelink</w:t>
      </w:r>
      <w:r>
        <w:rPr>
          <w:snapToGrid w:val="0"/>
        </w:rPr>
        <w:t xml:space="preserve"> or the Commonwealth Department of Veterans’ Affairs that certifies entitlement to Commonwealth health concessions;</w:t>
      </w:r>
    </w:p>
    <w:p>
      <w:pPr>
        <w:pStyle w:val="Indenti"/>
        <w:rPr>
          <w:snapToGrid w:val="0"/>
        </w:rPr>
      </w:pPr>
      <w:r>
        <w:rPr>
          <w:snapToGrid w:val="0"/>
        </w:rPr>
        <w:tab/>
        <w:t>(iii)</w:t>
      </w:r>
      <w:r>
        <w:rPr>
          <w:snapToGrid w:val="0"/>
        </w:rPr>
        <w:tab/>
        <w:t>an inmate of a prison or otherwise lawfully detained in a public institution;</w:t>
      </w:r>
    </w:p>
    <w:p>
      <w:pPr>
        <w:pStyle w:val="Indenti"/>
        <w:rPr>
          <w:snapToGrid w:val="0"/>
        </w:rPr>
      </w:pPr>
      <w:r>
        <w:rPr>
          <w:snapToGrid w:val="0"/>
        </w:rPr>
        <w:tab/>
        <w:t>(iv)</w:t>
      </w:r>
      <w:r>
        <w:rPr>
          <w:snapToGrid w:val="0"/>
        </w:rPr>
        <w:tab/>
        <w:t>under the age of 18 years;</w:t>
      </w:r>
    </w:p>
    <w:p>
      <w:pPr>
        <w:pStyle w:val="Indenti"/>
        <w:rPr>
          <w:snapToGrid w:val="0"/>
        </w:rPr>
      </w:pPr>
      <w:r>
        <w:rPr>
          <w:snapToGrid w:val="0"/>
        </w:rPr>
        <w:tab/>
        <w:t>(v)</w:t>
      </w:r>
      <w:r>
        <w:rPr>
          <w:snapToGrid w:val="0"/>
        </w:rPr>
        <w:tab/>
        <w:t xml:space="preserve">in receipt of youth allowance, or austudy payment, within the meaning of the </w:t>
      </w:r>
      <w:r>
        <w:rPr>
          <w:i/>
          <w:snapToGrid w:val="0"/>
        </w:rPr>
        <w:t>Social Security Act 1991</w:t>
      </w:r>
      <w:r>
        <w:rPr>
          <w:iCs/>
          <w:snapToGrid w:val="0"/>
        </w:rPr>
        <w:t xml:space="preserve"> </w:t>
      </w:r>
      <w:r>
        <w:rPr>
          <w:snapToGrid w:val="0"/>
        </w:rPr>
        <w:t>of the Commonwealth; or</w:t>
      </w:r>
    </w:p>
    <w:p>
      <w:pPr>
        <w:pStyle w:val="Indenti"/>
        <w:rPr>
          <w:snapToGrid w:val="0"/>
        </w:rPr>
      </w:pPr>
      <w:r>
        <w:rPr>
          <w:snapToGrid w:val="0"/>
        </w:rPr>
        <w:tab/>
        <w:t>(vi)</w:t>
      </w:r>
      <w:r>
        <w:rPr>
          <w:snapToGrid w:val="0"/>
        </w:rPr>
        <w:tab/>
        <w:t xml:space="preserve">in receipt of benefits under the Commonwealth of Australia student assistance scheme known as the ABSTUDY Scheme;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registrar, having regard to the income, day to day living expenses, liabilities and assets of the person liable to pay the fee, waives payment of the fee because, in the registrar’s opinion, payment of the fee would cause financial hardship to the person.</w:t>
      </w:r>
    </w:p>
    <w:p>
      <w:pPr>
        <w:pStyle w:val="Subsection"/>
      </w:pPr>
      <w:r>
        <w:tab/>
        <w:t>(7a)</w:t>
      </w:r>
      <w:r>
        <w:tab/>
        <w:t xml:space="preserve">In subregulation (7)(b)(i) and (ii) — </w:t>
      </w:r>
    </w:p>
    <w:p>
      <w:pPr>
        <w:pStyle w:val="Defstart"/>
      </w:pPr>
      <w:r>
        <w:rPr>
          <w:b/>
        </w:rPr>
        <w:tab/>
      </w:r>
      <w:r>
        <w:rPr>
          <w:rStyle w:val="CharDefText"/>
        </w:rPr>
        <w:t>holder</w:t>
      </w:r>
      <w:r>
        <w:t xml:space="preserve"> of a card does not include a dependent of the holder of the card.</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a fee referred to in subregulation (1) has been paid; and</w:t>
      </w:r>
    </w:p>
    <w:p>
      <w:pPr>
        <w:pStyle w:val="Indenta"/>
        <w:rPr>
          <w:snapToGrid w:val="0"/>
        </w:rPr>
      </w:pPr>
      <w:r>
        <w:rPr>
          <w:snapToGrid w:val="0"/>
        </w:rPr>
        <w:tab/>
        <w:t>(b)</w:t>
      </w:r>
      <w:r>
        <w:rPr>
          <w:snapToGrid w:val="0"/>
        </w:rPr>
        <w:tab/>
        <w:t>the fee is not payable under subregulation (7),</w:t>
      </w:r>
    </w:p>
    <w:p>
      <w:pPr>
        <w:pStyle w:val="Subsection"/>
        <w:rPr>
          <w:snapToGrid w:val="0"/>
        </w:rPr>
      </w:pPr>
      <w:r>
        <w:rPr>
          <w:snapToGrid w:val="0"/>
        </w:rPr>
        <w:tab/>
      </w:r>
      <w:r>
        <w:rPr>
          <w:snapToGrid w:val="0"/>
        </w:rPr>
        <w:tab/>
        <w:t>a registrar must refund to the applicant, or other person who paid the fee, an amount equal to the amount of the fee.</w:t>
      </w:r>
    </w:p>
    <w:p>
      <w:pPr>
        <w:pStyle w:val="Subsection"/>
        <w:keepNext/>
        <w:keepLines/>
        <w:rPr>
          <w:snapToGrid w:val="0"/>
        </w:rPr>
      </w:pPr>
      <w:r>
        <w:rPr>
          <w:snapToGrid w:val="0"/>
        </w:rPr>
        <w:tab/>
        <w:t>(9)</w:t>
      </w:r>
      <w:r>
        <w:rPr>
          <w:snapToGrid w:val="0"/>
        </w:rPr>
        <w:tab/>
        <w:t>Upon written notice to a registrar, a person who has paid a hearing fee is entitled to a refund of the fee if — </w:t>
      </w:r>
    </w:p>
    <w:p>
      <w:pPr>
        <w:pStyle w:val="Indenta"/>
        <w:rPr>
          <w:snapToGrid w:val="0"/>
        </w:rPr>
      </w:pPr>
      <w:r>
        <w:rPr>
          <w:snapToGrid w:val="0"/>
        </w:rPr>
        <w:tab/>
        <w:t>(a)</w:t>
      </w:r>
      <w:r>
        <w:rPr>
          <w:snapToGrid w:val="0"/>
        </w:rPr>
        <w:tab/>
        <w:t>notice that the hearing for which the fee was paid will not proceed is given to the registrar — </w:t>
      </w:r>
    </w:p>
    <w:p>
      <w:pPr>
        <w:pStyle w:val="Indenti"/>
        <w:rPr>
          <w:snapToGrid w:val="0"/>
        </w:rPr>
      </w:pPr>
      <w:r>
        <w:rPr>
          <w:snapToGrid w:val="0"/>
        </w:rPr>
        <w:tab/>
        <w:t>(i)</w:t>
      </w:r>
      <w:r>
        <w:rPr>
          <w:snapToGrid w:val="0"/>
        </w:rPr>
        <w:tab/>
        <w:t>if the hearing date was fixed less than 20 working days before that date — at least 2 working days before that date; or</w:t>
      </w:r>
    </w:p>
    <w:p>
      <w:pPr>
        <w:pStyle w:val="Indenti"/>
        <w:rPr>
          <w:snapToGrid w:val="0"/>
        </w:rPr>
      </w:pPr>
      <w:r>
        <w:rPr>
          <w:snapToGrid w:val="0"/>
        </w:rPr>
        <w:tab/>
        <w:t>(ii)</w:t>
      </w:r>
      <w:r>
        <w:rPr>
          <w:snapToGrid w:val="0"/>
        </w:rPr>
        <w:tab/>
        <w:t>in any other case — at least 20 working days before the hearing date;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hearing — </w:t>
      </w:r>
    </w:p>
    <w:p>
      <w:pPr>
        <w:pStyle w:val="Indenti"/>
        <w:rPr>
          <w:snapToGrid w:val="0"/>
        </w:rPr>
      </w:pPr>
      <w:r>
        <w:rPr>
          <w:snapToGrid w:val="0"/>
        </w:rPr>
        <w:tab/>
        <w:t>(i)</w:t>
      </w:r>
      <w:r>
        <w:rPr>
          <w:snapToGrid w:val="0"/>
        </w:rPr>
        <w:tab/>
        <w:t>does not proceed; or</w:t>
      </w:r>
    </w:p>
    <w:p>
      <w:pPr>
        <w:pStyle w:val="Indenti"/>
        <w:rPr>
          <w:snapToGrid w:val="0"/>
        </w:rPr>
      </w:pPr>
      <w:r>
        <w:rPr>
          <w:snapToGrid w:val="0"/>
        </w:rPr>
        <w:tab/>
        <w:t>(ii)</w:t>
      </w:r>
      <w:r>
        <w:rPr>
          <w:snapToGrid w:val="0"/>
        </w:rPr>
        <w:tab/>
        <w:t>is conducted only to formalize the making of final orders.</w:t>
      </w:r>
    </w:p>
    <w:p>
      <w:pPr>
        <w:pStyle w:val="Footnotesection"/>
      </w:pPr>
      <w:bookmarkStart w:id="55" w:name="_Toc429277134"/>
      <w:r>
        <w:tab/>
        <w:t>[Regulation 18 amended in Gazette 29 Nov 2002 p. 5665; 14 Jul 2006 p. 2562</w:t>
      </w:r>
      <w:r>
        <w:noBreakHyphen/>
        <w:t>3.]</w:t>
      </w:r>
    </w:p>
    <w:p>
      <w:pPr>
        <w:pStyle w:val="Heading5"/>
        <w:rPr>
          <w:snapToGrid w:val="0"/>
        </w:rPr>
      </w:pPr>
      <w:bookmarkStart w:id="56" w:name="_Toc26254748"/>
      <w:bookmarkStart w:id="57" w:name="_Toc26330943"/>
      <w:bookmarkStart w:id="58" w:name="_Toc160609208"/>
      <w:r>
        <w:rPr>
          <w:rStyle w:val="CharSectno"/>
        </w:rPr>
        <w:t>19</w:t>
      </w:r>
      <w:r>
        <w:rPr>
          <w:snapToGrid w:val="0"/>
        </w:rPr>
        <w:t>.</w:t>
      </w:r>
      <w:r>
        <w:rPr>
          <w:snapToGrid w:val="0"/>
        </w:rPr>
        <w:tab/>
        <w:t>Biennial increases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fee prescribed by regulation 18(1) is increased, in accordance with regulation 20, on each biennial anniversary of 1 July 2002.</w:t>
      </w:r>
    </w:p>
    <w:p>
      <w:pPr>
        <w:pStyle w:val="Footnotesection"/>
      </w:pPr>
      <w:r>
        <w:tab/>
        <w:t>[Regulation 19 amended in Gazette 29 Nov 2002 p. 5665.]</w:t>
      </w:r>
    </w:p>
    <w:p>
      <w:pPr>
        <w:pStyle w:val="Heading5"/>
        <w:rPr>
          <w:snapToGrid w:val="0"/>
        </w:rPr>
      </w:pPr>
      <w:bookmarkStart w:id="59" w:name="_Toc429277135"/>
      <w:bookmarkStart w:id="60" w:name="_Toc26254749"/>
      <w:bookmarkStart w:id="61" w:name="_Toc26330944"/>
      <w:bookmarkStart w:id="62" w:name="_Toc160609209"/>
      <w:r>
        <w:rPr>
          <w:rStyle w:val="CharSectno"/>
        </w:rPr>
        <w:t>20</w:t>
      </w:r>
      <w:r>
        <w:rPr>
          <w:snapToGrid w:val="0"/>
        </w:rPr>
        <w:t>.</w:t>
      </w:r>
      <w:r>
        <w:rPr>
          <w:snapToGrid w:val="0"/>
        </w:rPr>
        <w:tab/>
        <w:t>Calculation of increase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In this regulation —</w:t>
      </w:r>
    </w:p>
    <w:p>
      <w:pPr>
        <w:pStyle w:val="Defstart"/>
      </w:pPr>
      <w:r>
        <w:rPr>
          <w:b/>
        </w:rPr>
        <w:tab/>
      </w:r>
      <w:r>
        <w:rPr>
          <w:rStyle w:val="CharDefText"/>
        </w:rPr>
        <w:t>fee</w:t>
      </w:r>
      <w:r>
        <w:t xml:space="preserve"> means a fee prescribed by regulation 18(1);</w:t>
      </w:r>
    </w:p>
    <w:p>
      <w:pPr>
        <w:pStyle w:val="Defstart"/>
      </w:pPr>
      <w:r>
        <w:rPr>
          <w:b/>
        </w:rP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rPr>
          <w:b/>
        </w:rPr>
        <w:tab/>
      </w:r>
      <w:r>
        <w:rPr>
          <w:rStyle w:val="CharDefText"/>
        </w:rPr>
        <w:t>relevant period</w:t>
      </w:r>
      <w:r>
        <w:t xml:space="preserve"> means any of the following periods — </w:t>
      </w:r>
    </w:p>
    <w:p>
      <w:pPr>
        <w:pStyle w:val="Defpara"/>
      </w:pPr>
      <w:r>
        <w:tab/>
        <w:t>(a)</w:t>
      </w:r>
      <w:r>
        <w:tab/>
        <w:t>the 2 year period commencing on 1 July 1998;</w:t>
      </w:r>
    </w:p>
    <w:p>
      <w:pPr>
        <w:pStyle w:val="Defpara"/>
      </w:pPr>
      <w:r>
        <w:tab/>
        <w:t>(b)</w:t>
      </w:r>
      <w:r>
        <w:tab/>
        <w:t>after that period — each 2 year period commencing on a biennial anniversary of 1 July 1998.</w:t>
      </w:r>
    </w:p>
    <w:p>
      <w:pPr>
        <w:pStyle w:val="Subsection"/>
        <w:keepNext/>
        <w:keepLines/>
      </w:pPr>
      <w:r>
        <w:tab/>
        <w:t>(2)</w:t>
      </w:r>
      <w:r>
        <w:tab/>
        <w:t>If, in a relevant period, the latest CPI number is greater than the earlier CPI number, a fee is taken to increase, on 1 July immediately following the end of the period, in accordance with the formula:</w:t>
      </w:r>
    </w:p>
    <w:p>
      <w:pPr>
        <w:pStyle w:val="Equation"/>
        <w:keepNext/>
        <w:keepLines/>
        <w:jc w:val="center"/>
        <w:rPr>
          <w:position w:val="-30"/>
        </w:rPr>
      </w:pPr>
      <w:r>
        <w:rPr>
          <w:position w:val="-30"/>
        </w:rPr>
        <w:object w:dxaOrig="2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75pt" o:ole="">
            <v:imagedata r:id="rId21" o:title=""/>
          </v:shape>
          <o:OLEObject Type="Embed" ProgID="Equation.3" ShapeID="_x0000_i1025" DrawAspect="Content" ObjectID="_1644174460" r:id="rId22"/>
        </w:object>
      </w:r>
    </w:p>
    <w:p>
      <w:pPr>
        <w:pStyle w:val="Subsection"/>
        <w:keepNext/>
        <w:keepLines/>
      </w:pPr>
      <w:r>
        <w:tab/>
      </w:r>
      <w:r>
        <w:tab/>
        <w:t>where:</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(3)</w:t>
      </w:r>
      <w:r>
        <w:tab/>
        <w:t>If, apart from this subregulation, the amount of a fee increased under subregulation (2) would be an amount of dollars and cents, the amount is to be rounded to the nearest whole dollar and, if the amount to be rounded is 50 cents, rounded down.</w:t>
      </w:r>
    </w:p>
    <w:p>
      <w:pPr>
        <w:pStyle w:val="Subsection"/>
        <w:rPr>
          <w:snapToGrid w:val="0"/>
        </w:rPr>
      </w:pPr>
      <w:r>
        <w:tab/>
        <w:t>(4)</w:t>
      </w:r>
      <w:r>
        <w:tab/>
      </w:r>
      <w:r>
        <w:rPr>
          <w:snapToGrid w:val="0"/>
        </w:rPr>
        <w:t xml:space="preserve">Subject to </w:t>
      </w:r>
      <w:r>
        <w:t>subregulation (</w:t>
      </w:r>
      <w:r>
        <w:rPr>
          <w:snapToGrid w:val="0"/>
        </w:rPr>
        <w:t>5), if at any time, whether before or after the commencement of this regulation, the Australian Statistician publishes for a particular March quarter a CPI number in substitution for an index number previously published by the Australian Statistician for that quarter, the publication of the later index number is to be disregarded for the purposes of this regulation.</w:t>
      </w:r>
    </w:p>
    <w:p>
      <w:pPr>
        <w:pStyle w:val="Subsection"/>
        <w:rPr>
          <w:snapToGrid w:val="0"/>
        </w:rPr>
      </w:pPr>
      <w:r>
        <w:rPr>
          <w:snapToGrid w:val="0"/>
        </w:rPr>
        <w:tab/>
        <w:t>(5)</w:t>
      </w:r>
      <w:r>
        <w:rPr>
          <w:snapToGrid w:val="0"/>
        </w:rPr>
        <w:tab/>
        <w:t>If, at any time, whether before or after the commencement of this regulation, the Australian Statistician changes the reference base for the Consumer Price Index, then, for the purposes of the application of this regulation after the change is made, regard shall be had only to numbers published in terms of the new reference base.</w:t>
      </w:r>
    </w:p>
    <w:p>
      <w:pPr>
        <w:pStyle w:val="Heading5"/>
        <w:rPr>
          <w:snapToGrid w:val="0"/>
        </w:rPr>
      </w:pPr>
      <w:bookmarkStart w:id="63" w:name="_Toc429277136"/>
      <w:bookmarkStart w:id="64" w:name="_Toc26254750"/>
      <w:bookmarkStart w:id="65" w:name="_Toc26330945"/>
      <w:bookmarkStart w:id="66" w:name="_Toc160609210"/>
      <w:r>
        <w:rPr>
          <w:rStyle w:val="CharSectno"/>
        </w:rPr>
        <w:t>21</w:t>
      </w:r>
      <w:r>
        <w:rPr>
          <w:snapToGrid w:val="0"/>
        </w:rPr>
        <w:t>.</w:t>
      </w:r>
      <w:r>
        <w:rPr>
          <w:snapToGrid w:val="0"/>
        </w:rPr>
        <w:tab/>
        <w:t>Review of functions of registrars</w:t>
      </w:r>
      <w:bookmarkEnd w:id="63"/>
      <w:bookmarkEnd w:id="64"/>
      <w:bookmarkEnd w:id="65"/>
      <w:bookmarkEnd w:id="66"/>
    </w:p>
    <w:p>
      <w:pPr>
        <w:pStyle w:val="Subsection"/>
      </w:pPr>
      <w:r>
        <w:tab/>
      </w:r>
      <w:r>
        <w:tab/>
        <w:t>An order, direction or decision made by a registrar under these regulations is reviewable as if it were made by a registrar in the exercise of any of the registrar’s non</w:t>
      </w:r>
      <w:r>
        <w:noBreakHyphen/>
        <w:t xml:space="preserve">delegated functions under the </w:t>
      </w:r>
      <w:r>
        <w:rPr>
          <w:i/>
        </w:rPr>
        <w:t>Family Court Rules 1998</w:t>
      </w:r>
      <w:r>
        <w:t xml:space="preserve"> and the provisions of those rules that are applicable to the review of non</w:t>
      </w:r>
      <w:r>
        <w:noBreakHyphen/>
        <w:t>delegated functions of registrars apply to a review for the purposes of this regulation.</w:t>
      </w:r>
    </w:p>
    <w:p>
      <w:pPr>
        <w:pStyle w:val="Ednotesection"/>
      </w:pPr>
      <w:r>
        <w:t>[</w:t>
      </w:r>
      <w:r>
        <w:rPr>
          <w:b/>
          <w:bCs/>
        </w:rPr>
        <w:t>22.</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67" w:name="_Toc140572842"/>
      <w:bookmarkStart w:id="68" w:name="_Toc140572902"/>
      <w:bookmarkStart w:id="69" w:name="_Toc140572933"/>
      <w:bookmarkStart w:id="70" w:name="_Toc140635794"/>
      <w:bookmarkStart w:id="71" w:name="_Toc151958801"/>
      <w:bookmarkStart w:id="72" w:name="_Toc151963430"/>
      <w:bookmarkStart w:id="73" w:name="_Toc157930571"/>
      <w:bookmarkStart w:id="74" w:name="_Toc160609211"/>
      <w:r>
        <w:t>Notes</w:t>
      </w:r>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160609212"/>
      <w:bookmarkStart w:id="76" w:name="UpToHere"/>
      <w:r>
        <w:rPr>
          <w:snapToGrid w:val="0"/>
        </w:rPr>
        <w:t>Compilation table</w:t>
      </w:r>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76"/>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Family Court Regulations 1998</w:t>
            </w:r>
          </w:p>
        </w:tc>
        <w:tc>
          <w:tcPr>
            <w:tcW w:w="1276" w:type="dxa"/>
            <w:tcBorders>
              <w:top w:val="single" w:sz="4" w:space="0" w:color="auto"/>
            </w:tcBorders>
          </w:tcPr>
          <w:p>
            <w:pPr>
              <w:pStyle w:val="nTable"/>
              <w:spacing w:after="40"/>
              <w:rPr>
                <w:sz w:val="19"/>
              </w:rPr>
            </w:pPr>
            <w:r>
              <w:rPr>
                <w:sz w:val="19"/>
              </w:rPr>
              <w:t>25 Sep 1998 p. 5303</w:t>
            </w:r>
            <w:r>
              <w:rPr>
                <w:sz w:val="19"/>
              </w:rPr>
              <w:noBreakHyphen/>
              <w:t>9</w:t>
            </w:r>
          </w:p>
        </w:tc>
        <w:tc>
          <w:tcPr>
            <w:tcW w:w="2693" w:type="dxa"/>
            <w:tcBorders>
              <w:top w:val="single" w:sz="4" w:space="0" w:color="auto"/>
            </w:tcBorders>
          </w:tcPr>
          <w:p>
            <w:pPr>
              <w:pStyle w:val="nTable"/>
              <w:spacing w:after="40"/>
              <w:rPr>
                <w:sz w:val="19"/>
              </w:rPr>
            </w:pPr>
            <w:r>
              <w:rPr>
                <w:sz w:val="19"/>
              </w:rPr>
              <w:t xml:space="preserve">26 Sep 1998 (see r. 2 and </w:t>
            </w:r>
            <w:r>
              <w:rPr>
                <w:i/>
                <w:sz w:val="19"/>
              </w:rPr>
              <w:t>Gazette</w:t>
            </w:r>
            <w:r>
              <w:rPr>
                <w:sz w:val="19"/>
              </w:rPr>
              <w:t xml:space="preserve"> 25 Sep 1998 p. 5295)</w:t>
            </w:r>
          </w:p>
        </w:tc>
      </w:tr>
      <w:tr>
        <w:tc>
          <w:tcPr>
            <w:tcW w:w="3118" w:type="dxa"/>
          </w:tcPr>
          <w:p>
            <w:pPr>
              <w:pStyle w:val="nTable"/>
              <w:spacing w:after="40"/>
              <w:rPr>
                <w:i/>
                <w:sz w:val="19"/>
              </w:rPr>
            </w:pPr>
            <w:r>
              <w:rPr>
                <w:i/>
                <w:sz w:val="19"/>
              </w:rPr>
              <w:t>Family Court Amendment Regulations 2002</w:t>
            </w:r>
          </w:p>
        </w:tc>
        <w:tc>
          <w:tcPr>
            <w:tcW w:w="1276" w:type="dxa"/>
          </w:tcPr>
          <w:p>
            <w:pPr>
              <w:pStyle w:val="nTable"/>
              <w:spacing w:after="40"/>
              <w:rPr>
                <w:sz w:val="19"/>
              </w:rPr>
            </w:pPr>
            <w:r>
              <w:rPr>
                <w:sz w:val="19"/>
              </w:rPr>
              <w:t>29 Nov 2002 p. 5663-5</w:t>
            </w:r>
          </w:p>
        </w:tc>
        <w:tc>
          <w:tcPr>
            <w:tcW w:w="2693" w:type="dxa"/>
          </w:tcPr>
          <w:p>
            <w:pPr>
              <w:pStyle w:val="nTable"/>
              <w:spacing w:after="40"/>
              <w:rPr>
                <w:sz w:val="19"/>
              </w:rPr>
            </w:pPr>
            <w:r>
              <w:rPr>
                <w:sz w:val="19"/>
              </w:rPr>
              <w:t xml:space="preserve">1 Dec 2002 (see r. 3 and </w:t>
            </w:r>
            <w:r>
              <w:rPr>
                <w:i/>
                <w:sz w:val="19"/>
              </w:rPr>
              <w:t>Gazette</w:t>
            </w:r>
            <w:r>
              <w:rPr>
                <w:sz w:val="19"/>
              </w:rPr>
              <w:t xml:space="preserve"> 29 Nov 2002 p. 5651)</w:t>
            </w:r>
          </w:p>
        </w:tc>
      </w:tr>
      <w:tr>
        <w:tc>
          <w:tcPr>
            <w:tcW w:w="3118" w:type="dxa"/>
          </w:tcPr>
          <w:p>
            <w:pPr>
              <w:pStyle w:val="nTable"/>
              <w:spacing w:after="40"/>
              <w:rPr>
                <w:i/>
                <w:sz w:val="19"/>
              </w:rPr>
            </w:pPr>
            <w:r>
              <w:rPr>
                <w:i/>
                <w:sz w:val="19"/>
              </w:rPr>
              <w:t>Family Court Amendment Regulations 2006</w:t>
            </w:r>
          </w:p>
        </w:tc>
        <w:tc>
          <w:tcPr>
            <w:tcW w:w="1276" w:type="dxa"/>
          </w:tcPr>
          <w:p>
            <w:pPr>
              <w:pStyle w:val="nTable"/>
              <w:spacing w:after="40"/>
              <w:rPr>
                <w:sz w:val="19"/>
              </w:rPr>
            </w:pPr>
            <w:r>
              <w:rPr>
                <w:sz w:val="19"/>
              </w:rPr>
              <w:t>14 Jul 2006 p. 2560</w:t>
            </w:r>
            <w:r>
              <w:rPr>
                <w:sz w:val="19"/>
              </w:rPr>
              <w:noBreakHyphen/>
              <w:t>3</w:t>
            </w:r>
          </w:p>
        </w:tc>
        <w:tc>
          <w:tcPr>
            <w:tcW w:w="2693" w:type="dxa"/>
          </w:tcPr>
          <w:p>
            <w:pPr>
              <w:pStyle w:val="nTable"/>
              <w:spacing w:after="40"/>
              <w:rPr>
                <w:sz w:val="19"/>
              </w:rPr>
            </w:pPr>
            <w:r>
              <w:rPr>
                <w:sz w:val="19"/>
              </w:rPr>
              <w:t xml:space="preserve">15 Jul 2006 (see r. 2 and </w:t>
            </w:r>
            <w:r>
              <w:rPr>
                <w:i/>
                <w:iCs/>
                <w:sz w:val="19"/>
              </w:rPr>
              <w:t>Gazette</w:t>
            </w:r>
            <w:r>
              <w:rPr>
                <w:sz w:val="19"/>
              </w:rPr>
              <w:t xml:space="preserve"> 14 Jul 2006 p. 2559)</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Family Court Regulations 1998</w:t>
            </w:r>
            <w:r>
              <w:rPr>
                <w:b/>
                <w:bCs/>
                <w:sz w:val="19"/>
              </w:rPr>
              <w:t xml:space="preserve"> as at 9 Feb 2007</w:t>
            </w:r>
            <w:r>
              <w:rPr>
                <w:sz w:val="19"/>
              </w:rPr>
              <w:t xml:space="preserve"> (includes amendments listed above)</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08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36E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0DF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88D5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A413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85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6A17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FCF0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FC9A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8F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C8E9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4F6C36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735"/>
    <w:docVar w:name="WAFER_20151204125735" w:val="RemoveTrackChanges"/>
    <w:docVar w:name="WAFER_20151204125735_GUID" w:val="ba0bfe7f-0030-4bab-8b6e-8eaa79ec6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2810</Words>
  <Characters>13434</Characters>
  <Application>Microsoft Office Word</Application>
  <DocSecurity>0</DocSecurity>
  <Lines>407</Lines>
  <Paragraphs>257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Family Court Regulations 1998</vt:lpstr>
      <vt:lpstr>    Notes</vt:lpstr>
    </vt:vector>
  </TitlesOfParts>
  <Manager/>
  <Company/>
  <LinksUpToDate>false</LinksUpToDate>
  <CharactersWithSpaces>15987</CharactersWithSpaces>
  <SharedDoc>false</SharedDoc>
  <HLinks>
    <vt:vector size="12" baseType="variant">
      <vt:variant>
        <vt:i4>65542</vt:i4>
      </vt:variant>
      <vt:variant>
        <vt:i4>3090</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1998 - 01-a0-07</dc:title>
  <dc:subject/>
  <dc:creator/>
  <cp:keywords/>
  <dc:description/>
  <cp:lastModifiedBy>svcMRProcess</cp:lastModifiedBy>
  <cp:revision>4</cp:revision>
  <cp:lastPrinted>2007-01-30T06:27:00Z</cp:lastPrinted>
  <dcterms:created xsi:type="dcterms:W3CDTF">2020-02-25T14:21:00Z</dcterms:created>
  <dcterms:modified xsi:type="dcterms:W3CDTF">2020-02-25T14:21:00Z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110</vt:i4>
  </property>
  <property fmtid="{D5CDD505-2E9C-101B-9397-08002B2CF9AE}" pid="6" name="ReprintNo">
    <vt:lpwstr>1</vt:lpwstr>
  </property>
  <property fmtid="{D5CDD505-2E9C-101B-9397-08002B2CF9AE}" pid="7" name="AsAtDate">
    <vt:lpwstr>09 Feb 2007</vt:lpwstr>
  </property>
  <property fmtid="{D5CDD505-2E9C-101B-9397-08002B2CF9AE}" pid="8" name="Suffix">
    <vt:lpwstr>01-a0-07</vt:lpwstr>
  </property>
</Properties>
</file>