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Rules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bookmarkStart w:id="1" w:name="Arrangement"/>
    <w:bookmarkEnd w:id="1"/>
    <w:p>
      <w:pPr>
        <w:pStyle w:val="NameofActRegPage1"/>
      </w:pPr>
      <w:r>
        <w:fldChar w:fldCharType="begin"/>
      </w:r>
      <w:r>
        <w:instrText xml:space="preserve"> STYLEREF "Name Of Act/Reg"</w:instrText>
      </w:r>
      <w:r>
        <w:fldChar w:fldCharType="separate"/>
      </w:r>
      <w:r>
        <w:rPr>
          <w:noProof/>
        </w:rPr>
        <w:t>Family Court Rules 1998</w:t>
      </w:r>
      <w:r>
        <w:fldChar w:fldCharType="end"/>
      </w:r>
    </w:p>
    <w:p>
      <w:pPr>
        <w:pStyle w:val="Arrangement"/>
      </w:pPr>
      <w:r>
        <w:t>CONTENTS</w:t>
      </w:r>
    </w:p>
    <w:p>
      <w:pPr>
        <w:pStyle w:val="TOC2"/>
        <w:tabs>
          <w:tab w:val="right" w:leader="dot" w:pos="7088"/>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rPr>
        <w:tab/>
        <w:t>Citation</w:t>
      </w:r>
      <w:r>
        <w:rPr>
          <w:noProof/>
        </w:rPr>
        <w:tab/>
      </w:r>
      <w:r>
        <w:rPr>
          <w:noProof/>
        </w:rPr>
        <w:fldChar w:fldCharType="begin"/>
      </w:r>
      <w:r>
        <w:rPr>
          <w:noProof/>
        </w:rPr>
        <w:instrText xml:space="preserve"> PAGEREF _Toc68065959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_Toc68065960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Dispensing with compliance</w:t>
      </w:r>
      <w:r>
        <w:rPr>
          <w:noProof/>
        </w:rPr>
        <w:tab/>
      </w:r>
      <w:r>
        <w:rPr>
          <w:noProof/>
        </w:rPr>
        <w:fldChar w:fldCharType="begin"/>
      </w:r>
      <w:r>
        <w:rPr>
          <w:noProof/>
        </w:rPr>
        <w:instrText xml:space="preserve"> PAGEREF _Toc68065961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_Toc68065962 \h </w:instrText>
      </w:r>
      <w:r>
        <w:rPr>
          <w:noProof/>
        </w:rPr>
      </w:r>
      <w:r>
        <w:rPr>
          <w:noProof/>
        </w:rPr>
        <w:fldChar w:fldCharType="separate"/>
      </w:r>
      <w:r>
        <w:rPr>
          <w:noProof/>
        </w:rPr>
        <w:t>1</w:t>
      </w:r>
      <w:r>
        <w:rPr>
          <w:noProof/>
        </w:rPr>
        <w:fldChar w:fldCharType="end"/>
      </w:r>
    </w:p>
    <w:p>
      <w:pPr>
        <w:pStyle w:val="TOC2"/>
        <w:tabs>
          <w:tab w:val="right" w:leader="dot" w:pos="7088"/>
        </w:tabs>
        <w:rPr>
          <w:noProof/>
        </w:rPr>
      </w:pPr>
      <w:r>
        <w:rPr>
          <w:noProof/>
        </w:rPr>
        <w:t>Part 2 — General</w:t>
      </w:r>
    </w:p>
    <w:p>
      <w:pPr>
        <w:pStyle w:val="TOC3"/>
        <w:rPr>
          <w:noProof/>
        </w:rPr>
      </w:pPr>
      <w:r>
        <w:rPr>
          <w:noProof/>
        </w:rPr>
        <w:t>Division 1 — General</w:t>
      </w:r>
    </w:p>
    <w:p>
      <w:pPr>
        <w:pStyle w:val="TOC4"/>
        <w:rPr>
          <w:noProof/>
        </w:rPr>
      </w:pPr>
      <w:r>
        <w:rPr>
          <w:noProof/>
        </w:rPr>
        <w:t>5</w:t>
      </w:r>
      <w:r>
        <w:rPr>
          <w:noProof/>
          <w:snapToGrid w:val="0"/>
        </w:rPr>
        <w:t>.</w:t>
      </w:r>
      <w:r>
        <w:rPr>
          <w:noProof/>
        </w:rPr>
        <w:tab/>
      </w:r>
      <w:r>
        <w:rPr>
          <w:noProof/>
          <w:snapToGrid w:val="0"/>
        </w:rPr>
        <w:t>Seal</w:t>
      </w:r>
      <w:r>
        <w:rPr>
          <w:noProof/>
        </w:rPr>
        <w:tab/>
      </w:r>
      <w:r>
        <w:rPr>
          <w:noProof/>
        </w:rPr>
        <w:fldChar w:fldCharType="begin"/>
      </w:r>
      <w:r>
        <w:rPr>
          <w:noProof/>
        </w:rPr>
        <w:instrText xml:space="preserve"> PAGEREF _Toc68065963 \h </w:instrText>
      </w:r>
      <w:r>
        <w:rPr>
          <w:noProof/>
        </w:rPr>
      </w:r>
      <w:r>
        <w:rPr>
          <w:noProof/>
        </w:rPr>
        <w:fldChar w:fldCharType="separate"/>
      </w:r>
      <w:r>
        <w:rPr>
          <w:noProof/>
        </w:rPr>
        <w:t>2</w:t>
      </w:r>
      <w:r>
        <w:rPr>
          <w:noProof/>
        </w:rPr>
        <w:fldChar w:fldCharType="end"/>
      </w:r>
    </w:p>
    <w:p>
      <w:pPr>
        <w:pStyle w:val="TOC4"/>
        <w:rPr>
          <w:noProof/>
        </w:rPr>
      </w:pPr>
      <w:r>
        <w:rPr>
          <w:noProof/>
        </w:rPr>
        <w:t>6</w:t>
      </w:r>
      <w:r>
        <w:rPr>
          <w:noProof/>
          <w:snapToGrid w:val="0"/>
        </w:rPr>
        <w:t>.</w:t>
      </w:r>
      <w:r>
        <w:rPr>
          <w:noProof/>
        </w:rPr>
        <w:tab/>
      </w:r>
      <w:r>
        <w:rPr>
          <w:noProof/>
          <w:snapToGrid w:val="0"/>
        </w:rPr>
        <w:t>Sittings and registry hours</w:t>
      </w:r>
      <w:r>
        <w:rPr>
          <w:noProof/>
        </w:rPr>
        <w:tab/>
      </w:r>
      <w:r>
        <w:rPr>
          <w:noProof/>
        </w:rPr>
        <w:fldChar w:fldCharType="begin"/>
      </w:r>
      <w:r>
        <w:rPr>
          <w:noProof/>
        </w:rPr>
        <w:instrText xml:space="preserve"> PAGEREF _Toc68065964 \h </w:instrText>
      </w:r>
      <w:r>
        <w:rPr>
          <w:noProof/>
        </w:rPr>
      </w:r>
      <w:r>
        <w:rPr>
          <w:noProof/>
        </w:rPr>
        <w:fldChar w:fldCharType="separate"/>
      </w:r>
      <w:r>
        <w:rPr>
          <w:noProof/>
        </w:rPr>
        <w:t>2</w:t>
      </w:r>
      <w:r>
        <w:rPr>
          <w:noProof/>
        </w:rPr>
        <w:fldChar w:fldCharType="end"/>
      </w:r>
    </w:p>
    <w:p>
      <w:pPr>
        <w:pStyle w:val="TOC4"/>
        <w:rPr>
          <w:noProof/>
        </w:rPr>
      </w:pPr>
      <w:r>
        <w:rPr>
          <w:noProof/>
        </w:rPr>
        <w:t>7</w:t>
      </w:r>
      <w:r>
        <w:rPr>
          <w:noProof/>
          <w:snapToGrid w:val="0"/>
        </w:rPr>
        <w:t>.</w:t>
      </w:r>
      <w:r>
        <w:rPr>
          <w:noProof/>
        </w:rPr>
        <w:tab/>
      </w:r>
      <w:r>
        <w:rPr>
          <w:noProof/>
          <w:snapToGrid w:val="0"/>
        </w:rPr>
        <w:t>Oaths and affirmations</w:t>
      </w:r>
      <w:r>
        <w:rPr>
          <w:noProof/>
        </w:rPr>
        <w:tab/>
      </w:r>
      <w:r>
        <w:rPr>
          <w:noProof/>
        </w:rPr>
        <w:fldChar w:fldCharType="begin"/>
      </w:r>
      <w:r>
        <w:rPr>
          <w:noProof/>
        </w:rPr>
        <w:instrText xml:space="preserve"> PAGEREF _Toc68065965 \h </w:instrText>
      </w:r>
      <w:r>
        <w:rPr>
          <w:noProof/>
        </w:rPr>
      </w:r>
      <w:r>
        <w:rPr>
          <w:noProof/>
        </w:rPr>
        <w:fldChar w:fldCharType="separate"/>
      </w:r>
      <w:r>
        <w:rPr>
          <w:noProof/>
        </w:rPr>
        <w:t>2</w:t>
      </w:r>
      <w:r>
        <w:rPr>
          <w:noProof/>
        </w:rPr>
        <w:fldChar w:fldCharType="end"/>
      </w:r>
    </w:p>
    <w:p>
      <w:pPr>
        <w:pStyle w:val="TOC4"/>
        <w:rPr>
          <w:noProof/>
        </w:rPr>
      </w:pPr>
      <w:r>
        <w:rPr>
          <w:noProof/>
        </w:rPr>
        <w:t>8</w:t>
      </w:r>
      <w:r>
        <w:rPr>
          <w:noProof/>
          <w:snapToGrid w:val="0"/>
        </w:rPr>
        <w:t>.</w:t>
      </w:r>
      <w:r>
        <w:rPr>
          <w:noProof/>
        </w:rPr>
        <w:tab/>
      </w:r>
      <w:r>
        <w:rPr>
          <w:noProof/>
          <w:snapToGrid w:val="0"/>
        </w:rPr>
        <w:t>Records, registers and indexes</w:t>
      </w:r>
      <w:r>
        <w:rPr>
          <w:noProof/>
        </w:rPr>
        <w:tab/>
      </w:r>
      <w:r>
        <w:rPr>
          <w:noProof/>
        </w:rPr>
        <w:fldChar w:fldCharType="begin"/>
      </w:r>
      <w:r>
        <w:rPr>
          <w:noProof/>
        </w:rPr>
        <w:instrText xml:space="preserve"> PAGEREF _Toc68065966 \h </w:instrText>
      </w:r>
      <w:r>
        <w:rPr>
          <w:noProof/>
        </w:rPr>
      </w:r>
      <w:r>
        <w:rPr>
          <w:noProof/>
        </w:rPr>
        <w:fldChar w:fldCharType="separate"/>
      </w:r>
      <w:r>
        <w:rPr>
          <w:noProof/>
        </w:rPr>
        <w:t>3</w:t>
      </w:r>
      <w:r>
        <w:rPr>
          <w:noProof/>
        </w:rPr>
        <w:fldChar w:fldCharType="end"/>
      </w:r>
    </w:p>
    <w:p>
      <w:pPr>
        <w:pStyle w:val="TOC4"/>
        <w:rPr>
          <w:noProof/>
        </w:rPr>
      </w:pPr>
      <w:r>
        <w:rPr>
          <w:noProof/>
        </w:rPr>
        <w:t>9</w:t>
      </w:r>
      <w:r>
        <w:rPr>
          <w:noProof/>
          <w:snapToGrid w:val="0"/>
        </w:rPr>
        <w:t>.</w:t>
      </w:r>
      <w:r>
        <w:rPr>
          <w:noProof/>
        </w:rPr>
        <w:tab/>
      </w:r>
      <w:r>
        <w:rPr>
          <w:noProof/>
          <w:snapToGrid w:val="0"/>
        </w:rPr>
        <w:t>Affidavits</w:t>
      </w:r>
      <w:r>
        <w:rPr>
          <w:noProof/>
        </w:rPr>
        <w:tab/>
      </w:r>
      <w:r>
        <w:rPr>
          <w:noProof/>
        </w:rPr>
        <w:fldChar w:fldCharType="begin"/>
      </w:r>
      <w:r>
        <w:rPr>
          <w:noProof/>
        </w:rPr>
        <w:instrText xml:space="preserve"> PAGEREF _Toc68065967 \h </w:instrText>
      </w:r>
      <w:r>
        <w:rPr>
          <w:noProof/>
        </w:rPr>
      </w:r>
      <w:r>
        <w:rPr>
          <w:noProof/>
        </w:rPr>
        <w:fldChar w:fldCharType="separate"/>
      </w:r>
      <w:r>
        <w:rPr>
          <w:noProof/>
        </w:rPr>
        <w:t>3</w:t>
      </w:r>
      <w:r>
        <w:rPr>
          <w:noProof/>
        </w:rPr>
        <w:fldChar w:fldCharType="end"/>
      </w:r>
    </w:p>
    <w:p>
      <w:pPr>
        <w:pStyle w:val="TOC4"/>
        <w:rPr>
          <w:noProof/>
        </w:rPr>
      </w:pPr>
      <w:r>
        <w:rPr>
          <w:noProof/>
        </w:rPr>
        <w:t>10</w:t>
      </w:r>
      <w:r>
        <w:rPr>
          <w:noProof/>
          <w:snapToGrid w:val="0"/>
        </w:rPr>
        <w:t>.</w:t>
      </w:r>
      <w:r>
        <w:rPr>
          <w:noProof/>
        </w:rPr>
        <w:tab/>
      </w:r>
      <w:r>
        <w:rPr>
          <w:noProof/>
          <w:snapToGrid w:val="0"/>
        </w:rPr>
        <w:t>Recognizances</w:t>
      </w:r>
      <w:r>
        <w:rPr>
          <w:noProof/>
        </w:rPr>
        <w:tab/>
      </w:r>
      <w:r>
        <w:rPr>
          <w:noProof/>
        </w:rPr>
        <w:fldChar w:fldCharType="begin"/>
      </w:r>
      <w:r>
        <w:rPr>
          <w:noProof/>
        </w:rPr>
        <w:instrText xml:space="preserve"> PAGEREF _Toc68065968 \h </w:instrText>
      </w:r>
      <w:r>
        <w:rPr>
          <w:noProof/>
        </w:rPr>
      </w:r>
      <w:r>
        <w:rPr>
          <w:noProof/>
        </w:rPr>
        <w:fldChar w:fldCharType="separate"/>
      </w:r>
      <w:r>
        <w:rPr>
          <w:noProof/>
        </w:rPr>
        <w:t>3</w:t>
      </w:r>
      <w:r>
        <w:rPr>
          <w:noProof/>
        </w:rPr>
        <w:fldChar w:fldCharType="end"/>
      </w:r>
    </w:p>
    <w:p>
      <w:pPr>
        <w:pStyle w:val="TOC4"/>
        <w:rPr>
          <w:noProof/>
        </w:rPr>
      </w:pPr>
      <w:r>
        <w:rPr>
          <w:noProof/>
        </w:rPr>
        <w:t>11</w:t>
      </w:r>
      <w:r>
        <w:rPr>
          <w:noProof/>
          <w:snapToGrid w:val="0"/>
        </w:rPr>
        <w:t>.</w:t>
      </w:r>
      <w:r>
        <w:rPr>
          <w:noProof/>
        </w:rPr>
        <w:tab/>
      </w:r>
      <w:r>
        <w:rPr>
          <w:noProof/>
          <w:snapToGrid w:val="0"/>
        </w:rPr>
        <w:t>Costs where court has no jurisdiction</w:t>
      </w:r>
      <w:r>
        <w:rPr>
          <w:noProof/>
        </w:rPr>
        <w:tab/>
      </w:r>
      <w:r>
        <w:rPr>
          <w:noProof/>
        </w:rPr>
        <w:fldChar w:fldCharType="begin"/>
      </w:r>
      <w:r>
        <w:rPr>
          <w:noProof/>
        </w:rPr>
        <w:instrText xml:space="preserve"> PAGEREF _Toc68065969 \h </w:instrText>
      </w:r>
      <w:r>
        <w:rPr>
          <w:noProof/>
        </w:rPr>
      </w:r>
      <w:r>
        <w:rPr>
          <w:noProof/>
        </w:rPr>
        <w:fldChar w:fldCharType="separate"/>
      </w:r>
      <w:r>
        <w:rPr>
          <w:noProof/>
        </w:rPr>
        <w:t>4</w:t>
      </w:r>
      <w:r>
        <w:rPr>
          <w:noProof/>
        </w:rPr>
        <w:fldChar w:fldCharType="end"/>
      </w:r>
    </w:p>
    <w:p>
      <w:pPr>
        <w:pStyle w:val="TOC3"/>
        <w:rPr>
          <w:noProof/>
        </w:rPr>
      </w:pPr>
      <w:r>
        <w:rPr>
          <w:noProof/>
        </w:rPr>
        <w:t>Division 2</w:t>
      </w:r>
      <w:r>
        <w:rPr>
          <w:noProof/>
          <w:snapToGrid w:val="0"/>
        </w:rPr>
        <w:t xml:space="preserve"> — </w:t>
      </w:r>
      <w:r>
        <w:rPr>
          <w:noProof/>
        </w:rPr>
        <w:t>Adoption of Family Law Rules</w:t>
      </w:r>
    </w:p>
    <w:p>
      <w:pPr>
        <w:pStyle w:val="TOC4"/>
        <w:rPr>
          <w:noProof/>
        </w:rPr>
      </w:pPr>
      <w:r>
        <w:rPr>
          <w:noProof/>
        </w:rPr>
        <w:t>12</w:t>
      </w:r>
      <w:r>
        <w:rPr>
          <w:noProof/>
          <w:snapToGrid w:val="0"/>
        </w:rPr>
        <w:t>.</w:t>
      </w:r>
      <w:r>
        <w:rPr>
          <w:noProof/>
        </w:rPr>
        <w:tab/>
      </w:r>
      <w:r>
        <w:rPr>
          <w:noProof/>
          <w:snapToGrid w:val="0"/>
        </w:rPr>
        <w:t>Adoption of certain Family Law Rules for federal jurisdiction</w:t>
      </w:r>
      <w:r>
        <w:rPr>
          <w:noProof/>
        </w:rPr>
        <w:tab/>
      </w:r>
      <w:r>
        <w:rPr>
          <w:noProof/>
        </w:rPr>
        <w:fldChar w:fldCharType="begin"/>
      </w:r>
      <w:r>
        <w:rPr>
          <w:noProof/>
        </w:rPr>
        <w:instrText xml:space="preserve"> PAGEREF _Toc68065970 \h </w:instrText>
      </w:r>
      <w:r>
        <w:rPr>
          <w:noProof/>
        </w:rPr>
      </w:r>
      <w:r>
        <w:rPr>
          <w:noProof/>
        </w:rPr>
        <w:fldChar w:fldCharType="separate"/>
      </w:r>
      <w:r>
        <w:rPr>
          <w:noProof/>
        </w:rPr>
        <w:t>4</w:t>
      </w:r>
      <w:r>
        <w:rPr>
          <w:noProof/>
        </w:rPr>
        <w:fldChar w:fldCharType="end"/>
      </w:r>
    </w:p>
    <w:p>
      <w:pPr>
        <w:pStyle w:val="TOC4"/>
        <w:rPr>
          <w:noProof/>
        </w:rPr>
      </w:pPr>
      <w:r>
        <w:rPr>
          <w:noProof/>
        </w:rPr>
        <w:t>13</w:t>
      </w:r>
      <w:r>
        <w:rPr>
          <w:noProof/>
          <w:snapToGrid w:val="0"/>
        </w:rPr>
        <w:t>.</w:t>
      </w:r>
      <w:r>
        <w:rPr>
          <w:noProof/>
        </w:rPr>
        <w:tab/>
      </w:r>
      <w:r>
        <w:rPr>
          <w:noProof/>
          <w:snapToGrid w:val="0"/>
        </w:rPr>
        <w:t>Adoption of certain Family Law Rules for non-federal jurisdictions</w:t>
      </w:r>
      <w:r>
        <w:rPr>
          <w:noProof/>
        </w:rPr>
        <w:tab/>
      </w:r>
      <w:r>
        <w:rPr>
          <w:noProof/>
        </w:rPr>
        <w:fldChar w:fldCharType="begin"/>
      </w:r>
      <w:r>
        <w:rPr>
          <w:noProof/>
        </w:rPr>
        <w:instrText xml:space="preserve"> PAGEREF _Toc68065971 \h </w:instrText>
      </w:r>
      <w:r>
        <w:rPr>
          <w:noProof/>
        </w:rPr>
      </w:r>
      <w:r>
        <w:rPr>
          <w:noProof/>
        </w:rPr>
        <w:fldChar w:fldCharType="separate"/>
      </w:r>
      <w:r>
        <w:rPr>
          <w:noProof/>
        </w:rPr>
        <w:t>5</w:t>
      </w:r>
      <w:r>
        <w:rPr>
          <w:noProof/>
        </w:rPr>
        <w:fldChar w:fldCharType="end"/>
      </w:r>
    </w:p>
    <w:p>
      <w:pPr>
        <w:pStyle w:val="TOC4"/>
        <w:rPr>
          <w:noProof/>
        </w:rPr>
      </w:pPr>
      <w:r>
        <w:rPr>
          <w:noProof/>
        </w:rPr>
        <w:t>13A.</w:t>
      </w:r>
      <w:r>
        <w:rPr>
          <w:noProof/>
        </w:rPr>
        <w:tab/>
        <w:t>Specific Family Law Rules that are adopted and applied in a modified form</w:t>
      </w:r>
      <w:r>
        <w:rPr>
          <w:noProof/>
        </w:rPr>
        <w:tab/>
      </w:r>
      <w:r>
        <w:rPr>
          <w:noProof/>
        </w:rPr>
        <w:fldChar w:fldCharType="begin"/>
      </w:r>
      <w:r>
        <w:rPr>
          <w:noProof/>
        </w:rPr>
        <w:instrText xml:space="preserve"> PAGEREF _Toc68065972 \h </w:instrText>
      </w:r>
      <w:r>
        <w:rPr>
          <w:noProof/>
        </w:rPr>
      </w:r>
      <w:r>
        <w:rPr>
          <w:noProof/>
        </w:rPr>
        <w:fldChar w:fldCharType="separate"/>
      </w:r>
      <w:r>
        <w:rPr>
          <w:noProof/>
        </w:rPr>
        <w:t>7</w:t>
      </w:r>
      <w:r>
        <w:rPr>
          <w:noProof/>
        </w:rPr>
        <w:fldChar w:fldCharType="end"/>
      </w:r>
    </w:p>
    <w:p>
      <w:pPr>
        <w:pStyle w:val="TOC3"/>
        <w:rPr>
          <w:noProof/>
        </w:rPr>
      </w:pPr>
      <w:r>
        <w:rPr>
          <w:noProof/>
        </w:rPr>
        <w:t>Division 3 — Accounting and enforcement</w:t>
      </w:r>
    </w:p>
    <w:p>
      <w:pPr>
        <w:pStyle w:val="TOC4"/>
        <w:rPr>
          <w:noProof/>
        </w:rPr>
      </w:pPr>
      <w:r>
        <w:rPr>
          <w:noProof/>
        </w:rPr>
        <w:t>14.</w:t>
      </w:r>
      <w:r>
        <w:rPr>
          <w:noProof/>
        </w:rPr>
        <w:tab/>
        <w:t>Definition</w:t>
      </w:r>
      <w:r>
        <w:rPr>
          <w:noProof/>
        </w:rPr>
        <w:tab/>
      </w:r>
      <w:r>
        <w:rPr>
          <w:noProof/>
        </w:rPr>
        <w:fldChar w:fldCharType="begin"/>
      </w:r>
      <w:r>
        <w:rPr>
          <w:noProof/>
        </w:rPr>
        <w:instrText xml:space="preserve"> PAGEREF _Toc68065973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rPr>
        <w:tab/>
        <w:t>Collector of Maintenance</w:t>
      </w:r>
      <w:r>
        <w:rPr>
          <w:noProof/>
        </w:rPr>
        <w:tab/>
      </w:r>
      <w:r>
        <w:rPr>
          <w:noProof/>
        </w:rPr>
        <w:fldChar w:fldCharType="begin"/>
      </w:r>
      <w:r>
        <w:rPr>
          <w:noProof/>
        </w:rPr>
        <w:instrText xml:space="preserve"> PAGEREF _Toc68065974 \h </w:instrText>
      </w:r>
      <w:r>
        <w:rPr>
          <w:noProof/>
        </w:rPr>
      </w:r>
      <w:r>
        <w:rPr>
          <w:noProof/>
        </w:rPr>
        <w:fldChar w:fldCharType="separate"/>
      </w:r>
      <w:r>
        <w:rPr>
          <w:noProof/>
        </w:rPr>
        <w:t>9</w:t>
      </w:r>
      <w:r>
        <w:rPr>
          <w:noProof/>
        </w:rPr>
        <w:fldChar w:fldCharType="end"/>
      </w:r>
    </w:p>
    <w:p>
      <w:pPr>
        <w:pStyle w:val="TOC4"/>
        <w:rPr>
          <w:noProof/>
        </w:rPr>
      </w:pPr>
      <w:r>
        <w:rPr>
          <w:noProof/>
        </w:rPr>
        <w:t>16.</w:t>
      </w:r>
      <w:r>
        <w:rPr>
          <w:noProof/>
        </w:rPr>
        <w:tab/>
        <w:t>Accounting</w:t>
      </w:r>
      <w:r>
        <w:rPr>
          <w:noProof/>
        </w:rPr>
        <w:tab/>
      </w:r>
      <w:r>
        <w:rPr>
          <w:noProof/>
        </w:rPr>
        <w:fldChar w:fldCharType="begin"/>
      </w:r>
      <w:r>
        <w:rPr>
          <w:noProof/>
        </w:rPr>
        <w:instrText xml:space="preserve"> PAGEREF _Toc68065975 \h </w:instrText>
      </w:r>
      <w:r>
        <w:rPr>
          <w:noProof/>
        </w:rPr>
      </w:r>
      <w:r>
        <w:rPr>
          <w:noProof/>
        </w:rPr>
        <w:fldChar w:fldCharType="separate"/>
      </w:r>
      <w:r>
        <w:rPr>
          <w:noProof/>
        </w:rPr>
        <w:t>10</w:t>
      </w:r>
      <w:r>
        <w:rPr>
          <w:noProof/>
        </w:rPr>
        <w:fldChar w:fldCharType="end"/>
      </w:r>
    </w:p>
    <w:p>
      <w:pPr>
        <w:pStyle w:val="TOC4"/>
        <w:rPr>
          <w:noProof/>
        </w:rPr>
      </w:pPr>
      <w:r>
        <w:rPr>
          <w:noProof/>
        </w:rPr>
        <w:t>17.</w:t>
      </w:r>
      <w:r>
        <w:rPr>
          <w:noProof/>
        </w:rPr>
        <w:tab/>
        <w:t>Notice of election</w:t>
      </w:r>
      <w:r>
        <w:rPr>
          <w:noProof/>
        </w:rPr>
        <w:tab/>
      </w:r>
      <w:r>
        <w:rPr>
          <w:noProof/>
        </w:rPr>
        <w:fldChar w:fldCharType="begin"/>
      </w:r>
      <w:r>
        <w:rPr>
          <w:noProof/>
        </w:rPr>
        <w:instrText xml:space="preserve"> PAGEREF _Toc68065976 \h </w:instrText>
      </w:r>
      <w:r>
        <w:rPr>
          <w:noProof/>
        </w:rPr>
      </w:r>
      <w:r>
        <w:rPr>
          <w:noProof/>
        </w:rPr>
        <w:fldChar w:fldCharType="separate"/>
      </w:r>
      <w:r>
        <w:rPr>
          <w:noProof/>
        </w:rPr>
        <w:t>11</w:t>
      </w:r>
      <w:r>
        <w:rPr>
          <w:noProof/>
        </w:rPr>
        <w:fldChar w:fldCharType="end"/>
      </w:r>
    </w:p>
    <w:p>
      <w:pPr>
        <w:pStyle w:val="TOC4"/>
        <w:rPr>
          <w:noProof/>
        </w:rPr>
      </w:pPr>
      <w:r>
        <w:rPr>
          <w:noProof/>
        </w:rPr>
        <w:t>18.</w:t>
      </w:r>
      <w:r>
        <w:rPr>
          <w:noProof/>
        </w:rPr>
        <w:tab/>
        <w:t>Notice of withdrawal of election</w:t>
      </w:r>
      <w:r>
        <w:rPr>
          <w:noProof/>
        </w:rPr>
        <w:tab/>
      </w:r>
      <w:r>
        <w:rPr>
          <w:noProof/>
        </w:rPr>
        <w:fldChar w:fldCharType="begin"/>
      </w:r>
      <w:r>
        <w:rPr>
          <w:noProof/>
        </w:rPr>
        <w:instrText xml:space="preserve"> PAGEREF _Toc68065977 \h </w:instrText>
      </w:r>
      <w:r>
        <w:rPr>
          <w:noProof/>
        </w:rPr>
      </w:r>
      <w:r>
        <w:rPr>
          <w:noProof/>
        </w:rPr>
        <w:fldChar w:fldCharType="separate"/>
      </w:r>
      <w:r>
        <w:rPr>
          <w:noProof/>
        </w:rPr>
        <w:t>11</w:t>
      </w:r>
      <w:r>
        <w:rPr>
          <w:noProof/>
        </w:rPr>
        <w:fldChar w:fldCharType="end"/>
      </w:r>
    </w:p>
    <w:p>
      <w:pPr>
        <w:pStyle w:val="TOC4"/>
        <w:rPr>
          <w:noProof/>
        </w:rPr>
      </w:pPr>
      <w:r>
        <w:rPr>
          <w:noProof/>
        </w:rPr>
        <w:t>19.</w:t>
      </w:r>
      <w:r>
        <w:rPr>
          <w:noProof/>
        </w:rPr>
        <w:tab/>
        <w:t>Duties of Collector of Maintenance or clerk as to enforcement</w:t>
      </w:r>
      <w:r>
        <w:rPr>
          <w:noProof/>
        </w:rPr>
        <w:tab/>
      </w:r>
      <w:r>
        <w:rPr>
          <w:noProof/>
        </w:rPr>
        <w:fldChar w:fldCharType="begin"/>
      </w:r>
      <w:r>
        <w:rPr>
          <w:noProof/>
        </w:rPr>
        <w:instrText xml:space="preserve"> PAGEREF _Toc68065978 \h </w:instrText>
      </w:r>
      <w:r>
        <w:rPr>
          <w:noProof/>
        </w:rPr>
      </w:r>
      <w:r>
        <w:rPr>
          <w:noProof/>
        </w:rPr>
        <w:fldChar w:fldCharType="separate"/>
      </w:r>
      <w:r>
        <w:rPr>
          <w:noProof/>
        </w:rPr>
        <w:t>12</w:t>
      </w:r>
      <w:r>
        <w:rPr>
          <w:noProof/>
        </w:rPr>
        <w:fldChar w:fldCharType="end"/>
      </w:r>
    </w:p>
    <w:p>
      <w:pPr>
        <w:pStyle w:val="TOC2"/>
        <w:tabs>
          <w:tab w:val="right" w:leader="dot" w:pos="7088"/>
        </w:tabs>
        <w:rPr>
          <w:noProof/>
        </w:rPr>
      </w:pPr>
      <w:r>
        <w:rPr>
          <w:noProof/>
        </w:rPr>
        <w:t>Part 3 — Registrars</w:t>
      </w:r>
    </w:p>
    <w:p>
      <w:pPr>
        <w:pStyle w:val="TOC3"/>
        <w:rPr>
          <w:noProof/>
        </w:rPr>
      </w:pPr>
      <w:r>
        <w:rPr>
          <w:noProof/>
        </w:rPr>
        <w:t>Division 1</w:t>
      </w:r>
      <w:r>
        <w:rPr>
          <w:noProof/>
          <w:snapToGrid w:val="0"/>
        </w:rPr>
        <w:t xml:space="preserve"> — </w:t>
      </w:r>
      <w:r>
        <w:rPr>
          <w:noProof/>
        </w:rPr>
        <w:t>General</w:t>
      </w:r>
    </w:p>
    <w:p>
      <w:pPr>
        <w:pStyle w:val="TOC4"/>
        <w:rPr>
          <w:noProof/>
        </w:rPr>
      </w:pPr>
      <w:r>
        <w:rPr>
          <w:noProof/>
        </w:rPr>
        <w:t>20.</w:t>
      </w:r>
      <w:r>
        <w:rPr>
          <w:noProof/>
        </w:rPr>
        <w:tab/>
        <w:t>Definition</w:t>
      </w:r>
      <w:r>
        <w:rPr>
          <w:noProof/>
        </w:rPr>
        <w:tab/>
      </w:r>
      <w:r>
        <w:rPr>
          <w:noProof/>
        </w:rPr>
        <w:fldChar w:fldCharType="begin"/>
      </w:r>
      <w:r>
        <w:rPr>
          <w:noProof/>
        </w:rPr>
        <w:instrText xml:space="preserve"> PAGEREF _Toc68065979 \h </w:instrText>
      </w:r>
      <w:r>
        <w:rPr>
          <w:noProof/>
        </w:rPr>
      </w:r>
      <w:r>
        <w:rPr>
          <w:noProof/>
        </w:rPr>
        <w:fldChar w:fldCharType="separate"/>
      </w:r>
      <w:r>
        <w:rPr>
          <w:noProof/>
        </w:rPr>
        <w:t>13</w:t>
      </w:r>
      <w:r>
        <w:rPr>
          <w:noProof/>
        </w:rPr>
        <w:fldChar w:fldCharType="end"/>
      </w:r>
    </w:p>
    <w:p>
      <w:pPr>
        <w:pStyle w:val="TOC4"/>
        <w:rPr>
          <w:noProof/>
        </w:rPr>
      </w:pPr>
      <w:r>
        <w:rPr>
          <w:noProof/>
        </w:rPr>
        <w:t>21</w:t>
      </w:r>
      <w:r>
        <w:rPr>
          <w:noProof/>
          <w:snapToGrid w:val="0"/>
        </w:rPr>
        <w:t>.</w:t>
      </w:r>
      <w:r>
        <w:rPr>
          <w:noProof/>
        </w:rPr>
        <w:tab/>
      </w:r>
      <w:r>
        <w:rPr>
          <w:noProof/>
          <w:snapToGrid w:val="0"/>
        </w:rPr>
        <w:t>Exercise of powers and functions of Registrars</w:t>
      </w:r>
      <w:r>
        <w:rPr>
          <w:noProof/>
        </w:rPr>
        <w:tab/>
      </w:r>
      <w:r>
        <w:rPr>
          <w:noProof/>
        </w:rPr>
        <w:fldChar w:fldCharType="begin"/>
      </w:r>
      <w:r>
        <w:rPr>
          <w:noProof/>
        </w:rPr>
        <w:instrText xml:space="preserve"> PAGEREF _Toc68065980 \h </w:instrText>
      </w:r>
      <w:r>
        <w:rPr>
          <w:noProof/>
        </w:rPr>
      </w:r>
      <w:r>
        <w:rPr>
          <w:noProof/>
        </w:rPr>
        <w:fldChar w:fldCharType="separate"/>
      </w:r>
      <w:r>
        <w:rPr>
          <w:noProof/>
        </w:rPr>
        <w:t>13</w:t>
      </w:r>
      <w:r>
        <w:rPr>
          <w:noProof/>
        </w:rPr>
        <w:fldChar w:fldCharType="end"/>
      </w:r>
    </w:p>
    <w:p>
      <w:pPr>
        <w:pStyle w:val="TOC4"/>
        <w:rPr>
          <w:noProof/>
        </w:rPr>
      </w:pPr>
      <w:r>
        <w:rPr>
          <w:noProof/>
        </w:rPr>
        <w:t>22.</w:t>
      </w:r>
      <w:r>
        <w:rPr>
          <w:noProof/>
        </w:rPr>
        <w:tab/>
        <w:t>Registrars not required to give reasons</w:t>
      </w:r>
      <w:r>
        <w:rPr>
          <w:noProof/>
        </w:rPr>
        <w:tab/>
      </w:r>
      <w:r>
        <w:rPr>
          <w:noProof/>
        </w:rPr>
        <w:fldChar w:fldCharType="begin"/>
      </w:r>
      <w:r>
        <w:rPr>
          <w:noProof/>
        </w:rPr>
        <w:instrText xml:space="preserve"> PAGEREF _Toc68065981 \h </w:instrText>
      </w:r>
      <w:r>
        <w:rPr>
          <w:noProof/>
        </w:rPr>
      </w:r>
      <w:r>
        <w:rPr>
          <w:noProof/>
        </w:rPr>
        <w:fldChar w:fldCharType="separate"/>
      </w:r>
      <w:r>
        <w:rPr>
          <w:noProof/>
        </w:rPr>
        <w:t>13</w:t>
      </w:r>
      <w:r>
        <w:rPr>
          <w:noProof/>
        </w:rPr>
        <w:fldChar w:fldCharType="end"/>
      </w:r>
    </w:p>
    <w:p>
      <w:pPr>
        <w:pStyle w:val="TOC4"/>
        <w:rPr>
          <w:noProof/>
        </w:rPr>
      </w:pPr>
      <w:r>
        <w:rPr>
          <w:noProof/>
        </w:rPr>
        <w:t>23</w:t>
      </w:r>
      <w:r>
        <w:rPr>
          <w:noProof/>
          <w:snapToGrid w:val="0"/>
        </w:rPr>
        <w:t>.</w:t>
      </w:r>
      <w:r>
        <w:rPr>
          <w:noProof/>
        </w:rPr>
        <w:tab/>
      </w:r>
      <w:r>
        <w:rPr>
          <w:noProof/>
          <w:snapToGrid w:val="0"/>
        </w:rPr>
        <w:t>Protection and immunity</w:t>
      </w:r>
      <w:r>
        <w:rPr>
          <w:noProof/>
        </w:rPr>
        <w:tab/>
      </w:r>
      <w:r>
        <w:rPr>
          <w:noProof/>
        </w:rPr>
        <w:fldChar w:fldCharType="begin"/>
      </w:r>
      <w:r>
        <w:rPr>
          <w:noProof/>
        </w:rPr>
        <w:instrText xml:space="preserve"> PAGEREF _Toc68065982 \h </w:instrText>
      </w:r>
      <w:r>
        <w:rPr>
          <w:noProof/>
        </w:rPr>
      </w:r>
      <w:r>
        <w:rPr>
          <w:noProof/>
        </w:rPr>
        <w:fldChar w:fldCharType="separate"/>
      </w:r>
      <w:r>
        <w:rPr>
          <w:noProof/>
        </w:rPr>
        <w:t>13</w:t>
      </w:r>
      <w:r>
        <w:rPr>
          <w:noProof/>
        </w:rPr>
        <w:fldChar w:fldCharType="end"/>
      </w:r>
    </w:p>
    <w:p>
      <w:pPr>
        <w:pStyle w:val="TOC3"/>
        <w:rPr>
          <w:noProof/>
        </w:rPr>
      </w:pPr>
      <w:r>
        <w:rPr>
          <w:noProof/>
        </w:rPr>
        <w:t>Division 2</w:t>
      </w:r>
      <w:r>
        <w:rPr>
          <w:noProof/>
          <w:snapToGrid w:val="0"/>
        </w:rPr>
        <w:t xml:space="preserve"> — </w:t>
      </w:r>
      <w:r>
        <w:rPr>
          <w:noProof/>
        </w:rPr>
        <w:t>Delegation of judicial power to Registrars</w:t>
      </w:r>
    </w:p>
    <w:p>
      <w:pPr>
        <w:pStyle w:val="TOC4"/>
        <w:rPr>
          <w:noProof/>
        </w:rPr>
      </w:pPr>
      <w:r>
        <w:rPr>
          <w:noProof/>
        </w:rPr>
        <w:t>24</w:t>
      </w:r>
      <w:r>
        <w:rPr>
          <w:noProof/>
          <w:snapToGrid w:val="0"/>
        </w:rPr>
        <w:t>.</w:t>
      </w:r>
      <w:r>
        <w:rPr>
          <w:noProof/>
        </w:rPr>
        <w:tab/>
      </w:r>
      <w:r>
        <w:rPr>
          <w:noProof/>
          <w:snapToGrid w:val="0"/>
        </w:rPr>
        <w:t>Delegation of powers to Registrars</w:t>
      </w:r>
      <w:r>
        <w:rPr>
          <w:noProof/>
        </w:rPr>
        <w:tab/>
      </w:r>
      <w:r>
        <w:rPr>
          <w:noProof/>
        </w:rPr>
        <w:fldChar w:fldCharType="begin"/>
      </w:r>
      <w:r>
        <w:rPr>
          <w:noProof/>
        </w:rPr>
        <w:instrText xml:space="preserve"> PAGEREF _Toc68065983 \h </w:instrText>
      </w:r>
      <w:r>
        <w:rPr>
          <w:noProof/>
        </w:rPr>
      </w:r>
      <w:r>
        <w:rPr>
          <w:noProof/>
        </w:rPr>
        <w:fldChar w:fldCharType="separate"/>
      </w:r>
      <w:r>
        <w:rPr>
          <w:noProof/>
        </w:rPr>
        <w:t>14</w:t>
      </w:r>
      <w:r>
        <w:rPr>
          <w:noProof/>
        </w:rPr>
        <w:fldChar w:fldCharType="end"/>
      </w:r>
    </w:p>
    <w:p>
      <w:pPr>
        <w:pStyle w:val="TOC4"/>
        <w:rPr>
          <w:noProof/>
        </w:rPr>
      </w:pPr>
      <w:r>
        <w:rPr>
          <w:noProof/>
        </w:rPr>
        <w:t>25.</w:t>
      </w:r>
      <w:r>
        <w:rPr>
          <w:noProof/>
        </w:rPr>
        <w:tab/>
        <w:t>Applications to review exercises of powers and functions by Registrars</w:t>
      </w:r>
      <w:r>
        <w:rPr>
          <w:noProof/>
        </w:rPr>
        <w:tab/>
      </w:r>
      <w:r>
        <w:rPr>
          <w:noProof/>
        </w:rPr>
        <w:fldChar w:fldCharType="begin"/>
      </w:r>
      <w:r>
        <w:rPr>
          <w:noProof/>
        </w:rPr>
        <w:instrText xml:space="preserve"> PAGEREF _Toc68065984 \h </w:instrText>
      </w:r>
      <w:r>
        <w:rPr>
          <w:noProof/>
        </w:rPr>
      </w:r>
      <w:r>
        <w:rPr>
          <w:noProof/>
        </w:rPr>
        <w:fldChar w:fldCharType="separate"/>
      </w:r>
      <w:r>
        <w:rPr>
          <w:noProof/>
        </w:rPr>
        <w:t>14</w:t>
      </w:r>
      <w:r>
        <w:rPr>
          <w:noProof/>
        </w:rPr>
        <w:fldChar w:fldCharType="end"/>
      </w:r>
    </w:p>
    <w:p>
      <w:pPr>
        <w:pStyle w:val="TOC4"/>
        <w:rPr>
          <w:noProof/>
        </w:rPr>
      </w:pPr>
      <w:r>
        <w:rPr>
          <w:noProof/>
        </w:rPr>
        <w:t>26.</w:t>
      </w:r>
      <w:r>
        <w:rPr>
          <w:noProof/>
        </w:rPr>
        <w:tab/>
        <w:t>Power of Court on review</w:t>
      </w:r>
      <w:r>
        <w:rPr>
          <w:noProof/>
        </w:rPr>
        <w:tab/>
      </w:r>
      <w:r>
        <w:rPr>
          <w:noProof/>
        </w:rPr>
        <w:fldChar w:fldCharType="begin"/>
      </w:r>
      <w:r>
        <w:rPr>
          <w:noProof/>
        </w:rPr>
        <w:instrText xml:space="preserve"> PAGEREF _Toc68065985 \h </w:instrText>
      </w:r>
      <w:r>
        <w:rPr>
          <w:noProof/>
        </w:rPr>
      </w:r>
      <w:r>
        <w:rPr>
          <w:noProof/>
        </w:rPr>
        <w:fldChar w:fldCharType="separate"/>
      </w:r>
      <w:r>
        <w:rPr>
          <w:noProof/>
        </w:rPr>
        <w:t>15</w:t>
      </w:r>
      <w:r>
        <w:rPr>
          <w:noProof/>
        </w:rPr>
        <w:fldChar w:fldCharType="end"/>
      </w:r>
    </w:p>
    <w:p>
      <w:pPr>
        <w:pStyle w:val="TOC3"/>
        <w:rPr>
          <w:noProof/>
        </w:rPr>
      </w:pPr>
      <w:r>
        <w:rPr>
          <w:noProof/>
        </w:rPr>
        <w:t>Division 3</w:t>
      </w:r>
      <w:r>
        <w:rPr>
          <w:noProof/>
          <w:snapToGrid w:val="0"/>
        </w:rPr>
        <w:t xml:space="preserve"> — </w:t>
      </w:r>
      <w:r>
        <w:rPr>
          <w:noProof/>
        </w:rPr>
        <w:t>Conferral of functions on Registrars</w:t>
      </w:r>
    </w:p>
    <w:p>
      <w:pPr>
        <w:pStyle w:val="TOC4"/>
        <w:rPr>
          <w:noProof/>
        </w:rPr>
      </w:pPr>
      <w:r>
        <w:rPr>
          <w:noProof/>
        </w:rPr>
        <w:t>29.</w:t>
      </w:r>
      <w:r>
        <w:rPr>
          <w:noProof/>
        </w:rPr>
        <w:tab/>
        <w:t>Conferral of functions on Registrars</w:t>
      </w:r>
      <w:r>
        <w:rPr>
          <w:noProof/>
        </w:rPr>
        <w:tab/>
      </w:r>
      <w:r>
        <w:rPr>
          <w:noProof/>
        </w:rPr>
        <w:fldChar w:fldCharType="begin"/>
      </w:r>
      <w:r>
        <w:rPr>
          <w:noProof/>
        </w:rPr>
        <w:instrText xml:space="preserve"> PAGEREF _Toc68065986 \h </w:instrText>
      </w:r>
      <w:r>
        <w:rPr>
          <w:noProof/>
        </w:rPr>
      </w:r>
      <w:r>
        <w:rPr>
          <w:noProof/>
        </w:rPr>
        <w:fldChar w:fldCharType="separate"/>
      </w:r>
      <w:r>
        <w:rPr>
          <w:noProof/>
        </w:rPr>
        <w:t>15</w:t>
      </w:r>
      <w:r>
        <w:rPr>
          <w:noProof/>
        </w:rPr>
        <w:fldChar w:fldCharType="end"/>
      </w:r>
    </w:p>
    <w:p>
      <w:pPr>
        <w:pStyle w:val="TOC2"/>
        <w:tabs>
          <w:tab w:val="right" w:leader="dot" w:pos="7088"/>
        </w:tabs>
        <w:rPr>
          <w:noProof/>
        </w:rPr>
      </w:pPr>
      <w:r>
        <w:rPr>
          <w:noProof/>
        </w:rPr>
        <w:t>Part 4 — Other matters prescribed for the purposes of specified provisions of the Act</w:t>
      </w:r>
    </w:p>
    <w:p>
      <w:pPr>
        <w:pStyle w:val="TOC4"/>
        <w:rPr>
          <w:noProof/>
        </w:rPr>
      </w:pPr>
      <w:r>
        <w:rPr>
          <w:noProof/>
        </w:rPr>
        <w:t>31</w:t>
      </w:r>
      <w:r>
        <w:rPr>
          <w:noProof/>
          <w:snapToGrid w:val="0"/>
        </w:rPr>
        <w:t>.</w:t>
      </w:r>
      <w:r>
        <w:rPr>
          <w:noProof/>
        </w:rPr>
        <w:tab/>
      </w:r>
      <w:r>
        <w:rPr>
          <w:noProof/>
          <w:snapToGrid w:val="0"/>
        </w:rPr>
        <w:t>Advice as to effect of proceedings and as to counselling and welfare facilities</w:t>
      </w:r>
      <w:r>
        <w:rPr>
          <w:noProof/>
        </w:rPr>
        <w:tab/>
      </w:r>
      <w:r>
        <w:rPr>
          <w:noProof/>
        </w:rPr>
        <w:fldChar w:fldCharType="begin"/>
      </w:r>
      <w:r>
        <w:rPr>
          <w:noProof/>
        </w:rPr>
        <w:instrText xml:space="preserve"> PAGEREF _Toc68065987 \h </w:instrText>
      </w:r>
      <w:r>
        <w:rPr>
          <w:noProof/>
        </w:rPr>
      </w:r>
      <w:r>
        <w:rPr>
          <w:noProof/>
        </w:rPr>
        <w:fldChar w:fldCharType="separate"/>
      </w:r>
      <w:r>
        <w:rPr>
          <w:noProof/>
        </w:rPr>
        <w:t>17</w:t>
      </w:r>
      <w:r>
        <w:rPr>
          <w:noProof/>
        </w:rPr>
        <w:fldChar w:fldCharType="end"/>
      </w:r>
    </w:p>
    <w:p>
      <w:pPr>
        <w:pStyle w:val="TOC4"/>
        <w:rPr>
          <w:noProof/>
        </w:rPr>
      </w:pPr>
      <w:r>
        <w:rPr>
          <w:noProof/>
        </w:rPr>
        <w:t>32</w:t>
      </w:r>
      <w:r>
        <w:rPr>
          <w:noProof/>
          <w:snapToGrid w:val="0"/>
        </w:rPr>
        <w:t>.</w:t>
      </w:r>
      <w:r>
        <w:rPr>
          <w:noProof/>
        </w:rPr>
        <w:tab/>
      </w:r>
      <w:r>
        <w:rPr>
          <w:noProof/>
          <w:snapToGrid w:val="0"/>
        </w:rPr>
        <w:t>Advice as to mediation facilities</w:t>
      </w:r>
      <w:r>
        <w:rPr>
          <w:noProof/>
        </w:rPr>
        <w:tab/>
      </w:r>
      <w:r>
        <w:rPr>
          <w:noProof/>
        </w:rPr>
        <w:fldChar w:fldCharType="begin"/>
      </w:r>
      <w:r>
        <w:rPr>
          <w:noProof/>
        </w:rPr>
        <w:instrText xml:space="preserve"> PAGEREF _Toc68065988 \h </w:instrText>
      </w:r>
      <w:r>
        <w:rPr>
          <w:noProof/>
        </w:rPr>
      </w:r>
      <w:r>
        <w:rPr>
          <w:noProof/>
        </w:rPr>
        <w:fldChar w:fldCharType="separate"/>
      </w:r>
      <w:r>
        <w:rPr>
          <w:noProof/>
        </w:rPr>
        <w:t>17</w:t>
      </w:r>
      <w:r>
        <w:rPr>
          <w:noProof/>
        </w:rPr>
        <w:fldChar w:fldCharType="end"/>
      </w:r>
    </w:p>
    <w:p>
      <w:pPr>
        <w:pStyle w:val="TOC4"/>
        <w:rPr>
          <w:noProof/>
        </w:rPr>
      </w:pPr>
      <w:r>
        <w:rPr>
          <w:noProof/>
        </w:rPr>
        <w:t>33</w:t>
      </w:r>
      <w:r>
        <w:rPr>
          <w:noProof/>
          <w:snapToGrid w:val="0"/>
        </w:rPr>
        <w:t>.</w:t>
      </w:r>
      <w:r>
        <w:rPr>
          <w:noProof/>
        </w:rPr>
        <w:tab/>
      </w:r>
      <w:r>
        <w:rPr>
          <w:noProof/>
          <w:snapToGrid w:val="0"/>
        </w:rPr>
        <w:t>Registration of State child orders</w:t>
      </w:r>
      <w:r>
        <w:rPr>
          <w:noProof/>
        </w:rPr>
        <w:tab/>
      </w:r>
      <w:r>
        <w:rPr>
          <w:noProof/>
        </w:rPr>
        <w:fldChar w:fldCharType="begin"/>
      </w:r>
      <w:r>
        <w:rPr>
          <w:noProof/>
        </w:rPr>
        <w:instrText xml:space="preserve"> PAGEREF _Toc68065989 \h </w:instrText>
      </w:r>
      <w:r>
        <w:rPr>
          <w:noProof/>
        </w:rPr>
      </w:r>
      <w:r>
        <w:rPr>
          <w:noProof/>
        </w:rPr>
        <w:fldChar w:fldCharType="separate"/>
      </w:r>
      <w:r>
        <w:rPr>
          <w:noProof/>
        </w:rPr>
        <w:t>17</w:t>
      </w:r>
      <w:r>
        <w:rPr>
          <w:noProof/>
        </w:rPr>
        <w:fldChar w:fldCharType="end"/>
      </w:r>
    </w:p>
    <w:p>
      <w:pPr>
        <w:pStyle w:val="TOC4"/>
        <w:rPr>
          <w:noProof/>
        </w:rPr>
      </w:pPr>
      <w:r>
        <w:rPr>
          <w:noProof/>
        </w:rPr>
        <w:t>34</w:t>
      </w:r>
      <w:r>
        <w:rPr>
          <w:noProof/>
          <w:snapToGrid w:val="0"/>
        </w:rPr>
        <w:t>.</w:t>
      </w:r>
      <w:r>
        <w:rPr>
          <w:noProof/>
        </w:rPr>
        <w:tab/>
      </w:r>
      <w:r>
        <w:rPr>
          <w:noProof/>
          <w:snapToGrid w:val="0"/>
        </w:rPr>
        <w:t>Proceedings in chambers — s. 212(5)</w:t>
      </w:r>
      <w:r>
        <w:rPr>
          <w:noProof/>
        </w:rPr>
        <w:tab/>
      </w:r>
      <w:r>
        <w:rPr>
          <w:noProof/>
        </w:rPr>
        <w:fldChar w:fldCharType="begin"/>
      </w:r>
      <w:r>
        <w:rPr>
          <w:noProof/>
        </w:rPr>
        <w:instrText xml:space="preserve"> PAGEREF _Toc68065990 \h </w:instrText>
      </w:r>
      <w:r>
        <w:rPr>
          <w:noProof/>
        </w:rPr>
      </w:r>
      <w:r>
        <w:rPr>
          <w:noProof/>
        </w:rPr>
        <w:fldChar w:fldCharType="separate"/>
      </w:r>
      <w:r>
        <w:rPr>
          <w:noProof/>
        </w:rPr>
        <w:t>17</w:t>
      </w:r>
      <w:r>
        <w:rPr>
          <w:noProof/>
        </w:rPr>
        <w:fldChar w:fldCharType="end"/>
      </w:r>
    </w:p>
    <w:p>
      <w:pPr>
        <w:pStyle w:val="TOC4"/>
        <w:rPr>
          <w:noProof/>
        </w:rPr>
      </w:pPr>
      <w:r>
        <w:rPr>
          <w:noProof/>
        </w:rPr>
        <w:t>35.</w:t>
      </w:r>
      <w:r>
        <w:rPr>
          <w:noProof/>
        </w:rPr>
        <w:tab/>
        <w:t>Notification to spouse — s. 205ZB(3)</w:t>
      </w:r>
      <w:r>
        <w:rPr>
          <w:noProof/>
        </w:rPr>
        <w:tab/>
      </w:r>
      <w:r>
        <w:rPr>
          <w:noProof/>
        </w:rPr>
        <w:fldChar w:fldCharType="begin"/>
      </w:r>
      <w:r>
        <w:rPr>
          <w:noProof/>
        </w:rPr>
        <w:instrText xml:space="preserve"> PAGEREF _Toc68065991 \h </w:instrText>
      </w:r>
      <w:r>
        <w:rPr>
          <w:noProof/>
        </w:rPr>
      </w:r>
      <w:r>
        <w:rPr>
          <w:noProof/>
        </w:rPr>
        <w:fldChar w:fldCharType="separate"/>
      </w:r>
      <w:r>
        <w:rPr>
          <w:noProof/>
        </w:rPr>
        <w:t>18</w:t>
      </w:r>
      <w:r>
        <w:rPr>
          <w:noProof/>
        </w:rPr>
        <w:fldChar w:fldCharType="end"/>
      </w:r>
    </w:p>
    <w:p>
      <w:pPr>
        <w:pStyle w:val="TOC4"/>
        <w:rPr>
          <w:noProof/>
        </w:rPr>
      </w:pPr>
      <w:r>
        <w:rPr>
          <w:noProof/>
        </w:rPr>
        <w:t>36.</w:t>
      </w:r>
      <w:r>
        <w:rPr>
          <w:noProof/>
        </w:rPr>
        <w:tab/>
        <w:t>Certain evidential statements</w:t>
      </w:r>
      <w:r>
        <w:rPr>
          <w:noProof/>
        </w:rPr>
        <w:tab/>
      </w:r>
      <w:r>
        <w:rPr>
          <w:noProof/>
        </w:rPr>
        <w:fldChar w:fldCharType="begin"/>
      </w:r>
      <w:r>
        <w:rPr>
          <w:noProof/>
        </w:rPr>
        <w:instrText xml:space="preserve"> PAGEREF _Toc68065992 \h </w:instrText>
      </w:r>
      <w:r>
        <w:rPr>
          <w:noProof/>
        </w:rPr>
      </w:r>
      <w:r>
        <w:rPr>
          <w:noProof/>
        </w:rPr>
        <w:fldChar w:fldCharType="separate"/>
      </w:r>
      <w:r>
        <w:rPr>
          <w:noProof/>
        </w:rPr>
        <w:t>18</w:t>
      </w:r>
      <w:r>
        <w:rPr>
          <w:noProof/>
        </w:rPr>
        <w:fldChar w:fldCharType="end"/>
      </w:r>
    </w:p>
    <w:p>
      <w:pPr>
        <w:pStyle w:val="TOC2"/>
        <w:tabs>
          <w:tab w:val="right" w:leader="dot" w:pos="708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_Toc68065993 \h </w:instrText>
      </w:r>
      <w:r>
        <w:rPr>
          <w:noProof/>
        </w:rPr>
      </w:r>
      <w:r>
        <w:rPr>
          <w:noProof/>
        </w:rPr>
        <w:fldChar w:fldCharType="separate"/>
      </w:r>
      <w:r>
        <w:rPr>
          <w:noProof/>
        </w:rPr>
        <w:t>20</w:t>
      </w:r>
      <w:r>
        <w:rPr>
          <w:noProof/>
        </w:rP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4" w:bottom="3544" w:left="2404" w:header="720" w:footer="3380" w:gutter="0"/>
          <w:pgNumType w:fmt="lowerRoman" w:start="1"/>
          <w:cols w:space="720"/>
          <w:noEndnote/>
          <w:titlePg/>
          <w:docGrid w:linePitch="326"/>
        </w:sectPr>
      </w:pPr>
    </w:p>
    <w:p>
      <w:pPr>
        <w:suppressLineNumbers/>
        <w:ind w:left="2268" w:right="2268"/>
        <w:jc w:val="center"/>
        <w:rPr>
          <w:b/>
        </w:rPr>
      </w:pPr>
    </w:p>
    <w:p>
      <w:pPr>
        <w:pStyle w:val="PrincipalActReg"/>
      </w:pPr>
      <w:r>
        <w:t>Family Court Act 1997</w:t>
      </w:r>
    </w:p>
    <w:p>
      <w:pPr>
        <w:pStyle w:val="NameofActReg"/>
      </w:pPr>
      <w:r>
        <w:t>Family Court Rules 1998</w:t>
      </w:r>
    </w:p>
    <w:p>
      <w:pPr>
        <w:pStyle w:val="MadeBy"/>
      </w:pPr>
      <w:r>
        <w:t>Made by the the Judges under s. 244.</w:t>
      </w:r>
    </w:p>
    <w:p>
      <w:pPr>
        <w:pStyle w:val="Heading2"/>
        <w:pageBreakBefore w:val="0"/>
        <w:spacing w:before="36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2" w:name="_Toc423332722"/>
      <w:bookmarkStart w:id="3" w:name="_Toc425219441"/>
      <w:bookmarkStart w:id="4" w:name="_Toc426249308"/>
      <w:bookmarkStart w:id="5" w:name="_Toc432480629"/>
      <w:bookmarkStart w:id="6" w:name="_Toc26253884"/>
      <w:bookmarkStart w:id="7" w:name="_Toc68065959"/>
      <w:r>
        <w:rPr>
          <w:rStyle w:val="CharSectno"/>
        </w:rPr>
        <w:t>1</w:t>
      </w:r>
      <w:r>
        <w:t>.</w:t>
      </w:r>
      <w:r>
        <w:tab/>
        <w:t>Citation</w:t>
      </w:r>
      <w:bookmarkEnd w:id="2"/>
      <w:bookmarkEnd w:id="3"/>
      <w:bookmarkEnd w:id="4"/>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rules</w:t>
      </w:r>
      <w:r>
        <w:t xml:space="preserve"> may be cited as the </w:t>
      </w:r>
      <w:r>
        <w:rPr>
          <w:i/>
        </w:rPr>
        <w:t>Family Court Rules 1998.</w:t>
      </w:r>
    </w:p>
    <w:p>
      <w:pPr>
        <w:pStyle w:val="Heading5"/>
      </w:pPr>
      <w:bookmarkStart w:id="9" w:name="_Toc430771414"/>
      <w:bookmarkStart w:id="10" w:name="_Toc432480630"/>
      <w:bookmarkStart w:id="11" w:name="_Toc26253885"/>
      <w:bookmarkStart w:id="12" w:name="_Toc68065960"/>
      <w:r>
        <w:rPr>
          <w:rStyle w:val="CharSectno"/>
        </w:rPr>
        <w:t>2</w:t>
      </w:r>
      <w:r>
        <w:rPr>
          <w:snapToGrid w:val="0"/>
        </w:rPr>
        <w:t>.</w:t>
      </w:r>
      <w:r>
        <w:rPr>
          <w:snapToGrid w:val="0"/>
        </w:rPr>
        <w:tab/>
        <w:t>Interpretation</w:t>
      </w:r>
      <w:bookmarkEnd w:id="9"/>
      <w:bookmarkEnd w:id="10"/>
      <w:bookmarkEnd w:id="11"/>
      <w:bookmarkEnd w:id="12"/>
    </w:p>
    <w:p>
      <w:pPr>
        <w:pStyle w:val="Subsection"/>
        <w:rPr>
          <w:snapToGrid w:val="0"/>
        </w:rPr>
      </w:pPr>
      <w:r>
        <w:tab/>
      </w:r>
      <w:r>
        <w:tab/>
      </w:r>
      <w:r>
        <w:rPr>
          <w:snapToGrid w:val="0"/>
        </w:rPr>
        <w:t>In these rules, unless the contrary intention appears — </w:t>
      </w:r>
    </w:p>
    <w:p>
      <w:pPr>
        <w:pStyle w:val="Defstart"/>
      </w:pPr>
      <w:r>
        <w:tab/>
      </w:r>
      <w:r>
        <w:rPr>
          <w:b/>
        </w:rPr>
        <w:t>“</w:t>
      </w:r>
      <w:r>
        <w:rPr>
          <w:rStyle w:val="CharDefText"/>
        </w:rPr>
        <w:t>court</w:t>
      </w:r>
      <w:r>
        <w:rPr>
          <w:b/>
        </w:rPr>
        <w:t>”</w:t>
      </w:r>
      <w:r>
        <w:t xml:space="preserve"> has the meaning referred to in section 8 of the Act;</w:t>
      </w:r>
    </w:p>
    <w:p>
      <w:pPr>
        <w:pStyle w:val="Defstart"/>
      </w:pPr>
      <w:r>
        <w:rPr>
          <w:b/>
        </w:rPr>
        <w:tab/>
        <w:t>“</w:t>
      </w:r>
      <w:r>
        <w:rPr>
          <w:rStyle w:val="CharDefText"/>
        </w:rPr>
        <w:t>decree</w:t>
      </w:r>
      <w:r>
        <w:rPr>
          <w:b/>
        </w:rPr>
        <w:t xml:space="preserve">” </w:t>
      </w:r>
      <w:r>
        <w:t>has the same meaning as in section 211 of the Act;</w:t>
      </w:r>
    </w:p>
    <w:p>
      <w:pPr>
        <w:pStyle w:val="Defstart"/>
      </w:pPr>
      <w:r>
        <w:rPr>
          <w:b/>
        </w:rPr>
        <w:tab/>
      </w:r>
      <w:r>
        <w:rPr>
          <w:b/>
          <w:bCs/>
        </w:rPr>
        <w:t>“</w:t>
      </w:r>
      <w:r>
        <w:rPr>
          <w:rStyle w:val="CharDefText"/>
        </w:rPr>
        <w:t>Family Law Regulations</w:t>
      </w:r>
      <w:r>
        <w:rPr>
          <w:b/>
        </w:rPr>
        <w:t>”</w:t>
      </w:r>
      <w:r>
        <w:t xml:space="preserve"> means the </w:t>
      </w:r>
      <w:r>
        <w:rPr>
          <w:i/>
        </w:rPr>
        <w:t>Family Law Regulations 1984</w:t>
      </w:r>
      <w:r>
        <w:t xml:space="preserve"> of the Commonwealth;</w:t>
      </w:r>
    </w:p>
    <w:p>
      <w:pPr>
        <w:pStyle w:val="Defstart"/>
      </w:pPr>
      <w:r>
        <w:rPr>
          <w:b/>
        </w:rPr>
        <w:tab/>
        <w:t>“</w:t>
      </w:r>
      <w:r>
        <w:rPr>
          <w:rStyle w:val="CharDefText"/>
        </w:rPr>
        <w:t>Family Law Rules</w:t>
      </w:r>
      <w:r>
        <w:rPr>
          <w:b/>
        </w:rPr>
        <w:t>”</w:t>
      </w:r>
      <w:r>
        <w:t xml:space="preserve"> means the </w:t>
      </w:r>
      <w:r>
        <w:rPr>
          <w:i/>
        </w:rPr>
        <w:t>Family Law Rule 2004</w:t>
      </w:r>
      <w:r>
        <w:t xml:space="preserve"> of the Commonwealth;</w:t>
      </w:r>
    </w:p>
    <w:p>
      <w:pPr>
        <w:pStyle w:val="Defstart"/>
      </w:pPr>
      <w:r>
        <w:tab/>
      </w:r>
      <w:r>
        <w:rPr>
          <w:b/>
        </w:rPr>
        <w:t>“</w:t>
      </w:r>
      <w:r>
        <w:rPr>
          <w:rStyle w:val="CharDefText"/>
        </w:rPr>
        <w:t>section</w:t>
      </w:r>
      <w:r>
        <w:rPr>
          <w:b/>
        </w:rPr>
        <w:t>”</w:t>
      </w:r>
      <w:r>
        <w:t xml:space="preserve"> means section of the Act.</w:t>
      </w:r>
    </w:p>
    <w:p>
      <w:pPr>
        <w:pStyle w:val="Footnotesection"/>
      </w:pPr>
      <w:r>
        <w:tab/>
        <w:t>[Rule 2 amended in Gazette 26 Mar 2004 p. 1051-2.]</w:t>
      </w:r>
    </w:p>
    <w:p>
      <w:pPr>
        <w:pStyle w:val="Heading5"/>
        <w:rPr>
          <w:snapToGrid w:val="0"/>
        </w:rPr>
      </w:pPr>
      <w:bookmarkStart w:id="13" w:name="_Hlt431183152"/>
      <w:bookmarkStart w:id="14" w:name="_Toc430771415"/>
      <w:bookmarkStart w:id="15" w:name="_Toc432480631"/>
      <w:bookmarkStart w:id="16" w:name="_Toc26253886"/>
      <w:bookmarkStart w:id="17" w:name="_Toc68065961"/>
      <w:bookmarkEnd w:id="13"/>
      <w:r>
        <w:rPr>
          <w:rStyle w:val="CharSectno"/>
        </w:rPr>
        <w:t>3</w:t>
      </w:r>
      <w:r>
        <w:rPr>
          <w:snapToGrid w:val="0"/>
        </w:rPr>
        <w:t>.</w:t>
      </w:r>
      <w:r>
        <w:rPr>
          <w:snapToGrid w:val="0"/>
        </w:rPr>
        <w:tab/>
        <w:t>Dispensing with compliance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rPr>
          <w:snapToGrid w:val="0"/>
        </w:rPr>
      </w:pPr>
      <w:bookmarkStart w:id="18" w:name="_Toc430771416"/>
      <w:bookmarkStart w:id="19" w:name="_Toc432480632"/>
      <w:bookmarkStart w:id="20" w:name="_Toc26253887"/>
      <w:bookmarkStart w:id="21" w:name="_Toc68065962"/>
      <w:r>
        <w:rPr>
          <w:rStyle w:val="CharSectno"/>
        </w:rPr>
        <w:t>4</w:t>
      </w:r>
      <w:r>
        <w:rPr>
          <w:snapToGrid w:val="0"/>
        </w:rPr>
        <w:t>.</w:t>
      </w:r>
      <w:r>
        <w:rPr>
          <w:snapToGrid w:val="0"/>
        </w:rPr>
        <w:tab/>
        <w:t>Repeal</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w:t>
      </w:r>
      <w:r>
        <w:rPr>
          <w:i/>
          <w:snapToGrid w:val="0"/>
        </w:rPr>
        <w:t>Family Court of Western Australia Rules 1988</w:t>
      </w:r>
      <w:r>
        <w:rPr>
          <w:snapToGrid w:val="0"/>
        </w:rPr>
        <w:t xml:space="preserve"> are repealed.</w:t>
      </w:r>
    </w:p>
    <w:p>
      <w:pPr>
        <w:pStyle w:val="Heading2"/>
      </w:pPr>
      <w:r>
        <w:rPr>
          <w:rStyle w:val="CharPartNo"/>
        </w:rPr>
        <w:t>Part 2</w:t>
      </w:r>
      <w:r>
        <w:t xml:space="preserve"> — </w:t>
      </w:r>
      <w:r>
        <w:rPr>
          <w:rStyle w:val="CharPartText"/>
        </w:rPr>
        <w:t>General</w:t>
      </w:r>
    </w:p>
    <w:p>
      <w:pPr>
        <w:pStyle w:val="Heading3"/>
      </w:pPr>
      <w:r>
        <w:rPr>
          <w:rStyle w:val="CharDivNo"/>
        </w:rPr>
        <w:t>Division 1</w:t>
      </w:r>
      <w:r>
        <w:t xml:space="preserve"> — </w:t>
      </w:r>
      <w:r>
        <w:rPr>
          <w:rStyle w:val="CharDivText"/>
        </w:rPr>
        <w:t>General</w:t>
      </w:r>
    </w:p>
    <w:p>
      <w:pPr>
        <w:pStyle w:val="Heading5"/>
        <w:rPr>
          <w:snapToGrid w:val="0"/>
        </w:rPr>
      </w:pPr>
      <w:bookmarkStart w:id="22" w:name="_Toc430771417"/>
      <w:bookmarkStart w:id="23" w:name="_Toc432480633"/>
      <w:bookmarkStart w:id="24" w:name="_Toc26253888"/>
      <w:bookmarkStart w:id="25" w:name="_Toc68065963"/>
      <w:r>
        <w:rPr>
          <w:rStyle w:val="CharSectno"/>
        </w:rPr>
        <w:t>5</w:t>
      </w:r>
      <w:r>
        <w:rPr>
          <w:snapToGrid w:val="0"/>
        </w:rPr>
        <w:t>.</w:t>
      </w:r>
      <w:r>
        <w:rPr>
          <w:snapToGrid w:val="0"/>
        </w:rPr>
        <w:tab/>
        <w:t>Seal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26" w:name="_Toc430771418"/>
      <w:bookmarkStart w:id="27" w:name="_Toc432480634"/>
      <w:bookmarkStart w:id="28" w:name="_Toc26253889"/>
      <w:bookmarkStart w:id="29" w:name="_Toc68065964"/>
      <w:r>
        <w:rPr>
          <w:rStyle w:val="CharSectno"/>
        </w:rPr>
        <w:t>6</w:t>
      </w:r>
      <w:r>
        <w:rPr>
          <w:snapToGrid w:val="0"/>
        </w:rPr>
        <w:t>.</w:t>
      </w:r>
      <w:r>
        <w:rPr>
          <w:snapToGrid w:val="0"/>
        </w:rPr>
        <w:tab/>
        <w:t>Sittings and registry hours</w:t>
      </w:r>
      <w:bookmarkEnd w:id="26"/>
      <w:bookmarkEnd w:id="27"/>
      <w:bookmarkEnd w:id="28"/>
      <w:bookmarkEnd w:id="29"/>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There are to be no Court vacations but the Court is not to sit on Saturdays, Sundays or public service holidays unless the Judge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30" w:name="_Toc430771419"/>
      <w:bookmarkStart w:id="31" w:name="_Toc432480635"/>
      <w:bookmarkStart w:id="32" w:name="_Toc26253890"/>
      <w:bookmarkStart w:id="33" w:name="_Toc68065965"/>
      <w:r>
        <w:rPr>
          <w:rStyle w:val="CharSectno"/>
        </w:rPr>
        <w:t>7</w:t>
      </w:r>
      <w:r>
        <w:rPr>
          <w:snapToGrid w:val="0"/>
        </w:rPr>
        <w:t>.</w:t>
      </w:r>
      <w:r>
        <w:rPr>
          <w:snapToGrid w:val="0"/>
        </w:rPr>
        <w:tab/>
        <w:t>Oaths and affirmations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34" w:name="_Toc430771420"/>
      <w:bookmarkStart w:id="35" w:name="_Toc432480636"/>
      <w:bookmarkStart w:id="36" w:name="_Toc26253891"/>
      <w:bookmarkStart w:id="37" w:name="_Toc68065966"/>
      <w:r>
        <w:rPr>
          <w:rStyle w:val="CharSectno"/>
        </w:rPr>
        <w:t>8</w:t>
      </w:r>
      <w:r>
        <w:rPr>
          <w:snapToGrid w:val="0"/>
        </w:rPr>
        <w:t>.</w:t>
      </w:r>
      <w:r>
        <w:rPr>
          <w:snapToGrid w:val="0"/>
        </w:rPr>
        <w:tab/>
        <w:t>Records, registers and indexes</w:t>
      </w:r>
      <w:bookmarkEnd w:id="34"/>
      <w:bookmarkEnd w:id="35"/>
      <w:bookmarkEnd w:id="36"/>
      <w:bookmarkEnd w:id="37"/>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38" w:name="_Toc430771421"/>
      <w:bookmarkStart w:id="39" w:name="_Toc432480637"/>
      <w:bookmarkStart w:id="40" w:name="_Toc26253892"/>
      <w:bookmarkStart w:id="41" w:name="_Toc68065967"/>
      <w:r>
        <w:rPr>
          <w:rStyle w:val="CharSectno"/>
        </w:rPr>
        <w:t>9</w:t>
      </w:r>
      <w:r>
        <w:rPr>
          <w:snapToGrid w:val="0"/>
        </w:rPr>
        <w:t>.</w:t>
      </w:r>
      <w:r>
        <w:rPr>
          <w:snapToGrid w:val="0"/>
        </w:rPr>
        <w:tab/>
        <w:t>Affidavits</w:t>
      </w:r>
      <w:bookmarkEnd w:id="38"/>
      <w:bookmarkEnd w:id="39"/>
      <w:bookmarkEnd w:id="40"/>
      <w:bookmarkEnd w:id="41"/>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42" w:name="_Toc430771422"/>
      <w:bookmarkStart w:id="43" w:name="_Toc432480638"/>
      <w:bookmarkStart w:id="44" w:name="_Toc26253893"/>
      <w:bookmarkStart w:id="45" w:name="_Toc68065968"/>
      <w:r>
        <w:rPr>
          <w:rStyle w:val="CharSectno"/>
        </w:rPr>
        <w:t>10</w:t>
      </w:r>
      <w:r>
        <w:rPr>
          <w:snapToGrid w:val="0"/>
        </w:rPr>
        <w:t>.</w:t>
      </w:r>
      <w:r>
        <w:rPr>
          <w:snapToGrid w:val="0"/>
        </w:rPr>
        <w:tab/>
        <w:t>Recognizances</w:t>
      </w:r>
      <w:bookmarkEnd w:id="42"/>
      <w:bookmarkEnd w:id="43"/>
      <w:bookmarkEnd w:id="44"/>
      <w:bookmarkEnd w:id="45"/>
    </w:p>
    <w:p>
      <w:pPr>
        <w:pStyle w:val="Subsection"/>
      </w:pPr>
      <w:r>
        <w:tab/>
      </w:r>
      <w:r>
        <w:tab/>
        <w:t>A recognizance required to be filed or used in a court can only be executed before a Judge, the Principal Registrar, a Registrar, a Deputy Registrar, the Marshal, the Collector of Maintenance, a magistrate, a justice of the peace, the clerk of a court of summary jurisdiction or any other person allowed by a written law or the Family Law Rules to take a recognizance.</w:t>
      </w:r>
    </w:p>
    <w:p>
      <w:pPr>
        <w:pStyle w:val="Heading5"/>
        <w:rPr>
          <w:snapToGrid w:val="0"/>
        </w:rPr>
      </w:pPr>
      <w:bookmarkStart w:id="46" w:name="_Toc430771423"/>
      <w:bookmarkStart w:id="47" w:name="_Toc432480639"/>
      <w:bookmarkStart w:id="48" w:name="_Toc26253894"/>
      <w:bookmarkStart w:id="49" w:name="_Toc68065969"/>
      <w:r>
        <w:rPr>
          <w:rStyle w:val="CharSectno"/>
        </w:rPr>
        <w:t>11</w:t>
      </w:r>
      <w:r>
        <w:rPr>
          <w:snapToGrid w:val="0"/>
        </w:rPr>
        <w:t>.</w:t>
      </w:r>
      <w:r>
        <w:rPr>
          <w:snapToGrid w:val="0"/>
        </w:rPr>
        <w:tab/>
        <w:t>Costs where court has no jurisdiction</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r>
        <w:rPr>
          <w:rStyle w:val="CharDivNo"/>
        </w:rPr>
        <w:t>Division 2</w:t>
      </w:r>
      <w:r>
        <w:rPr>
          <w:snapToGrid w:val="0"/>
        </w:rPr>
        <w:t xml:space="preserve"> — </w:t>
      </w:r>
      <w:r>
        <w:rPr>
          <w:rStyle w:val="CharDivText"/>
        </w:rPr>
        <w:t>Adoption of Family Law Rules</w:t>
      </w:r>
    </w:p>
    <w:p>
      <w:pPr>
        <w:pStyle w:val="Heading5"/>
      </w:pPr>
      <w:bookmarkStart w:id="50" w:name="_Toc430771424"/>
      <w:bookmarkStart w:id="51" w:name="_Toc432480640"/>
      <w:bookmarkStart w:id="52" w:name="_Toc26253895"/>
      <w:bookmarkStart w:id="53" w:name="_Toc68065970"/>
      <w:r>
        <w:rPr>
          <w:rStyle w:val="CharSectno"/>
        </w:rPr>
        <w:t>12</w:t>
      </w:r>
      <w:r>
        <w:rPr>
          <w:snapToGrid w:val="0"/>
        </w:rPr>
        <w:t>.</w:t>
      </w:r>
      <w:r>
        <w:rPr>
          <w:snapToGrid w:val="0"/>
        </w:rPr>
        <w:tab/>
        <w:t>Adoption of certain Family Law Rules for federal jurisdiction</w:t>
      </w:r>
      <w:bookmarkEnd w:id="50"/>
      <w:bookmarkEnd w:id="51"/>
      <w:bookmarkEnd w:id="52"/>
      <w:bookmarkEnd w:id="53"/>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w:t>
            </w:r>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t>repealed]</w:t>
      </w:r>
    </w:p>
    <w:p>
      <w:pPr>
        <w:pStyle w:val="Subsection"/>
      </w:pPr>
      <w:r>
        <w:rPr>
          <w:snapToGrid w:val="0"/>
        </w:rPr>
        <w:tab/>
        <w:t>(3)</w:t>
      </w:r>
      <w:r>
        <w:rPr>
          <w:snapToGrid w:val="0"/>
        </w:rPr>
        <w:tab/>
        <w:t xml:space="preserve">A </w:t>
      </w:r>
      <w:r>
        <w:t>Family Law Rule adopted under this Division is adopted and applies in the form in which it is in force from time to time.</w:t>
      </w:r>
    </w:p>
    <w:p>
      <w:pPr>
        <w:pStyle w:val="Footnotesection"/>
      </w:pPr>
      <w:r>
        <w:tab/>
        <w:t>[Rule 12 amended in Gazette 26 Mar 2004 p. 1052.]</w:t>
      </w:r>
    </w:p>
    <w:p>
      <w:pPr>
        <w:pStyle w:val="Heading5"/>
        <w:rPr>
          <w:snapToGrid w:val="0"/>
        </w:rPr>
      </w:pPr>
      <w:bookmarkStart w:id="54" w:name="_Toc430771425"/>
      <w:bookmarkStart w:id="55" w:name="_Toc432480641"/>
      <w:bookmarkStart w:id="56" w:name="_Toc26253896"/>
      <w:bookmarkStart w:id="57" w:name="_Toc68065971"/>
      <w:r>
        <w:rPr>
          <w:rStyle w:val="CharSectno"/>
        </w:rPr>
        <w:t>13</w:t>
      </w:r>
      <w:r>
        <w:rPr>
          <w:snapToGrid w:val="0"/>
        </w:rPr>
        <w:t>.</w:t>
      </w:r>
      <w:r>
        <w:rPr>
          <w:snapToGrid w:val="0"/>
        </w:rPr>
        <w:tab/>
        <w:t>Adoption of certain Family Law Rules for non-federal jurisdictions</w:t>
      </w:r>
      <w:bookmarkEnd w:id="54"/>
      <w:bookmarkEnd w:id="55"/>
      <w:bookmarkEnd w:id="56"/>
      <w:bookmarkEnd w:id="57"/>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(25)(1)(d)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Ednotepara"/>
        <w:rPr>
          <w:snapToGrid w:val="0"/>
        </w:rPr>
      </w:pPr>
      <w:r>
        <w:rPr>
          <w:snapToGrid w:val="0"/>
        </w:rPr>
        <w:tab/>
        <w:t>[(k)-(m)</w:t>
      </w:r>
      <w:r>
        <w:rPr>
          <w:snapToGrid w:val="0"/>
        </w:rPr>
        <w:tab/>
        <w:t>deleted]</w:t>
      </w:r>
    </w:p>
    <w:p>
      <w:pPr>
        <w:pStyle w:val="Subsection"/>
      </w:pPr>
      <w:r>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 in Gazette 26 Mar 2004 p. 1053-5.]</w:t>
      </w:r>
    </w:p>
    <w:p>
      <w:pPr>
        <w:pStyle w:val="Heading5"/>
      </w:pPr>
      <w:bookmarkStart w:id="58" w:name="_Toc68065972"/>
      <w:r>
        <w:rPr>
          <w:rStyle w:val="CharSectno"/>
        </w:rPr>
        <w:t>13A</w:t>
      </w:r>
      <w:r>
        <w:t>.</w:t>
      </w:r>
      <w:r>
        <w:tab/>
        <w:t>Specific Family Law Rules that are adopted and applied in a modified form</w:t>
      </w:r>
      <w:bookmarkEnd w:id="58"/>
    </w:p>
    <w:p>
      <w:pPr>
        <w:pStyle w:val="Subsection"/>
      </w:pPr>
      <w:r>
        <w:tab/>
        <w:t>(1)</w:t>
      </w:r>
      <w:r>
        <w:tab/>
        <w:t>A Family Law Rule that is adopted and applied in a subrule of this Rule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Subsection"/>
      </w:pPr>
      <w:r>
        <w:tab/>
        <w:t>(4)</w:t>
      </w:r>
      <w:r>
        <w:tab/>
        <w:t>Family Law Rule 4.03 is to be treated as providing that for an application seeking orders for child support or maintenance only the Registry Manager is to fix a date for hearing as near as practicable to, but not earlier than, 28 days after the date on which the application is filed.</w:t>
      </w:r>
    </w:p>
    <w:p>
      <w:pPr>
        <w:pStyle w:val="Subsection"/>
      </w:pPr>
      <w:r>
        <w:tab/>
        <w:t>(5)</w:t>
      </w:r>
      <w:r>
        <w:tab/>
        <w:t>In Family Law Rule 11.02, a “procedural order” is to be treated as including a procedural direction.</w:t>
      </w:r>
    </w:p>
    <w:p>
      <w:pPr>
        <w:pStyle w:val="Subsection"/>
      </w:pPr>
      <w:r>
        <w:tab/>
        <w:t>(6)</w:t>
      </w:r>
      <w:r>
        <w:tab/>
        <w:t xml:space="preserve">Family Law Rule 11.18 and 11.19 apply to applications to transfer a case between different sitting locations of the Court. </w:t>
      </w:r>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Family Law Rule 16.12(3) is to be treated as providing that a trial date may be vacated in exceptional circumstances by order of a Judge, or by a Magistrate or Registrar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Family Law Rule 19.40 is to be treated as not applying to a case conducted before a Magistrate who is also the Principal Registrar, a Registrar or a Deputy Registrar of the Court.</w:t>
      </w:r>
    </w:p>
    <w:p>
      <w:pPr>
        <w:pStyle w:val="Subsection"/>
      </w:pPr>
      <w:r>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 in Gazette 26 Mar 2004 p. 1055-7.]</w:t>
      </w:r>
    </w:p>
    <w:p>
      <w:pPr>
        <w:pStyle w:val="Heading3"/>
      </w:pPr>
      <w:r>
        <w:rPr>
          <w:rStyle w:val="CharDivNo"/>
        </w:rPr>
        <w:t>Division 3</w:t>
      </w:r>
      <w:r>
        <w:t xml:space="preserve"> — </w:t>
      </w:r>
      <w:r>
        <w:rPr>
          <w:rStyle w:val="CharDivText"/>
        </w:rPr>
        <w:t>Accounting and enforcement</w:t>
      </w:r>
    </w:p>
    <w:p>
      <w:pPr>
        <w:pStyle w:val="Heading5"/>
      </w:pPr>
      <w:bookmarkStart w:id="59" w:name="_Toc430771426"/>
      <w:bookmarkStart w:id="60" w:name="_Toc432480642"/>
      <w:bookmarkStart w:id="61" w:name="_Toc26253897"/>
      <w:bookmarkStart w:id="62" w:name="_Toc68065973"/>
      <w:r>
        <w:rPr>
          <w:rStyle w:val="CharSectno"/>
        </w:rPr>
        <w:t>14</w:t>
      </w:r>
      <w:r>
        <w:t>.</w:t>
      </w:r>
      <w:r>
        <w:tab/>
        <w:t>Definition</w:t>
      </w:r>
      <w:bookmarkEnd w:id="59"/>
      <w:bookmarkEnd w:id="60"/>
      <w:bookmarkEnd w:id="61"/>
      <w:bookmarkEnd w:id="62"/>
    </w:p>
    <w:p>
      <w:pPr>
        <w:pStyle w:val="Subsection"/>
        <w:keepNext/>
        <w:keepLines/>
      </w:pPr>
      <w:r>
        <w:tab/>
      </w:r>
      <w:r>
        <w:tab/>
        <w:t>In this Division —</w:t>
      </w:r>
    </w:p>
    <w:p>
      <w:pPr>
        <w:pStyle w:val="Defstart"/>
      </w:pPr>
      <w:r>
        <w:tab/>
      </w:r>
      <w:r>
        <w:rPr>
          <w:b/>
        </w:rPr>
        <w:t>“</w:t>
      </w:r>
      <w:r>
        <w:rPr>
          <w:rStyle w:val="CharDefText"/>
        </w:rPr>
        <w:t>order</w:t>
      </w:r>
      <w:r>
        <w:rPr>
          <w:b/>
        </w:rPr>
        <w:t>”</w:t>
      </w:r>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Subsection"/>
      </w:pPr>
      <w:r>
        <w:tab/>
      </w:r>
      <w:r>
        <w:tab/>
        <w:t>and includes child maintenance provisions in a registered parenting plan within the meaning of the Act or the Family Law Act.</w:t>
      </w:r>
    </w:p>
    <w:p>
      <w:pPr>
        <w:pStyle w:val="Heading5"/>
        <w:keepNext w:val="0"/>
        <w:keepLines w:val="0"/>
      </w:pPr>
      <w:bookmarkStart w:id="63" w:name="_Toc430771427"/>
      <w:bookmarkStart w:id="64" w:name="_Toc432480643"/>
      <w:bookmarkStart w:id="65" w:name="_Toc26253898"/>
      <w:bookmarkStart w:id="66" w:name="_Toc68065974"/>
      <w:r>
        <w:rPr>
          <w:rStyle w:val="CharSectno"/>
        </w:rPr>
        <w:t>15</w:t>
      </w:r>
      <w:r>
        <w:t>.</w:t>
      </w:r>
      <w:r>
        <w:tab/>
        <w:t>Collector of Maintenance</w:t>
      </w:r>
      <w:bookmarkEnd w:id="63"/>
      <w:bookmarkEnd w:id="64"/>
      <w:bookmarkEnd w:id="65"/>
      <w:bookmarkEnd w:id="66"/>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tab/>
        <w:t>(b)</w:t>
      </w:r>
      <w:r>
        <w:tab/>
        <w:t>is to keep proper accounts as to payments due, and made, under an order.</w:t>
      </w:r>
    </w:p>
    <w:p>
      <w:pPr>
        <w:pStyle w:val="Heading5"/>
        <w:keepNext w:val="0"/>
        <w:keepLines w:val="0"/>
      </w:pPr>
      <w:bookmarkStart w:id="67" w:name="_Toc430771428"/>
      <w:bookmarkStart w:id="68" w:name="_Toc432480644"/>
      <w:bookmarkStart w:id="69" w:name="_Toc26253899"/>
      <w:bookmarkStart w:id="70" w:name="_Toc68065975"/>
      <w:r>
        <w:rPr>
          <w:rStyle w:val="CharSectno"/>
        </w:rPr>
        <w:t>16</w:t>
      </w:r>
      <w:r>
        <w:t>.</w:t>
      </w:r>
      <w:r>
        <w:tab/>
        <w:t>Accounting</w:t>
      </w:r>
      <w:bookmarkEnd w:id="67"/>
      <w:bookmarkEnd w:id="68"/>
      <w:bookmarkEnd w:id="69"/>
      <w:bookmarkEnd w:id="70"/>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71" w:name="_Toc430771429"/>
      <w:bookmarkStart w:id="72" w:name="_Toc432480645"/>
      <w:bookmarkStart w:id="73" w:name="_Toc26253900"/>
      <w:bookmarkStart w:id="74" w:name="_Toc68065976"/>
      <w:r>
        <w:rPr>
          <w:rStyle w:val="CharSectno"/>
        </w:rPr>
        <w:t>17</w:t>
      </w:r>
      <w:r>
        <w:t>.</w:t>
      </w:r>
      <w:r>
        <w:tab/>
        <w:t>Notice of election</w:t>
      </w:r>
      <w:bookmarkEnd w:id="71"/>
      <w:bookmarkEnd w:id="72"/>
      <w:bookmarkEnd w:id="73"/>
      <w:bookmarkEnd w:id="74"/>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75" w:name="_Toc430771430"/>
      <w:bookmarkStart w:id="76" w:name="_Toc432480646"/>
      <w:bookmarkStart w:id="77" w:name="_Toc26253901"/>
      <w:bookmarkStart w:id="78" w:name="_Toc68065977"/>
      <w:r>
        <w:rPr>
          <w:rStyle w:val="CharSectno"/>
        </w:rPr>
        <w:t>18</w:t>
      </w:r>
      <w:r>
        <w:t>.</w:t>
      </w:r>
      <w:r>
        <w:tab/>
        <w:t>Notice of withdrawal of election</w:t>
      </w:r>
      <w:bookmarkEnd w:id="75"/>
      <w:bookmarkEnd w:id="76"/>
      <w:bookmarkEnd w:id="77"/>
      <w:bookmarkEnd w:id="78"/>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The Collector of Maintenance or clerk referred to in rule 17(2) must cause notice of the withdrawal of the notice of election to be given to each person referred to in rule 17(3) and the provision specified in the notice of election is enforceable from the day of the notice of withdrawal, without the leave of any court.</w:t>
      </w:r>
    </w:p>
    <w:p>
      <w:pPr>
        <w:pStyle w:val="Heading5"/>
      </w:pPr>
      <w:bookmarkStart w:id="79" w:name="_Toc430771431"/>
      <w:bookmarkStart w:id="80" w:name="_Toc432480647"/>
      <w:bookmarkStart w:id="81" w:name="_Toc26253902"/>
      <w:bookmarkStart w:id="82" w:name="_Toc68065978"/>
      <w:r>
        <w:rPr>
          <w:rStyle w:val="CharSectno"/>
        </w:rPr>
        <w:t>19</w:t>
      </w:r>
      <w:r>
        <w:t>.</w:t>
      </w:r>
      <w:r>
        <w:tab/>
        <w:t>Duties of Collector of Maintenance or clerk as to enforcement</w:t>
      </w:r>
      <w:bookmarkEnd w:id="79"/>
      <w:bookmarkEnd w:id="80"/>
      <w:bookmarkEnd w:id="81"/>
      <w:bookmarkEnd w:id="82"/>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r>
        <w:rPr>
          <w:rStyle w:val="CharPartNo"/>
        </w:rPr>
        <w:t>Part 3</w:t>
      </w:r>
      <w:r>
        <w:t xml:space="preserve"> — </w:t>
      </w:r>
      <w:r>
        <w:rPr>
          <w:rStyle w:val="CharPartText"/>
        </w:rPr>
        <w:t xml:space="preserve">Registrars </w:t>
      </w:r>
    </w:p>
    <w:p>
      <w:pPr>
        <w:pStyle w:val="Heading3"/>
        <w:keepNext w:val="0"/>
        <w:rPr>
          <w:snapToGrid w:val="0"/>
        </w:rPr>
      </w:pPr>
      <w:r>
        <w:rPr>
          <w:rStyle w:val="CharDivNo"/>
        </w:rPr>
        <w:t>Division 1</w:t>
      </w:r>
      <w:r>
        <w:rPr>
          <w:snapToGrid w:val="0"/>
        </w:rPr>
        <w:t xml:space="preserve"> — </w:t>
      </w:r>
      <w:r>
        <w:rPr>
          <w:rStyle w:val="CharDivText"/>
        </w:rPr>
        <w:t xml:space="preserve">General </w:t>
      </w:r>
    </w:p>
    <w:p>
      <w:pPr>
        <w:pStyle w:val="Heading5"/>
        <w:keepNext w:val="0"/>
        <w:keepLines w:val="0"/>
      </w:pPr>
      <w:bookmarkStart w:id="83" w:name="_Toc430771432"/>
      <w:bookmarkStart w:id="84" w:name="_Toc432480648"/>
      <w:bookmarkStart w:id="85" w:name="_Toc26253903"/>
      <w:bookmarkStart w:id="86" w:name="_Toc68065979"/>
      <w:r>
        <w:rPr>
          <w:rStyle w:val="CharSectno"/>
        </w:rPr>
        <w:t>20</w:t>
      </w:r>
      <w:r>
        <w:t>.</w:t>
      </w:r>
      <w:r>
        <w:tab/>
        <w:t>Definition</w:t>
      </w:r>
      <w:bookmarkEnd w:id="83"/>
      <w:bookmarkEnd w:id="84"/>
      <w:bookmarkEnd w:id="85"/>
      <w:bookmarkEnd w:id="86"/>
    </w:p>
    <w:p>
      <w:pPr>
        <w:pStyle w:val="Subsection"/>
      </w:pPr>
      <w:r>
        <w:tab/>
      </w:r>
      <w:r>
        <w:tab/>
        <w:t>In this Part —</w:t>
      </w:r>
    </w:p>
    <w:p>
      <w:pPr>
        <w:pStyle w:val="Defstart"/>
      </w:pPr>
      <w:r>
        <w:tab/>
      </w:r>
      <w:r>
        <w:rPr>
          <w:b/>
        </w:rPr>
        <w:t>“</w:t>
      </w:r>
      <w:r>
        <w:rPr>
          <w:rStyle w:val="CharDefText"/>
        </w:rPr>
        <w:t>Registrar</w:t>
      </w:r>
      <w:r>
        <w:rPr>
          <w:b/>
        </w:rPr>
        <w:t>”</w:t>
      </w:r>
      <w:r>
        <w:t xml:space="preserve"> means the Principal Registrar, a Registrar or a Deputy Registrar.</w:t>
      </w:r>
    </w:p>
    <w:p>
      <w:pPr>
        <w:pStyle w:val="Heading5"/>
        <w:keepNext w:val="0"/>
        <w:keepLines w:val="0"/>
        <w:rPr>
          <w:snapToGrid w:val="0"/>
        </w:rPr>
      </w:pPr>
      <w:bookmarkStart w:id="87" w:name="_Toc430771433"/>
      <w:bookmarkStart w:id="88" w:name="_Toc432480649"/>
      <w:bookmarkStart w:id="89" w:name="_Toc26253904"/>
      <w:bookmarkStart w:id="90" w:name="_Toc68065980"/>
      <w:r>
        <w:rPr>
          <w:rStyle w:val="CharSectno"/>
        </w:rPr>
        <w:t>21</w:t>
      </w:r>
      <w:r>
        <w:rPr>
          <w:snapToGrid w:val="0"/>
        </w:rPr>
        <w:t>.</w:t>
      </w:r>
      <w:r>
        <w:rPr>
          <w:snapToGrid w:val="0"/>
        </w:rPr>
        <w:tab/>
        <w:t>Exercise of powers and functions of Registrars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If under these rules a function is conferred upon a Registrar, the function may also be performed — </w:t>
      </w:r>
    </w:p>
    <w:p>
      <w:pPr>
        <w:pStyle w:val="Indenta"/>
        <w:rPr>
          <w:snapToGrid w:val="0"/>
        </w:rPr>
      </w:pPr>
      <w:r>
        <w:rPr>
          <w:snapToGrid w:val="0"/>
        </w:rPr>
        <w:tab/>
        <w:t>(a)</w:t>
      </w:r>
      <w:r>
        <w:rPr>
          <w:snapToGrid w:val="0"/>
        </w:rPr>
        <w:tab/>
        <w:t>in the Family Court — by a Judge;</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If a Registrar is required or able to do an act not involving the exercise of judicial power it is sufficient if the act is done on behalf of the Registrar by — </w:t>
      </w:r>
    </w:p>
    <w:p>
      <w:pPr>
        <w:pStyle w:val="Indenta"/>
        <w:rPr>
          <w:snapToGrid w:val="0"/>
        </w:rPr>
      </w:pPr>
      <w:r>
        <w:rPr>
          <w:snapToGrid w:val="0"/>
        </w:rPr>
        <w:tab/>
        <w:t>(a)</w:t>
      </w:r>
      <w:r>
        <w:rPr>
          <w:snapToGrid w:val="0"/>
        </w:rPr>
        <w:tab/>
        <w:t>a clerk in the office of the Registrar;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91" w:name="_Toc430771434"/>
      <w:bookmarkStart w:id="92" w:name="_Toc432480650"/>
      <w:bookmarkStart w:id="93" w:name="_Toc26253905"/>
      <w:bookmarkStart w:id="94" w:name="_Toc68065981"/>
      <w:r>
        <w:t>22.</w:t>
      </w:r>
      <w:r>
        <w:tab/>
        <w:t>Registrars not required to give reasons</w:t>
      </w:r>
      <w:bookmarkEnd w:id="91"/>
      <w:bookmarkEnd w:id="92"/>
      <w:bookmarkEnd w:id="93"/>
      <w:bookmarkEnd w:id="94"/>
    </w:p>
    <w:p>
      <w:pPr>
        <w:pStyle w:val="Subsection"/>
      </w:pPr>
      <w:r>
        <w:tab/>
      </w:r>
      <w:r>
        <w:tab/>
        <w:t>Unless requested by a party to do so a Registrar need not give reasons for any order, direction or decision.</w:t>
      </w:r>
    </w:p>
    <w:p>
      <w:pPr>
        <w:pStyle w:val="Heading5"/>
        <w:keepNext w:val="0"/>
        <w:keepLines w:val="0"/>
        <w:rPr>
          <w:snapToGrid w:val="0"/>
        </w:rPr>
      </w:pPr>
      <w:bookmarkStart w:id="95" w:name="_Toc430771435"/>
      <w:bookmarkStart w:id="96" w:name="_Toc432480651"/>
      <w:bookmarkStart w:id="97" w:name="_Toc26253906"/>
      <w:bookmarkStart w:id="98" w:name="_Toc68065982"/>
      <w:r>
        <w:rPr>
          <w:rStyle w:val="CharSectno"/>
        </w:rPr>
        <w:t>23</w:t>
      </w:r>
      <w:r>
        <w:rPr>
          <w:snapToGrid w:val="0"/>
        </w:rPr>
        <w:t>.</w:t>
      </w:r>
      <w:r>
        <w:rPr>
          <w:snapToGrid w:val="0"/>
        </w:rPr>
        <w:tab/>
        <w:t>Protection and immunity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the exercise of a power of a court or in the conduct of a conference or enquiry under these rules a Registrar or other person acting under rule 21 has the same protection and immunity as a Judge or magistrate.</w:t>
      </w:r>
    </w:p>
    <w:p>
      <w:pPr>
        <w:pStyle w:val="Subsection"/>
        <w:rPr>
          <w:snapToGrid w:val="0"/>
        </w:rPr>
      </w:pPr>
      <w:r>
        <w:rPr>
          <w:snapToGrid w:val="0"/>
        </w:rPr>
        <w:tab/>
        <w:t>(2)</w:t>
      </w:r>
      <w:r>
        <w:rPr>
          <w:snapToGrid w:val="0"/>
        </w:rPr>
        <w:tab/>
        <w:t>A party, lawyer or witness appearing before a Registrar or other person acting under rule 21 on the hearing of any application or matter, or on the conducting of any conference or enquiry, has the same protection and immunity as the party, lawyer or witness would have if appearing in proceedings in a court.</w:t>
      </w:r>
    </w:p>
    <w:p>
      <w:pPr>
        <w:pStyle w:val="Heading3"/>
        <w:keepLines/>
      </w:pPr>
      <w:r>
        <w:rPr>
          <w:rStyle w:val="CharDivNo"/>
        </w:rPr>
        <w:t>Division 2</w:t>
      </w:r>
      <w:r>
        <w:rPr>
          <w:snapToGrid w:val="0"/>
        </w:rPr>
        <w:t xml:space="preserve"> — </w:t>
      </w:r>
      <w:r>
        <w:rPr>
          <w:rStyle w:val="CharDivText"/>
        </w:rPr>
        <w:t xml:space="preserve">Delegation of judicial power to Registrars </w:t>
      </w:r>
    </w:p>
    <w:p>
      <w:pPr>
        <w:pStyle w:val="Heading5"/>
        <w:rPr>
          <w:snapToGrid w:val="0"/>
        </w:rPr>
      </w:pPr>
      <w:bookmarkStart w:id="99" w:name="_Toc430771436"/>
      <w:bookmarkStart w:id="100" w:name="_Toc432480652"/>
      <w:bookmarkStart w:id="101" w:name="_Toc26253907"/>
      <w:bookmarkStart w:id="102" w:name="_Toc68065983"/>
      <w:r>
        <w:rPr>
          <w:rStyle w:val="CharSectno"/>
        </w:rPr>
        <w:t>24</w:t>
      </w:r>
      <w:r>
        <w:rPr>
          <w:snapToGrid w:val="0"/>
        </w:rPr>
        <w:t>.</w:t>
      </w:r>
      <w:r>
        <w:rPr>
          <w:snapToGrid w:val="0"/>
        </w:rPr>
        <w:tab/>
        <w:t>Delegation of powers to Registrars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Registrar and Deputy Registrar</w:t>
      </w:r>
      <w:r>
        <w:rPr>
          <w:snapToGrid w:val="0"/>
        </w:rPr>
        <w:t> — </w:t>
      </w:r>
    </w:p>
    <w:p>
      <w:pPr>
        <w:pStyle w:val="Indenta"/>
        <w:rPr>
          <w:snapToGrid w:val="0"/>
        </w:rPr>
      </w:pPr>
      <w:r>
        <w:rPr>
          <w:snapToGrid w:val="0"/>
        </w:rPr>
        <w:tab/>
        <w:t>(a)</w:t>
      </w:r>
      <w:r>
        <w:rPr>
          <w:snapToGrid w:val="0"/>
        </w:rPr>
        <w:tab/>
        <w:t>the court powers referred to in a Family Law Rule set out in the Table to this subrule;</w:t>
      </w:r>
    </w:p>
    <w:p>
      <w:pPr>
        <w:pStyle w:val="MiscellaneousHeading"/>
      </w:pPr>
      <w:r>
        <w:rPr>
          <w:b/>
        </w:rPr>
        <w:t>Table</w:t>
      </w:r>
    </w:p>
    <w:tbl>
      <w:tblPr>
        <w:tblW w:w="0" w:type="auto"/>
        <w:tblInd w:w="1668" w:type="dxa"/>
        <w:tblLayout w:type="fixed"/>
        <w:tblLook w:val="0000" w:firstRow="0" w:lastRow="0" w:firstColumn="0" w:lastColumn="0" w:noHBand="0" w:noVBand="0"/>
      </w:tblPr>
      <w:tblGrid>
        <w:gridCol w:w="4961"/>
      </w:tblGrid>
      <w:tr>
        <w:trPr>
          <w:cantSplit/>
          <w:tblHeader/>
        </w:trPr>
        <w:tc>
          <w:tcPr>
            <w:tcW w:w="4961" w:type="dxa"/>
            <w:tcBorders>
              <w:top w:val="single" w:sz="4" w:space="0" w:color="auto"/>
              <w:bottom w:val="single" w:sz="4" w:space="0" w:color="auto"/>
            </w:tcBorders>
          </w:tcPr>
          <w:p>
            <w:pPr>
              <w:pStyle w:val="Table"/>
              <w:ind w:left="1593"/>
            </w:pPr>
            <w:r>
              <w:rPr>
                <w:b/>
              </w:rPr>
              <w:t>Rule</w:t>
            </w:r>
          </w:p>
        </w:tc>
      </w:tr>
      <w:tr>
        <w:trPr>
          <w:cantSplit/>
        </w:trPr>
        <w:tc>
          <w:tcPr>
            <w:tcW w:w="4961" w:type="dxa"/>
          </w:tcPr>
          <w:p>
            <w:pPr>
              <w:pStyle w:val="Table"/>
              <w:ind w:left="1167"/>
            </w:pPr>
            <w:r>
              <w:t>1.09 to 1.14</w:t>
            </w:r>
          </w:p>
        </w:tc>
      </w:tr>
      <w:tr>
        <w:trPr>
          <w:cantSplit/>
        </w:trPr>
        <w:tc>
          <w:tcPr>
            <w:tcW w:w="4961" w:type="dxa"/>
          </w:tcPr>
          <w:p>
            <w:pPr>
              <w:pStyle w:val="Table"/>
              <w:ind w:left="1167"/>
            </w:pPr>
            <w:r>
              <w:t>11.01</w:t>
            </w:r>
          </w:p>
        </w:tc>
      </w:tr>
      <w:tr>
        <w:trPr>
          <w:cantSplit/>
        </w:trPr>
        <w:tc>
          <w:tcPr>
            <w:tcW w:w="4961" w:type="dxa"/>
            <w:tcBorders>
              <w:bottom w:val="single" w:sz="4" w:space="0" w:color="auto"/>
            </w:tcBorders>
          </w:tcPr>
          <w:p>
            <w:pPr>
              <w:pStyle w:val="Table"/>
              <w:ind w:left="1167"/>
            </w:pPr>
            <w:r>
              <w:t>20.07</w:t>
            </w: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 in Gazette 26 Mar 2004 p. 1058.]</w:t>
      </w:r>
    </w:p>
    <w:p>
      <w:pPr>
        <w:pStyle w:val="Heading5"/>
      </w:pPr>
      <w:bookmarkStart w:id="103" w:name="_Toc68065984"/>
      <w:r>
        <w:rPr>
          <w:rStyle w:val="CharSectno"/>
        </w:rPr>
        <w:t>25</w:t>
      </w:r>
      <w:r>
        <w:t>.</w:t>
      </w:r>
      <w:r>
        <w:tab/>
        <w:t>Applications to review exercises of powers and functions by Registrars</w:t>
      </w:r>
      <w:bookmarkEnd w:id="103"/>
    </w:p>
    <w:p>
      <w:pPr>
        <w:pStyle w:val="Subsection"/>
      </w:pPr>
      <w:r>
        <w:tab/>
        <w:t>(1)</w:t>
      </w:r>
      <w:r>
        <w:tab/>
        <w:t>This rule applies to the review of an order or direction made by a Principal Registrar, Registrar or Deputy Registrar.</w:t>
      </w:r>
    </w:p>
    <w:p>
      <w:pPr>
        <w:pStyle w:val="Subsection"/>
      </w:pPr>
      <w:r>
        <w:tab/>
        <w:t>(2)</w:t>
      </w:r>
      <w:r>
        <w:tab/>
        <w:t>A party to proceedings may apply to the Court to review an order or direction made by a Registrar for 28 days after the Principal Registrar, Registrar or Deputy Registrar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 in Gazette 26 Mar 2004 p. 1058-9.]</w:t>
      </w:r>
    </w:p>
    <w:p>
      <w:pPr>
        <w:pStyle w:val="Heading5"/>
      </w:pPr>
      <w:bookmarkStart w:id="104" w:name="_Toc68065985"/>
      <w:r>
        <w:rPr>
          <w:rStyle w:val="CharSectno"/>
        </w:rPr>
        <w:t>26</w:t>
      </w:r>
      <w:r>
        <w:t>.</w:t>
      </w:r>
      <w:r>
        <w:tab/>
        <w:t>Power of Court on review</w:t>
      </w:r>
      <w:bookmarkEnd w:id="104"/>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 in Gazette 26 Mar 2004 p. 1059.]</w:t>
      </w:r>
    </w:p>
    <w:p>
      <w:pPr>
        <w:pStyle w:val="Ednotesection"/>
        <w:ind w:left="1140" w:hanging="1140"/>
      </w:pPr>
      <w:r>
        <w:t>[</w:t>
      </w:r>
      <w:r>
        <w:rPr>
          <w:b/>
        </w:rPr>
        <w:t>27, 28.</w:t>
      </w:r>
      <w:r>
        <w:tab/>
        <w:t>Repealed in Gazette 26 Mar 2004 p. 1058.]</w:t>
      </w:r>
    </w:p>
    <w:p>
      <w:pPr>
        <w:pStyle w:val="Heading3"/>
        <w:keepNext w:val="0"/>
      </w:pPr>
      <w:r>
        <w:rPr>
          <w:rStyle w:val="CharDivNo"/>
        </w:rPr>
        <w:t>Division 3</w:t>
      </w:r>
      <w:r>
        <w:rPr>
          <w:snapToGrid w:val="0"/>
        </w:rPr>
        <w:t xml:space="preserve"> — </w:t>
      </w:r>
      <w:r>
        <w:rPr>
          <w:rStyle w:val="CharDivText"/>
        </w:rPr>
        <w:t>Conferral of functions on Registrars</w:t>
      </w:r>
    </w:p>
    <w:p>
      <w:pPr>
        <w:pStyle w:val="Heading5"/>
      </w:pPr>
      <w:bookmarkStart w:id="105" w:name="_Toc68065986"/>
      <w:r>
        <w:rPr>
          <w:rStyle w:val="CharSectno"/>
        </w:rPr>
        <w:t>29</w:t>
      </w:r>
      <w:r>
        <w:t>.</w:t>
      </w:r>
      <w:r>
        <w:tab/>
        <w:t>Conferral of functions on Registrars</w:t>
      </w:r>
      <w:bookmarkEnd w:id="105"/>
    </w:p>
    <w:p>
      <w:pPr>
        <w:pStyle w:val="Subsection"/>
      </w:pPr>
      <w:r>
        <w:tab/>
        <w:t>(1)</w:t>
      </w:r>
      <w:r>
        <w:tab/>
        <w:t>If under a Family Law Rule adopted applied under Division 2 a function is conferred on a Registrar within the meaning of the Family Law Act, the function is conferred on a Registrar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to a Registrar is to be treated as a reference to a Registrar appointed under section 25(1)(b);</w:t>
      </w:r>
    </w:p>
    <w:p>
      <w:pPr>
        <w:pStyle w:val="Indenta"/>
      </w:pPr>
      <w:r>
        <w:tab/>
        <w:t>(c)</w:t>
      </w:r>
      <w:r>
        <w:tab/>
        <w:t>to a Deputy Registrar is to be treated as a reference to a Deputy Registrar appointed under section 25(2)(a).</w:t>
      </w:r>
    </w:p>
    <w:p>
      <w:pPr>
        <w:pStyle w:val="Footnotesection"/>
      </w:pPr>
      <w:r>
        <w:tab/>
        <w:t>[Rule 29 inserted in Gazette 26 Mar 2004 p. 1060.]</w:t>
      </w:r>
    </w:p>
    <w:p>
      <w:pPr>
        <w:pStyle w:val="Ednotesection"/>
        <w:ind w:left="1140" w:hanging="1140"/>
      </w:pPr>
      <w:r>
        <w:t>[</w:t>
      </w:r>
      <w:r>
        <w:rPr>
          <w:b/>
        </w:rPr>
        <w:t>30.</w:t>
      </w:r>
      <w:r>
        <w:rPr>
          <w:b/>
        </w:rPr>
        <w:tab/>
      </w:r>
      <w:r>
        <w:t>Repealed in Gazette 26 Mar 2004 p. 1060.]</w:t>
      </w:r>
    </w:p>
    <w:p>
      <w:pPr>
        <w:pStyle w:val="Heading2"/>
        <w:keepNext w:val="0"/>
      </w:pPr>
      <w:r>
        <w:rPr>
          <w:rStyle w:val="CharPartNo"/>
        </w:rPr>
        <w:t>Part 4</w:t>
      </w:r>
      <w:r>
        <w:rPr>
          <w:rStyle w:val="CharDivNo"/>
        </w:rPr>
        <w:t xml:space="preserve"> </w:t>
      </w:r>
      <w:r>
        <w:t>—</w:t>
      </w:r>
      <w:r>
        <w:rPr>
          <w:rStyle w:val="CharDivText"/>
        </w:rPr>
        <w:t xml:space="preserve"> </w:t>
      </w:r>
      <w:r>
        <w:rPr>
          <w:rStyle w:val="CharPartText"/>
        </w:rPr>
        <w:t xml:space="preserve">Other matters prescribed for the purposes of specified provisions of the Act </w:t>
      </w:r>
    </w:p>
    <w:p>
      <w:pPr>
        <w:pStyle w:val="Heading5"/>
        <w:keepNext w:val="0"/>
        <w:keepLines w:val="0"/>
        <w:rPr>
          <w:snapToGrid w:val="0"/>
        </w:rPr>
      </w:pPr>
      <w:bookmarkStart w:id="106" w:name="_Toc430771443"/>
      <w:bookmarkStart w:id="107" w:name="_Toc432480659"/>
      <w:bookmarkStart w:id="108" w:name="_Toc26253914"/>
      <w:bookmarkStart w:id="109" w:name="_Toc68065987"/>
      <w:r>
        <w:rPr>
          <w:rStyle w:val="CharSectno"/>
        </w:rPr>
        <w:t>31</w:t>
      </w:r>
      <w:r>
        <w:rPr>
          <w:snapToGrid w:val="0"/>
        </w:rPr>
        <w:t>.</w:t>
      </w:r>
      <w:r>
        <w:rPr>
          <w:snapToGrid w:val="0"/>
        </w:rPr>
        <w:tab/>
        <w:t>Advice as to effect of proceedings and as to counselling and welfare facilities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Chief Judge may give directions in relation to the preparation of documents of the kinds referred to in section 55.</w:t>
      </w:r>
    </w:p>
    <w:p>
      <w:pPr>
        <w:pStyle w:val="Subsection"/>
        <w:rPr>
          <w:snapToGrid w:val="0"/>
        </w:rPr>
      </w:pPr>
      <w:r>
        <w:rPr>
          <w:snapToGrid w:val="0"/>
        </w:rPr>
        <w:tab/>
        <w:t>(2)</w:t>
      </w:r>
      <w:r>
        <w:rPr>
          <w:snapToGrid w:val="0"/>
        </w:rPr>
        <w:tab/>
        <w:t>If the Chief Judge has not given directions under subrule (1) then documents of the kinds referred to in section 55 are to be prepared in accordance with Family Law Rules Order 25 rule 3(1).</w:t>
      </w:r>
    </w:p>
    <w:p>
      <w:pPr>
        <w:pStyle w:val="Heading5"/>
        <w:keepNext w:val="0"/>
        <w:keepLines w:val="0"/>
        <w:rPr>
          <w:snapToGrid w:val="0"/>
        </w:rPr>
      </w:pPr>
      <w:bookmarkStart w:id="110" w:name="_Toc430771444"/>
      <w:bookmarkStart w:id="111" w:name="_Toc432480660"/>
      <w:bookmarkStart w:id="112" w:name="_Toc26253915"/>
      <w:bookmarkStart w:id="113" w:name="_Toc68065988"/>
      <w:r>
        <w:rPr>
          <w:rStyle w:val="CharSectno"/>
        </w:rPr>
        <w:t>32</w:t>
      </w:r>
      <w:r>
        <w:rPr>
          <w:snapToGrid w:val="0"/>
        </w:rPr>
        <w:t>.</w:t>
      </w:r>
      <w:r>
        <w:rPr>
          <w:snapToGrid w:val="0"/>
        </w:rPr>
        <w:tab/>
        <w:t>Advice as to mediation facilities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Chief Judge may give directions in relation to the preparation of documents of the kind referred to in section 61(2).</w:t>
      </w:r>
    </w:p>
    <w:p>
      <w:pPr>
        <w:pStyle w:val="Subsection"/>
        <w:rPr>
          <w:snapToGrid w:val="0"/>
        </w:rPr>
      </w:pPr>
      <w:r>
        <w:rPr>
          <w:snapToGrid w:val="0"/>
        </w:rPr>
        <w:tab/>
        <w:t>(2)</w:t>
      </w:r>
      <w:r>
        <w:rPr>
          <w:snapToGrid w:val="0"/>
        </w:rPr>
        <w:tab/>
        <w:t>If the Chief Judge has not given directions under subrule (1) then documents of the kind referred to in section 61(2) are to be prepared in accordance with Family Law Rules Order 25A rule 21(1).</w:t>
      </w:r>
    </w:p>
    <w:p>
      <w:pPr>
        <w:pStyle w:val="Heading5"/>
        <w:keepNext w:val="0"/>
        <w:keepLines w:val="0"/>
        <w:rPr>
          <w:snapToGrid w:val="0"/>
        </w:rPr>
      </w:pPr>
      <w:bookmarkStart w:id="114" w:name="_Toc430771445"/>
      <w:bookmarkStart w:id="115" w:name="_Toc432480661"/>
      <w:bookmarkStart w:id="116" w:name="_Toc26253916"/>
      <w:bookmarkStart w:id="117" w:name="_Toc68065989"/>
      <w:r>
        <w:rPr>
          <w:rStyle w:val="CharSectno"/>
        </w:rPr>
        <w:t>33</w:t>
      </w:r>
      <w:r>
        <w:rPr>
          <w:snapToGrid w:val="0"/>
        </w:rPr>
        <w:t>.</w:t>
      </w:r>
      <w:r>
        <w:rPr>
          <w:snapToGrid w:val="0"/>
        </w:rPr>
        <w:tab/>
        <w:t>Registration of State child orders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118" w:name="_Toc430771446"/>
      <w:bookmarkStart w:id="119" w:name="_Toc432480662"/>
      <w:bookmarkStart w:id="120" w:name="_Toc26253917"/>
      <w:bookmarkStart w:id="121" w:name="_Toc68065990"/>
      <w:r>
        <w:rPr>
          <w:rStyle w:val="CharSectno"/>
        </w:rPr>
        <w:t>34</w:t>
      </w:r>
      <w:r>
        <w:rPr>
          <w:snapToGrid w:val="0"/>
        </w:rPr>
        <w:t>.</w:t>
      </w:r>
      <w:r>
        <w:rPr>
          <w:snapToGrid w:val="0"/>
        </w:rPr>
        <w:tab/>
        <w:t>Proceedings in chambers — s. 212(5)</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122" w:name="_Toc26253918"/>
      <w:bookmarkStart w:id="123" w:name="_Toc68065991"/>
      <w:r>
        <w:rPr>
          <w:rStyle w:val="CharSectno"/>
        </w:rPr>
        <w:t>35</w:t>
      </w:r>
      <w:r>
        <w:t>.</w:t>
      </w:r>
      <w:r>
        <w:tab/>
        <w:t>Notification to spouse — s. 205ZB(3)</w:t>
      </w:r>
      <w:bookmarkEnd w:id="122"/>
      <w:bookmarkEnd w:id="123"/>
    </w:p>
    <w:p>
      <w:pPr>
        <w:pStyle w:val="Subsection"/>
      </w:pPr>
      <w:r>
        <w:tab/>
      </w:r>
      <w:r>
        <w:tab/>
        <w:t xml:space="preserve">For the purposes of section 205ZB(3), a de facto partner who — </w:t>
      </w:r>
    </w:p>
    <w:p>
      <w:pPr>
        <w:pStyle w:val="Indenta"/>
      </w:pPr>
      <w:r>
        <w:tab/>
        <w:t>(a)</w:t>
      </w:r>
      <w:r>
        <w:tab/>
        <w:t>has a spouse; and</w:t>
      </w:r>
    </w:p>
    <w:p>
      <w:pPr>
        <w:pStyle w:val="Indenta"/>
      </w:pPr>
      <w:r>
        <w:tab/>
        <w:t>(b)</w:t>
      </w:r>
      <w:r>
        <w:tab/>
        <w:t>is a party to an application under Part 5A Division 2 of the Act,</w:t>
      </w:r>
    </w:p>
    <w:p>
      <w:pPr>
        <w:pStyle w:val="Subsection"/>
      </w:pPr>
      <w:r>
        <w:tab/>
      </w:r>
      <w:r>
        <w:tab/>
        <w:t xml:space="preserve">is to give notification of the application to his or her spouse — </w:t>
      </w:r>
    </w:p>
    <w:p>
      <w:pPr>
        <w:pStyle w:val="Indenta"/>
      </w:pPr>
      <w:r>
        <w:tab/>
        <w:t>(c)</w:t>
      </w:r>
      <w:r>
        <w:tab/>
        <w:t>if the defacto partner has filed the application, by serving on his or her spouse a copy of that application and, if filed, the information sheet; and</w:t>
      </w:r>
    </w:p>
    <w:p>
      <w:pPr>
        <w:pStyle w:val="Indenta"/>
      </w:pPr>
      <w:r>
        <w:tab/>
        <w:t>(d)</w:t>
      </w:r>
      <w:r>
        <w:tab/>
        <w:t xml:space="preserve">if the de facto partner has filed a response to the application, by serving on his or her spouse a copy of — </w:t>
      </w:r>
    </w:p>
    <w:p>
      <w:pPr>
        <w:pStyle w:val="Indenti"/>
      </w:pPr>
      <w:r>
        <w:tab/>
        <w:t>(i)</w:t>
      </w:r>
      <w:r>
        <w:tab/>
        <w:t>that application and, if filed, the information sheet; and</w:t>
      </w:r>
    </w:p>
    <w:p>
      <w:pPr>
        <w:pStyle w:val="Indenti"/>
      </w:pPr>
      <w:r>
        <w:tab/>
        <w:t>(ii)</w:t>
      </w:r>
      <w:r>
        <w:tab/>
        <w:t>that response,</w:t>
      </w:r>
    </w:p>
    <w:p>
      <w:pPr>
        <w:pStyle w:val="Subsection"/>
      </w:pPr>
      <w:r>
        <w:tab/>
      </w:r>
      <w:r>
        <w:tab/>
        <w:t>as soon as is practicable after filing the application or response, as is applicable.</w:t>
      </w:r>
    </w:p>
    <w:p>
      <w:pPr>
        <w:pStyle w:val="Footnotesection"/>
      </w:pPr>
      <w:r>
        <w:tab/>
        <w:t>[Rule 35 inserted in Gazette 29 Nov 2002 p. 5662-3.]</w:t>
      </w:r>
    </w:p>
    <w:p>
      <w:pPr>
        <w:pStyle w:val="Heading5"/>
      </w:pPr>
      <w:bookmarkStart w:id="124" w:name="_Toc68065992"/>
      <w:r>
        <w:rPr>
          <w:rStyle w:val="CharSectno"/>
        </w:rPr>
        <w:t>36</w:t>
      </w:r>
      <w:r>
        <w:t>.</w:t>
      </w:r>
      <w:r>
        <w:tab/>
        <w:t>Certain evidential statements</w:t>
      </w:r>
      <w:bookmarkEnd w:id="124"/>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 in Gazette 26 Mar 2004 p. 1060-1.]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pPr>
      <w:r>
        <w:rPr>
          <w:snapToGrid w:val="0"/>
          <w:vertAlign w:val="superscript"/>
        </w:rPr>
        <w:t>1.</w:t>
      </w:r>
      <w:r>
        <w:rPr>
          <w:snapToGrid w:val="0"/>
          <w:vertAlign w:val="superscript"/>
        </w:rPr>
        <w:tab/>
      </w:r>
      <w:r>
        <w:t xml:space="preserve">This is a compilation of the </w:t>
      </w:r>
      <w:r>
        <w:rPr>
          <w:i/>
        </w:rPr>
        <w:t xml:space="preserve">Family Court Rules 1998 </w:t>
      </w:r>
      <w:r>
        <w:t>and includes the amendments referred to in the following Table.</w:t>
      </w:r>
    </w:p>
    <w:p>
      <w:pPr>
        <w:pStyle w:val="nHeading3"/>
        <w:rPr>
          <w:snapToGrid w:val="0"/>
        </w:rPr>
      </w:pPr>
      <w:bookmarkStart w:id="125" w:name="_Toc68065993"/>
      <w:r>
        <w:rPr>
          <w:snapToGrid w:val="0"/>
        </w:rP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sz w:val="19"/>
              </w:rPr>
            </w:pPr>
            <w:r>
              <w:rPr>
                <w:b/>
                <w:sz w:val="19"/>
              </w:rPr>
              <w:t>Citation</w:t>
            </w:r>
          </w:p>
        </w:tc>
        <w:tc>
          <w:tcPr>
            <w:tcW w:w="1276" w:type="dxa"/>
            <w:tcBorders>
              <w:top w:val="single" w:sz="4" w:space="0" w:color="auto"/>
            </w:tcBorders>
          </w:tcPr>
          <w:p>
            <w:pPr>
              <w:pStyle w:val="nTable"/>
              <w:rPr>
                <w:b/>
                <w:sz w:val="19"/>
              </w:rPr>
            </w:pPr>
            <w:r>
              <w:rPr>
                <w:b/>
                <w:sz w:val="19"/>
              </w:rPr>
              <w:t>Gazettal</w:t>
            </w:r>
          </w:p>
        </w:tc>
        <w:tc>
          <w:tcPr>
            <w:tcW w:w="2693" w:type="dxa"/>
            <w:tcBorders>
              <w:top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Family Court Rules 1998</w:t>
            </w:r>
          </w:p>
        </w:tc>
        <w:tc>
          <w:tcPr>
            <w:tcW w:w="1276" w:type="dxa"/>
            <w:tcBorders>
              <w:top w:val="single" w:sz="4" w:space="0" w:color="auto"/>
            </w:tcBorders>
          </w:tcPr>
          <w:p>
            <w:pPr>
              <w:pStyle w:val="nTable"/>
              <w:rPr>
                <w:sz w:val="19"/>
              </w:rPr>
            </w:pPr>
            <w:r>
              <w:rPr>
                <w:sz w:val="19"/>
              </w:rPr>
              <w:t>6 Oct 1998 p. 5573-85</w:t>
            </w:r>
          </w:p>
        </w:tc>
        <w:tc>
          <w:tcPr>
            <w:tcW w:w="2693" w:type="dxa"/>
            <w:tcBorders>
              <w:top w:val="single" w:sz="4" w:space="0" w:color="auto"/>
            </w:tcBorders>
          </w:tcPr>
          <w:p>
            <w:pPr>
              <w:pStyle w:val="nTable"/>
              <w:rPr>
                <w:sz w:val="19"/>
              </w:rPr>
            </w:pPr>
            <w:r>
              <w:rPr>
                <w:sz w:val="19"/>
              </w:rPr>
              <w:t>6 Oct 1998</w:t>
            </w:r>
          </w:p>
        </w:tc>
      </w:tr>
      <w:tr>
        <w:tc>
          <w:tcPr>
            <w:tcW w:w="3119" w:type="dxa"/>
          </w:tcPr>
          <w:p>
            <w:pPr>
              <w:pStyle w:val="nTable"/>
              <w:rPr>
                <w:i/>
                <w:sz w:val="19"/>
              </w:rPr>
            </w:pPr>
            <w:r>
              <w:rPr>
                <w:i/>
                <w:sz w:val="19"/>
              </w:rPr>
              <w:t>Family Court Amendment Rules 2002</w:t>
            </w:r>
          </w:p>
        </w:tc>
        <w:tc>
          <w:tcPr>
            <w:tcW w:w="1276" w:type="dxa"/>
          </w:tcPr>
          <w:p>
            <w:pPr>
              <w:pStyle w:val="nTable"/>
              <w:rPr>
                <w:sz w:val="19"/>
              </w:rPr>
            </w:pPr>
            <w:r>
              <w:rPr>
                <w:sz w:val="19"/>
              </w:rPr>
              <w:t>29 Nov 2002 p. 5662-3</w:t>
            </w:r>
          </w:p>
        </w:tc>
        <w:tc>
          <w:tcPr>
            <w:tcW w:w="2693" w:type="dxa"/>
          </w:tcPr>
          <w:p>
            <w:pPr>
              <w:pStyle w:val="nTable"/>
              <w:rPr>
                <w:sz w:val="19"/>
              </w:rPr>
            </w:pPr>
            <w:r>
              <w:rPr>
                <w:sz w:val="19"/>
              </w:rPr>
              <w:t xml:space="preserve">1 Dec 2002 (see r. 2 and </w:t>
            </w:r>
            <w:r>
              <w:rPr>
                <w:i/>
                <w:sz w:val="19"/>
              </w:rPr>
              <w:t>Gazette</w:t>
            </w:r>
            <w:r>
              <w:rPr>
                <w:sz w:val="19"/>
              </w:rPr>
              <w:t xml:space="preserve"> 29 Nov 2002 p. 5651)</w:t>
            </w:r>
          </w:p>
        </w:tc>
      </w:tr>
      <w:tr>
        <w:tc>
          <w:tcPr>
            <w:tcW w:w="3119" w:type="dxa"/>
            <w:tcBorders>
              <w:bottom w:val="single" w:sz="4" w:space="0" w:color="auto"/>
            </w:tcBorders>
          </w:tcPr>
          <w:p>
            <w:pPr>
              <w:pStyle w:val="nTable"/>
              <w:rPr>
                <w:i/>
                <w:sz w:val="19"/>
              </w:rPr>
            </w:pPr>
            <w:r>
              <w:rPr>
                <w:i/>
                <w:sz w:val="19"/>
              </w:rPr>
              <w:t>Family Court Amendment Rules 2004</w:t>
            </w:r>
          </w:p>
        </w:tc>
        <w:tc>
          <w:tcPr>
            <w:tcW w:w="1276" w:type="dxa"/>
            <w:tcBorders>
              <w:bottom w:val="single" w:sz="4" w:space="0" w:color="auto"/>
            </w:tcBorders>
          </w:tcPr>
          <w:p>
            <w:pPr>
              <w:pStyle w:val="nTable"/>
              <w:rPr>
                <w:sz w:val="19"/>
              </w:rPr>
            </w:pPr>
            <w:r>
              <w:rPr>
                <w:sz w:val="19"/>
              </w:rPr>
              <w:t>26 Mar 2004 p. 1049-61</w:t>
            </w:r>
          </w:p>
        </w:tc>
        <w:tc>
          <w:tcPr>
            <w:tcW w:w="2693" w:type="dxa"/>
            <w:tcBorders>
              <w:bottom w:val="single" w:sz="4" w:space="0" w:color="auto"/>
            </w:tcBorders>
          </w:tcPr>
          <w:p>
            <w:pPr>
              <w:pStyle w:val="nTable"/>
              <w:rPr>
                <w:sz w:val="19"/>
              </w:rPr>
            </w:pPr>
            <w:r>
              <w:rPr>
                <w:sz w:val="19"/>
              </w:rPr>
              <w:t>29 Mar 2004 (see r.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Rules 1998</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Rules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Rules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Rules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Rules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Rules 1998</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Rules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544B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74F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EC93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C06F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E6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A635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1401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4A5D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58B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D459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21835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05A3C3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BAED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668A4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4843</Words>
  <Characters>22087</Characters>
  <Application>Microsoft Office Word</Application>
  <DocSecurity>0</DocSecurity>
  <Lines>631</Lines>
  <Paragraphs>414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General</vt:lpstr>
      <vt:lpstr>        Division 1 — General</vt:lpstr>
      <vt:lpstr>        Division 2 — Adoption of Family Law Rules</vt:lpstr>
      <vt:lpstr>        Division 3 — Accounting and enforcement</vt:lpstr>
      <vt:lpstr>    Part 3 — Registrars </vt:lpstr>
      <vt:lpstr>        Division 1 — General </vt:lpstr>
      <vt:lpstr>        Division 2 — Delegation of judicial power to Registrars </vt:lpstr>
      <vt:lpstr>        Division 3 — Conferral of functions on Registrars</vt:lpstr>
      <vt:lpstr>    Part 4 — Other matters prescribed for the purposes of specified provisions of th</vt:lpstr>
      <vt:lpstr>    Notes</vt:lpstr>
    </vt:vector>
  </TitlesOfParts>
  <Manager/>
  <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1998 - 00-b0-04</dc:title>
  <dc:subject/>
  <dc:creator/>
  <cp:keywords/>
  <dc:description/>
  <cp:lastModifiedBy>svcMRProcess</cp:lastModifiedBy>
  <cp:revision>4</cp:revision>
  <cp:lastPrinted>1998-10-15T07:59:00Z</cp:lastPrinted>
  <dcterms:created xsi:type="dcterms:W3CDTF">2018-09-11T14:32:00Z</dcterms:created>
  <dcterms:modified xsi:type="dcterms:W3CDTF">2018-09-11T14:32:00Z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CommencementDate">
    <vt:lpwstr>20040329</vt:lpwstr>
  </property>
  <property fmtid="{D5CDD505-2E9C-101B-9397-08002B2CF9AE}" pid="4" name="DocumentType">
    <vt:lpwstr>Reg</vt:lpwstr>
  </property>
  <property fmtid="{D5CDD505-2E9C-101B-9397-08002B2CF9AE}" pid="5" name="OwlsUID">
    <vt:i4>111</vt:i4>
  </property>
  <property fmtid="{D5CDD505-2E9C-101B-9397-08002B2CF9AE}" pid="6" name="AsAtDate">
    <vt:lpwstr>29 Mar 2004</vt:lpwstr>
  </property>
  <property fmtid="{D5CDD505-2E9C-101B-9397-08002B2CF9AE}" pid="7" name="Suffix">
    <vt:lpwstr>00-b0-04</vt:lpwstr>
  </property>
</Properties>
</file>