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_Toc482273492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_Toc482273493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_Toc482273494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_Toc482273495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_Toc482273496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_Toc482273497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_Toc482273498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_Toc482273499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_Toc482273500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_Toc482273501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_Toc482273502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_Toc482273503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_Toc482273504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_Toc482273505 \h </w:instrText>
      </w:r>
      <w:r>
        <w:fldChar w:fldCharType="separate"/>
      </w:r>
      <w:r>
        <w:t>9</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_Toc482273506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_Toc482273520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_Toc482273521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482273492"/>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48227349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482273494"/>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6" w:name="_Toc482273495"/>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in Gazette 14 Jul 2006 p. 2571; 29 Jun 2012 p. 2963; 13 Dec 2013 p. 6179; 28 Jun 2016 p. 2663.]</w:t>
      </w:r>
    </w:p>
    <w:p>
      <w:pPr>
        <w:pStyle w:val="Heading5"/>
      </w:pPr>
      <w:bookmarkStart w:id="7" w:name="_Toc482273496"/>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8" w:name="_Toc482273497"/>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9" w:name="_Toc482273498"/>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0" w:name="_Toc482273499"/>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1" w:name="_Toc482273500"/>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12" w:name="_Toc482273501"/>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13" w:name="_Toc482273502"/>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14" w:name="_Toc482273503"/>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15" w:name="_Toc482273504"/>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16" w:name="_Toc482273505"/>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17" w:name="_Toc482273506"/>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482273452"/>
      <w:bookmarkStart w:id="19" w:name="_Toc482273507"/>
      <w:r>
        <w:rPr>
          <w:rStyle w:val="CharSchNo"/>
        </w:rPr>
        <w:t>Schedule 1</w:t>
      </w:r>
      <w:r>
        <w:t> — </w:t>
      </w:r>
      <w:r>
        <w:rPr>
          <w:rStyle w:val="CharSchText"/>
        </w:rPr>
        <w:t>Fares</w:t>
      </w:r>
      <w:bookmarkEnd w:id="18"/>
      <w:bookmarkEnd w:id="19"/>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20" w:name="_Toc482273453"/>
      <w:bookmarkStart w:id="21" w:name="_Toc482273508"/>
      <w:r>
        <w:rPr>
          <w:rStyle w:val="CharSDivNo"/>
        </w:rPr>
        <w:t>Division 1</w:t>
      </w:r>
      <w:r>
        <w:rPr>
          <w:b w:val="0"/>
        </w:rPr>
        <w:t> — </w:t>
      </w:r>
      <w:r>
        <w:rPr>
          <w:rStyle w:val="CharSDivText"/>
        </w:rPr>
        <w:t>Gascoyne region</w:t>
      </w:r>
      <w:bookmarkEnd w:id="20"/>
      <w:bookmarkEnd w:id="21"/>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22" w:name="_Toc482273454"/>
      <w:bookmarkStart w:id="23" w:name="_Toc482273509"/>
      <w:r>
        <w:rPr>
          <w:rStyle w:val="CharSDivNo"/>
        </w:rPr>
        <w:t>Division 2</w:t>
      </w:r>
      <w:r>
        <w:t> — </w:t>
      </w:r>
      <w:r>
        <w:rPr>
          <w:rStyle w:val="CharSDivText"/>
        </w:rPr>
        <w:t>Goldfields</w:t>
      </w:r>
      <w:r>
        <w:rPr>
          <w:rStyle w:val="CharSDivText"/>
        </w:rPr>
        <w:noBreakHyphen/>
        <w:t>Esperance region</w:t>
      </w:r>
      <w:bookmarkEnd w:id="22"/>
      <w:bookmarkEnd w:id="23"/>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pPr>
      <w:bookmarkStart w:id="24" w:name="_Toc482273455"/>
      <w:bookmarkStart w:id="25" w:name="_Toc482273510"/>
      <w:r>
        <w:rPr>
          <w:rStyle w:val="CharSDivNo"/>
        </w:rPr>
        <w:t>Division 3 </w:t>
      </w:r>
      <w:r>
        <w:t>— </w:t>
      </w:r>
      <w:r>
        <w:rPr>
          <w:rStyle w:val="CharSDivText"/>
        </w:rPr>
        <w:t>Great Southern region</w:t>
      </w:r>
      <w:bookmarkEnd w:id="24"/>
      <w:bookmarkEnd w:id="25"/>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in Gazette 23 Dec 2014 p. 4901-2; amended in Gazette 28 Jun 2016 p. 2671.]</w:t>
      </w:r>
    </w:p>
    <w:p>
      <w:pPr>
        <w:pStyle w:val="yHeading3"/>
      </w:pPr>
      <w:bookmarkStart w:id="26" w:name="_Toc482273456"/>
      <w:bookmarkStart w:id="27" w:name="_Toc482273511"/>
      <w:r>
        <w:rPr>
          <w:rStyle w:val="CharSDivNo"/>
        </w:rPr>
        <w:t>Division 4</w:t>
      </w:r>
      <w:r>
        <w:t> — </w:t>
      </w:r>
      <w:r>
        <w:rPr>
          <w:rStyle w:val="CharSDivText"/>
        </w:rPr>
        <w:t>Kimberley region</w:t>
      </w:r>
      <w:bookmarkEnd w:id="26"/>
      <w:bookmarkEnd w:id="27"/>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28" w:name="_Toc482273457"/>
      <w:bookmarkStart w:id="29" w:name="_Toc482273512"/>
      <w:r>
        <w:rPr>
          <w:rStyle w:val="CharSDivNo"/>
        </w:rPr>
        <w:t>Division 5</w:t>
      </w:r>
      <w:r>
        <w:t> — </w:t>
      </w:r>
      <w:r>
        <w:rPr>
          <w:rStyle w:val="CharSDivText"/>
        </w:rPr>
        <w:t>Mid West region</w:t>
      </w:r>
      <w:bookmarkEnd w:id="28"/>
      <w:bookmarkEnd w:id="29"/>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30" w:name="_Toc482273458"/>
      <w:bookmarkStart w:id="31" w:name="_Toc482273513"/>
      <w:r>
        <w:rPr>
          <w:rStyle w:val="CharSDivNo"/>
        </w:rPr>
        <w:t>Division 6</w:t>
      </w:r>
      <w:r>
        <w:t> — </w:t>
      </w:r>
      <w:r>
        <w:rPr>
          <w:rStyle w:val="CharSDivText"/>
        </w:rPr>
        <w:t>Peel region</w:t>
      </w:r>
      <w:bookmarkEnd w:id="30"/>
      <w:bookmarkEnd w:id="31"/>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in Gazette 23 Dec 2014 p. 4905-7; amended in Gazette 28 Jun 2016 p. 2671.]</w:t>
      </w:r>
    </w:p>
    <w:p>
      <w:pPr>
        <w:pStyle w:val="yHeading3"/>
        <w:keepNext w:val="0"/>
      </w:pPr>
      <w:bookmarkStart w:id="32" w:name="_Toc482273459"/>
      <w:bookmarkStart w:id="33" w:name="_Toc482273514"/>
      <w:r>
        <w:rPr>
          <w:rStyle w:val="CharSDivNo"/>
        </w:rPr>
        <w:t>Division 7</w:t>
      </w:r>
      <w:r>
        <w:t> — </w:t>
      </w:r>
      <w:r>
        <w:rPr>
          <w:rStyle w:val="CharSDivText"/>
        </w:rPr>
        <w:t>Pilbara region</w:t>
      </w:r>
      <w:bookmarkEnd w:id="32"/>
      <w:bookmarkEnd w:id="33"/>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p>
    <w:p>
      <w:pPr>
        <w:pStyle w:val="yHeading3"/>
      </w:pPr>
      <w:bookmarkStart w:id="34" w:name="_Toc482273460"/>
      <w:bookmarkStart w:id="35" w:name="_Toc482273515"/>
      <w:r>
        <w:rPr>
          <w:rStyle w:val="CharSDivNo"/>
        </w:rPr>
        <w:t>Division 8</w:t>
      </w:r>
      <w:r>
        <w:t> — </w:t>
      </w:r>
      <w:r>
        <w:rPr>
          <w:rStyle w:val="CharSDivText"/>
        </w:rPr>
        <w:t>South West region</w:t>
      </w:r>
      <w:bookmarkEnd w:id="34"/>
      <w:bookmarkEnd w:id="35"/>
    </w:p>
    <w:p>
      <w:pPr>
        <w:pStyle w:val="yFootnoteheading"/>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36" w:name="_Toc482273461"/>
      <w:bookmarkStart w:id="37" w:name="_Toc482273516"/>
      <w:r>
        <w:rPr>
          <w:rStyle w:val="CharSDivNo"/>
        </w:rPr>
        <w:t>Division 9</w:t>
      </w:r>
      <w:r>
        <w:t> — </w:t>
      </w:r>
      <w:r>
        <w:rPr>
          <w:rStyle w:val="CharSDivText"/>
        </w:rPr>
        <w:t>Wheatbelt region</w:t>
      </w:r>
      <w:bookmarkEnd w:id="36"/>
      <w:bookmarkEnd w:id="37"/>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in Gazette 23 Dec 2014 p. 4910-11; amended in Gazette 28 Jun 2016 p. 2671.]</w:t>
      </w:r>
    </w:p>
    <w:p>
      <w:pPr>
        <w:pStyle w:val="yScheduleHeading"/>
      </w:pPr>
      <w:bookmarkStart w:id="38" w:name="_Toc482273462"/>
      <w:bookmarkStart w:id="39" w:name="_Toc482273517"/>
      <w:r>
        <w:rPr>
          <w:rStyle w:val="CharSchNo"/>
        </w:rPr>
        <w:t>Schedule 2</w:t>
      </w:r>
      <w:r>
        <w:rPr>
          <w:rStyle w:val="CharSDivNo"/>
        </w:rPr>
        <w:t> </w:t>
      </w:r>
      <w:r>
        <w:t>—</w:t>
      </w:r>
      <w:r>
        <w:rPr>
          <w:rStyle w:val="CharSDivText"/>
        </w:rPr>
        <w:t> </w:t>
      </w:r>
      <w:r>
        <w:rPr>
          <w:rStyle w:val="CharSchText"/>
        </w:rPr>
        <w:t>Modified penalties</w:t>
      </w:r>
      <w:bookmarkEnd w:id="38"/>
      <w:bookmarkEnd w:id="39"/>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1" w:name="_Toc482273463"/>
      <w:bookmarkStart w:id="42" w:name="_Toc482273518"/>
      <w:r>
        <w:rPr>
          <w:rStyle w:val="CharSchNo"/>
        </w:rPr>
        <w:t>Schedule 3</w:t>
      </w:r>
      <w:r>
        <w:rPr>
          <w:rStyle w:val="CharSDivNo"/>
        </w:rPr>
        <w:t> </w:t>
      </w:r>
      <w:r>
        <w:t>—</w:t>
      </w:r>
      <w:r>
        <w:rPr>
          <w:rStyle w:val="CharSDivText"/>
        </w:rPr>
        <w:t> </w:t>
      </w:r>
      <w:r>
        <w:rPr>
          <w:rStyle w:val="CharSchText"/>
        </w:rPr>
        <w:t>Forms</w:t>
      </w:r>
      <w:bookmarkEnd w:id="41"/>
      <w:bookmarkEnd w:id="42"/>
    </w:p>
    <w:p>
      <w:pPr>
        <w:pStyle w:val="yShoulderClause"/>
        <w:spacing w:before="40"/>
      </w:pPr>
      <w:r>
        <w:t>[r. 7A(2) and (3)]</w:t>
      </w:r>
    </w:p>
    <w:p>
      <w:pPr>
        <w:pStyle w:val="yFootnoteheading"/>
        <w:spacing w:before="80"/>
      </w:pPr>
      <w:r>
        <w:tab/>
        <w:t>[Heading inserted in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3" w:name="_Toc482273464"/>
      <w:bookmarkStart w:id="44" w:name="_Toc482273519"/>
      <w:r>
        <w:t>Notes</w:t>
      </w:r>
      <w:bookmarkEnd w:id="43"/>
      <w:bookmarkEnd w:id="44"/>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5" w:name="_Toc482273520"/>
      <w:r>
        <w:rPr>
          <w:snapToGrid w:val="0"/>
        </w:rPr>
        <w:t>Compilation table</w:t>
      </w:r>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tcPr>
          <w:p>
            <w:pPr>
              <w:pStyle w:val="nTable"/>
              <w:spacing w:after="40"/>
            </w:pPr>
            <w:r>
              <w:t>30 Jun 1995 p. 2696</w:t>
            </w:r>
            <w:r>
              <w:noBreakHyphen/>
              <w:t>7</w:t>
            </w:r>
          </w:p>
        </w:tc>
        <w:tc>
          <w:tcPr>
            <w:tcW w:w="2693" w:type="dxa"/>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tcPr>
          <w:p>
            <w:pPr>
              <w:pStyle w:val="nTable"/>
              <w:spacing w:after="40"/>
            </w:pPr>
            <w:r>
              <w:t>23 Feb 1996 p. 683</w:t>
            </w:r>
            <w:r>
              <w:noBreakHyphen/>
              <w:t>4</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tcPr>
          <w:p>
            <w:pPr>
              <w:pStyle w:val="nTable"/>
              <w:spacing w:after="40"/>
            </w:pPr>
            <w:r>
              <w:t>23 Feb 1996 p. 685</w:t>
            </w:r>
            <w:r>
              <w:noBreakHyphen/>
              <w:t>7</w:t>
            </w:r>
          </w:p>
        </w:tc>
        <w:tc>
          <w:tcPr>
            <w:tcW w:w="2693" w:type="dxa"/>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tcPr>
          <w:p>
            <w:pPr>
              <w:pStyle w:val="nTable"/>
              <w:spacing w:after="40"/>
            </w:pPr>
            <w:r>
              <w:t>7 Jun 1996 p. 2423</w:t>
            </w:r>
          </w:p>
        </w:tc>
        <w:tc>
          <w:tcPr>
            <w:tcW w:w="2693" w:type="dxa"/>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tcPr>
          <w:p>
            <w:pPr>
              <w:pStyle w:val="nTable"/>
              <w:spacing w:after="40"/>
            </w:pPr>
            <w:r>
              <w:t>28 Mar 2000 p. 1688</w:t>
            </w:r>
            <w:r>
              <w:noBreakHyphen/>
              <w:t>94</w:t>
            </w:r>
          </w:p>
        </w:tc>
        <w:tc>
          <w:tcPr>
            <w:tcW w:w="2693" w:type="dxa"/>
          </w:tcPr>
          <w:p>
            <w:pPr>
              <w:pStyle w:val="nTable"/>
              <w:spacing w:after="40"/>
            </w:pPr>
            <w:r>
              <w:t>28 Mar 2000</w:t>
            </w:r>
          </w:p>
        </w:tc>
      </w:tr>
      <w:tr>
        <w:trPr>
          <w:cantSplit/>
        </w:trPr>
        <w:tc>
          <w:tcPr>
            <w:tcW w:w="7088" w:type="dxa"/>
            <w:gridSpan w:val="3"/>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tcPr>
          <w:p>
            <w:pPr>
              <w:pStyle w:val="nTable"/>
              <w:spacing w:after="40"/>
            </w:pPr>
            <w:r>
              <w:t>20 Jun 2000 p. 3071</w:t>
            </w:r>
            <w:r>
              <w:noBreakHyphen/>
              <w:t>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tcPr>
          <w:p>
            <w:pPr>
              <w:pStyle w:val="nTable"/>
              <w:spacing w:after="40"/>
            </w:pPr>
            <w:r>
              <w:t>21 Nov 2000 p. 6326</w:t>
            </w:r>
            <w:r>
              <w:noBreakHyphen/>
              <w:t>9</w:t>
            </w:r>
          </w:p>
        </w:tc>
        <w:tc>
          <w:tcPr>
            <w:tcW w:w="2693" w:type="dxa"/>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tcPr>
          <w:p>
            <w:pPr>
              <w:pStyle w:val="nTable"/>
              <w:spacing w:after="40"/>
            </w:pPr>
            <w:r>
              <w:t>24 Dec 2002 p. 6605</w:t>
            </w:r>
            <w:r>
              <w:noBreakHyphen/>
              <w:t>6</w:t>
            </w:r>
          </w:p>
        </w:tc>
        <w:tc>
          <w:tcPr>
            <w:tcW w:w="2693" w:type="dxa"/>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after="40"/>
            </w:pPr>
            <w:r>
              <w:t>24 Dec 2003 p. 5267</w:t>
            </w:r>
            <w:r>
              <w:noBreakHyphen/>
              <w:t>71</w:t>
            </w:r>
          </w:p>
        </w:tc>
        <w:tc>
          <w:tcPr>
            <w:tcW w:w="2693" w:type="dxa"/>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after="40"/>
            </w:pPr>
            <w:r>
              <w:t>10 Dec 2004 p. 5911</w:t>
            </w:r>
            <w:r>
              <w:noBreakHyphen/>
              <w:t>15</w:t>
            </w:r>
          </w:p>
        </w:tc>
        <w:tc>
          <w:tcPr>
            <w:tcW w:w="2693" w:type="dxa"/>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after="40"/>
            </w:pPr>
            <w:r>
              <w:t>21 Jan 2005 p. 270</w:t>
            </w:r>
            <w:r>
              <w:noBreakHyphen/>
              <w:t>4</w:t>
            </w:r>
          </w:p>
        </w:tc>
        <w:tc>
          <w:tcPr>
            <w:tcW w:w="2693" w:type="dxa"/>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after="40"/>
            </w:pPr>
            <w:r>
              <w:t>1 Dec 2005 p. 5791</w:t>
            </w:r>
            <w:r>
              <w:noBreakHyphen/>
              <w:t>801</w:t>
            </w:r>
          </w:p>
        </w:tc>
        <w:tc>
          <w:tcPr>
            <w:tcW w:w="2693" w:type="dxa"/>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after="40"/>
            </w:pPr>
            <w:r>
              <w:t>14 Jul 2006 p. 2570</w:t>
            </w:r>
            <w:r>
              <w:noBreakHyphen/>
              <w:t>5</w:t>
            </w:r>
          </w:p>
        </w:tc>
        <w:tc>
          <w:tcPr>
            <w:tcW w:w="2693" w:type="dxa"/>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shd w:val="clear" w:color="auto" w:fill="auto"/>
          </w:tcPr>
          <w:p>
            <w:pPr>
              <w:pStyle w:val="nTable"/>
              <w:spacing w:after="40"/>
            </w:pPr>
            <w:r>
              <w:t>28 Jun 2016 p. 2655-92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3"/>
            <w:tcBorders>
              <w:bottom w:val="single" w:sz="8" w:space="0" w:color="auto"/>
            </w:tcBorders>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 w:name="_Toc482273521"/>
      <w:r>
        <w:t>Provisions that have not come into operation</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(Country Taxi</w:t>
            </w:r>
            <w:r>
              <w:rPr>
                <w:i/>
              </w:rPr>
              <w:noBreakHyphen/>
              <w:t>cars Fares) Amendment Regulations 2017</w:t>
            </w:r>
            <w:r>
              <w:t xml:space="preserve"> r. 3 and 4 </w:t>
            </w:r>
            <w:r>
              <w:rPr>
                <w:vertAlign w:val="superscript"/>
              </w:rPr>
              <w:t>4</w:t>
            </w:r>
          </w:p>
        </w:tc>
        <w:tc>
          <w:tcPr>
            <w:tcW w:w="1276" w:type="dxa"/>
          </w:tcPr>
          <w:p>
            <w:pPr>
              <w:pStyle w:val="nTable"/>
              <w:spacing w:after="40"/>
            </w:pPr>
            <w:r>
              <w:t>12 May 2017 p. 2471</w:t>
            </w:r>
            <w:r>
              <w:noBreakHyphen/>
              <w:t>2</w:t>
            </w:r>
          </w:p>
        </w:tc>
        <w:tc>
          <w:tcPr>
            <w:tcW w:w="2693" w:type="dxa"/>
          </w:tcPr>
          <w:p>
            <w:pPr>
              <w:pStyle w:val="nTable"/>
              <w:spacing w:after="40"/>
            </w:pPr>
            <w:r>
              <w:t>22 May 2017 (see r. 2(b))</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Transport (Country Taxi</w:t>
      </w:r>
      <w:r>
        <w:rPr>
          <w:i/>
          <w:snapToGrid w:val="0"/>
        </w:rPr>
        <w:noBreakHyphen/>
        <w:t>cars Fares) Amendment Regulations 2017</w:t>
      </w:r>
      <w:r>
        <w:rPr>
          <w:snapToGrid w:val="0"/>
        </w:rPr>
        <w:t xml:space="preserve"> r. 3 and 4</w:t>
      </w:r>
      <w:r>
        <w:rPr>
          <w:i/>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7" w:name="_Toc480553681"/>
      <w:bookmarkStart w:id="48" w:name="_Toc480553785"/>
      <w:r>
        <w:rPr>
          <w:rStyle w:val="CharSectno"/>
        </w:rPr>
        <w:t>3</w:t>
      </w:r>
      <w:r>
        <w:rPr>
          <w:snapToGrid w:val="0"/>
        </w:rPr>
        <w:t>.</w:t>
      </w:r>
      <w:r>
        <w:rPr>
          <w:snapToGrid w:val="0"/>
        </w:rPr>
        <w:tab/>
        <w:t>Regulations amended</w:t>
      </w:r>
      <w:bookmarkEnd w:id="47"/>
      <w:bookmarkEnd w:id="48"/>
    </w:p>
    <w:p>
      <w:pPr>
        <w:pStyle w:val="nzSubsection"/>
      </w:pPr>
      <w:r>
        <w:tab/>
      </w:r>
      <w:r>
        <w:tab/>
        <w:t xml:space="preserve">These </w:t>
      </w:r>
      <w:r>
        <w:rPr>
          <w:spacing w:val="-2"/>
        </w:rPr>
        <w:t>regulations amend</w:t>
      </w:r>
      <w:r>
        <w:t xml:space="preserve"> the </w:t>
      </w:r>
      <w:r>
        <w:rPr>
          <w:i/>
        </w:rPr>
        <w:t>Transport (Country Taxi</w:t>
      </w:r>
      <w:r>
        <w:rPr>
          <w:i/>
        </w:rPr>
        <w:noBreakHyphen/>
        <w:t>cars Fares) Regulations 1991</w:t>
      </w:r>
      <w:r>
        <w:t>.</w:t>
      </w:r>
    </w:p>
    <w:p>
      <w:pPr>
        <w:pStyle w:val="nzHeading5"/>
      </w:pPr>
      <w:bookmarkStart w:id="49" w:name="_Toc480553682"/>
      <w:bookmarkStart w:id="50" w:name="_Toc480553786"/>
      <w:r>
        <w:rPr>
          <w:rStyle w:val="CharSectno"/>
        </w:rPr>
        <w:t>4</w:t>
      </w:r>
      <w:r>
        <w:t>.</w:t>
      </w:r>
      <w:r>
        <w:tab/>
        <w:t>Schedule 1 amended</w:t>
      </w:r>
      <w:bookmarkEnd w:id="49"/>
      <w:bookmarkEnd w:id="50"/>
    </w:p>
    <w:p>
      <w:pPr>
        <w:pStyle w:val="nzSubsection"/>
      </w:pPr>
      <w:r>
        <w:tab/>
      </w:r>
      <w:r>
        <w:tab/>
        <w:t>In Schedule 1 Division 7 after the item for “</w:t>
      </w:r>
      <w:r>
        <w:rPr>
          <w:b/>
        </w:rPr>
        <w:t>Call out fee</w:t>
      </w:r>
      <w:r>
        <w:t>” insert:</w:t>
      </w:r>
    </w:p>
    <w:p>
      <w:pPr>
        <w:pStyle w:val="BlankOpen"/>
      </w:pPr>
    </w:p>
    <w:tbl>
      <w:tblPr>
        <w:tblW w:w="0" w:type="auto"/>
        <w:tblInd w:w="817" w:type="dxa"/>
        <w:tblBorders>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Airport fee</w:t>
            </w:r>
          </w:p>
          <w:p>
            <w:pPr>
              <w:pStyle w:val="yTableNAm"/>
            </w:pPr>
            <w:r>
              <w:t>(for a journey starting at the terminal at the Port Hedland International Airport)</w:t>
            </w:r>
          </w:p>
        </w:tc>
        <w:tc>
          <w:tcPr>
            <w:tcW w:w="1417" w:type="dxa"/>
          </w:tcPr>
          <w:p>
            <w:pPr>
              <w:pStyle w:val="yTableNAm"/>
            </w:pPr>
          </w:p>
          <w:p>
            <w:pPr>
              <w:pStyle w:val="yTableNAm"/>
            </w:pPr>
            <w:r>
              <w:br/>
              <w:t>$2.00</w:t>
            </w:r>
          </w:p>
        </w:tc>
      </w:tr>
    </w:tbl>
    <w:p>
      <w:pPr>
        <w:pStyle w:val="BlankClose"/>
        <w:keepNext/>
      </w:pPr>
    </w:p>
    <w:p>
      <w:pPr>
        <w:pStyle w:val="BlankClose"/>
        <w:keepNext/>
      </w:pPr>
    </w:p>
    <w:p>
      <w:pPr>
        <w:rPr>
          <w:noProof/>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2" w:name="_Toc482273467"/>
      <w:bookmarkStart w:id="53" w:name="_Toc482273522"/>
      <w:r>
        <w:rPr>
          <w:sz w:val="28"/>
        </w:rPr>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noProof/>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11111117"/>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F919-3730-489B-AB40-B4223BC6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6600</Words>
  <Characters>32410</Characters>
  <Application>Microsoft Office Word</Application>
  <DocSecurity>0</DocSecurity>
  <Lines>1800</Lines>
  <Paragraphs>1083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1991 - 04-b0-00</dc:title>
  <dc:subject/>
  <dc:creator/>
  <cp:keywords/>
  <dc:description/>
  <cp:lastModifiedBy>svcMRProcess</cp:lastModifiedBy>
  <cp:revision>4</cp:revision>
  <cp:lastPrinted>2017-03-08T04:38:00Z</cp:lastPrinted>
  <dcterms:created xsi:type="dcterms:W3CDTF">2018-09-10T09:28:00Z</dcterms:created>
  <dcterms:modified xsi:type="dcterms:W3CDTF">2018-09-10T09:28:00Z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12 May 2017</vt:lpwstr>
  </property>
  <property fmtid="{D5CDD505-2E9C-101B-9397-08002B2CF9AE}" pid="8" name="Suffix">
    <vt:lpwstr>04-b0-00</vt:lpwstr>
  </property>
  <property fmtid="{D5CDD505-2E9C-101B-9397-08002B2CF9AE}" pid="9" name="CommencementDate">
    <vt:lpwstr>20170512</vt:lpwstr>
  </property>
</Properties>
</file>