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before="6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spacing w:after="720"/>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_Toc140636129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_Toc140636130 \h </w:instrText>
      </w:r>
      <w:r>
        <w:fldChar w:fldCharType="separate"/>
      </w:r>
      <w:r>
        <w:t>1</w:t>
      </w:r>
      <w:r>
        <w:fldChar w:fldCharType="end"/>
      </w:r>
    </w:p>
    <w:p>
      <w:pPr>
        <w:pStyle w:val="TOC8"/>
        <w:rPr>
          <w:sz w:val="24"/>
        </w:rPr>
      </w:pPr>
      <w:r>
        <w:t>3</w:t>
      </w:r>
      <w:r>
        <w:rPr>
          <w:snapToGrid w:val="0"/>
        </w:rPr>
        <w:t>.</w:t>
      </w:r>
      <w:r>
        <w:rPr>
          <w:snapToGrid w:val="0"/>
        </w:rPr>
        <w:tab/>
        <w:t>Enactments to which Part 3 applies (s. 12)</w:t>
      </w:r>
      <w:r>
        <w:tab/>
      </w:r>
      <w:r>
        <w:fldChar w:fldCharType="begin"/>
      </w:r>
      <w:r>
        <w:instrText xml:space="preserve"> PAGEREF _Toc140636131 \h </w:instrText>
      </w:r>
      <w:r>
        <w:fldChar w:fldCharType="separate"/>
      </w:r>
      <w:r>
        <w:t>1</w:t>
      </w:r>
      <w:r>
        <w:fldChar w:fldCharType="end"/>
      </w:r>
    </w:p>
    <w:p>
      <w:pPr>
        <w:pStyle w:val="TOC8"/>
        <w:rPr>
          <w:sz w:val="24"/>
        </w:rPr>
      </w:pPr>
      <w:r>
        <w:t>3A.</w:t>
      </w:r>
      <w:r>
        <w:tab/>
        <w:t>Form of request (s. 27A)</w:t>
      </w:r>
      <w:r>
        <w:tab/>
      </w:r>
      <w:r>
        <w:fldChar w:fldCharType="begin"/>
      </w:r>
      <w:r>
        <w:instrText xml:space="preserve"> PAGEREF _Toc140636132 \h </w:instrText>
      </w:r>
      <w:r>
        <w:fldChar w:fldCharType="separate"/>
      </w:r>
      <w:r>
        <w:t>1</w:t>
      </w:r>
      <w:r>
        <w:fldChar w:fldCharType="end"/>
      </w:r>
    </w:p>
    <w:p>
      <w:pPr>
        <w:pStyle w:val="TOC8"/>
        <w:rPr>
          <w:sz w:val="24"/>
        </w:rPr>
      </w:pPr>
      <w:r>
        <w:t>4</w:t>
      </w:r>
      <w:r>
        <w:rPr>
          <w:snapToGrid w:val="0"/>
        </w:rPr>
        <w:t>.</w:t>
      </w:r>
      <w:r>
        <w:rPr>
          <w:snapToGrid w:val="0"/>
        </w:rPr>
        <w:tab/>
        <w:t>Matters included in the definition of “fine” for Part 4 (s. 28)</w:t>
      </w:r>
      <w:r>
        <w:tab/>
      </w:r>
      <w:r>
        <w:fldChar w:fldCharType="begin"/>
      </w:r>
      <w:r>
        <w:instrText xml:space="preserve"> PAGEREF _Toc140636133 \h </w:instrText>
      </w:r>
      <w:r>
        <w:fldChar w:fldCharType="separate"/>
      </w:r>
      <w:r>
        <w:t>1</w:t>
      </w:r>
      <w:r>
        <w:fldChar w:fldCharType="end"/>
      </w:r>
    </w:p>
    <w:p>
      <w:pPr>
        <w:pStyle w:val="TOC8"/>
        <w:rPr>
          <w:sz w:val="24"/>
        </w:rPr>
      </w:pPr>
      <w:r>
        <w:t>5</w:t>
      </w:r>
      <w:r>
        <w:rPr>
          <w:snapToGrid w:val="0"/>
        </w:rPr>
        <w:t>.</w:t>
      </w:r>
      <w:r>
        <w:rPr>
          <w:snapToGrid w:val="0"/>
        </w:rPr>
        <w:tab/>
        <w:t>Fines to which sections 31 to 37 apply (s. 31)</w:t>
      </w:r>
      <w:r>
        <w:tab/>
      </w:r>
      <w:r>
        <w:fldChar w:fldCharType="begin"/>
      </w:r>
      <w:r>
        <w:instrText xml:space="preserve"> PAGEREF _Toc140636134 \h </w:instrText>
      </w:r>
      <w:r>
        <w:fldChar w:fldCharType="separate"/>
      </w:r>
      <w:r>
        <w:t>2</w:t>
      </w:r>
      <w:r>
        <w:fldChar w:fldCharType="end"/>
      </w:r>
    </w:p>
    <w:p>
      <w:pPr>
        <w:pStyle w:val="TOC8"/>
        <w:rPr>
          <w:sz w:val="24"/>
        </w:rPr>
      </w:pPr>
      <w:r>
        <w:t>6</w:t>
      </w:r>
      <w:r>
        <w:rPr>
          <w:snapToGrid w:val="0"/>
        </w:rPr>
        <w:t>.</w:t>
      </w:r>
      <w:r>
        <w:rPr>
          <w:snapToGrid w:val="0"/>
        </w:rPr>
        <w:tab/>
        <w:t>Applications for time to pay orders</w:t>
      </w:r>
      <w:r>
        <w:tab/>
      </w:r>
      <w:r>
        <w:fldChar w:fldCharType="begin"/>
      </w:r>
      <w:r>
        <w:instrText xml:space="preserve"> PAGEREF _Toc140636135 \h </w:instrText>
      </w:r>
      <w:r>
        <w:fldChar w:fldCharType="separate"/>
      </w:r>
      <w:r>
        <w:t>2</w:t>
      </w:r>
      <w:r>
        <w:fldChar w:fldCharType="end"/>
      </w:r>
    </w:p>
    <w:p>
      <w:pPr>
        <w:pStyle w:val="TOC8"/>
        <w:rPr>
          <w:sz w:val="24"/>
        </w:rPr>
      </w:pPr>
      <w:r>
        <w:t>6A</w:t>
      </w:r>
      <w:r>
        <w:rPr>
          <w:snapToGrid w:val="0"/>
        </w:rPr>
        <w:t>.</w:t>
      </w:r>
      <w:r>
        <w:rPr>
          <w:snapToGrid w:val="0"/>
        </w:rPr>
        <w:tab/>
        <w:t>Calculation of required hours for WDO (s. 49(2))</w:t>
      </w:r>
      <w:r>
        <w:tab/>
      </w:r>
      <w:r>
        <w:fldChar w:fldCharType="begin"/>
      </w:r>
      <w:r>
        <w:instrText xml:space="preserve"> PAGEREF _Toc140636136 \h </w:instrText>
      </w:r>
      <w:r>
        <w:fldChar w:fldCharType="separate"/>
      </w:r>
      <w:r>
        <w:t>3</w:t>
      </w:r>
      <w:r>
        <w:fldChar w:fldCharType="end"/>
      </w:r>
    </w:p>
    <w:p>
      <w:pPr>
        <w:pStyle w:val="TOC8"/>
        <w:rPr>
          <w:sz w:val="24"/>
        </w:rPr>
      </w:pPr>
      <w:r>
        <w:t>6B</w:t>
      </w:r>
      <w:r>
        <w:rPr>
          <w:snapToGrid w:val="0"/>
        </w:rPr>
        <w:t>.</w:t>
      </w:r>
      <w:r>
        <w:rPr>
          <w:snapToGrid w:val="0"/>
        </w:rPr>
        <w:tab/>
        <w:t>Reduction of WDO amount when work performed or hours when payment made (s. 51)</w:t>
      </w:r>
      <w:r>
        <w:tab/>
      </w:r>
      <w:r>
        <w:fldChar w:fldCharType="begin"/>
      </w:r>
      <w:r>
        <w:instrText xml:space="preserve"> PAGEREF _Toc140636137 \h </w:instrText>
      </w:r>
      <w:r>
        <w:fldChar w:fldCharType="separate"/>
      </w:r>
      <w:r>
        <w:t>3</w:t>
      </w:r>
      <w:r>
        <w:fldChar w:fldCharType="end"/>
      </w:r>
    </w:p>
    <w:p>
      <w:pPr>
        <w:pStyle w:val="TOC8"/>
        <w:rPr>
          <w:sz w:val="24"/>
        </w:rPr>
      </w:pPr>
      <w:r>
        <w:t>6BA.</w:t>
      </w:r>
      <w:r>
        <w:tab/>
        <w:t>Form of request (s. 55A)</w:t>
      </w:r>
      <w:r>
        <w:tab/>
      </w:r>
      <w:r>
        <w:fldChar w:fldCharType="begin"/>
      </w:r>
      <w:r>
        <w:instrText xml:space="preserve"> PAGEREF _Toc140636138 \h </w:instrText>
      </w:r>
      <w:r>
        <w:fldChar w:fldCharType="separate"/>
      </w:r>
      <w:r>
        <w:t>3</w:t>
      </w:r>
      <w:r>
        <w:fldChar w:fldCharType="end"/>
      </w:r>
    </w:p>
    <w:p>
      <w:pPr>
        <w:pStyle w:val="TOC8"/>
        <w:rPr>
          <w:sz w:val="24"/>
        </w:rPr>
      </w:pPr>
      <w:r>
        <w:t>6C.</w:t>
      </w:r>
      <w:r>
        <w:tab/>
        <w:t>Reduction of liability to pay fine where WDO taken to be cancelled (</w:t>
      </w:r>
      <w:r>
        <w:rPr>
          <w:i/>
        </w:rPr>
        <w:t xml:space="preserve">Sentencing Act 1995 </w:t>
      </w:r>
      <w:r>
        <w:t>s. 57B(7))</w:t>
      </w:r>
      <w:r>
        <w:tab/>
      </w:r>
      <w:r>
        <w:fldChar w:fldCharType="begin"/>
      </w:r>
      <w:r>
        <w:instrText xml:space="preserve"> PAGEREF _Toc140636139 \h </w:instrText>
      </w:r>
      <w:r>
        <w:fldChar w:fldCharType="separate"/>
      </w:r>
      <w:r>
        <w:t>4</w:t>
      </w:r>
      <w:r>
        <w:fldChar w:fldCharType="end"/>
      </w:r>
    </w:p>
    <w:p>
      <w:pPr>
        <w:pStyle w:val="TOC8"/>
        <w:rPr>
          <w:sz w:val="24"/>
        </w:rPr>
      </w:pPr>
      <w:r>
        <w:t>7</w:t>
      </w:r>
      <w:r>
        <w:rPr>
          <w:snapToGrid w:val="0"/>
        </w:rPr>
        <w:t>.</w:t>
      </w:r>
      <w:r>
        <w:rPr>
          <w:snapToGrid w:val="0"/>
        </w:rPr>
        <w:tab/>
        <w:t>Reciprocating States and courts for Part 6 (s. 60)</w:t>
      </w:r>
      <w:r>
        <w:tab/>
      </w:r>
      <w:r>
        <w:fldChar w:fldCharType="begin"/>
      </w:r>
      <w:r>
        <w:instrText xml:space="preserve"> PAGEREF _Toc140636140 \h </w:instrText>
      </w:r>
      <w:r>
        <w:fldChar w:fldCharType="separate"/>
      </w:r>
      <w:r>
        <w:t>4</w:t>
      </w:r>
      <w:r>
        <w:fldChar w:fldCharType="end"/>
      </w:r>
    </w:p>
    <w:p>
      <w:pPr>
        <w:pStyle w:val="TOC8"/>
        <w:rPr>
          <w:sz w:val="24"/>
        </w:rPr>
      </w:pPr>
      <w:r>
        <w:t>8.</w:t>
      </w:r>
      <w:r>
        <w:tab/>
        <w:t>Property that cannot be seized and sold under a warrant</w:t>
      </w:r>
      <w:r>
        <w:tab/>
      </w:r>
      <w:r>
        <w:fldChar w:fldCharType="begin"/>
      </w:r>
      <w:r>
        <w:instrText xml:space="preserve"> PAGEREF _Toc140636141 \h </w:instrText>
      </w:r>
      <w:r>
        <w:fldChar w:fldCharType="separate"/>
      </w:r>
      <w:r>
        <w:t>5</w:t>
      </w:r>
      <w:r>
        <w:fldChar w:fldCharType="end"/>
      </w:r>
    </w:p>
    <w:p>
      <w:pPr>
        <w:pStyle w:val="TOC8"/>
        <w:rPr>
          <w:sz w:val="24"/>
        </w:rPr>
      </w:pPr>
      <w:r>
        <w:t>8A</w:t>
      </w:r>
      <w:r>
        <w:rPr>
          <w:snapToGrid w:val="0"/>
        </w:rPr>
        <w:t>.</w:t>
      </w:r>
      <w:r>
        <w:rPr>
          <w:snapToGrid w:val="0"/>
        </w:rPr>
        <w:tab/>
        <w:t>Recommencing enforcement after successful application under section 101 or 101A</w:t>
      </w:r>
      <w:r>
        <w:tab/>
      </w:r>
      <w:r>
        <w:fldChar w:fldCharType="begin"/>
      </w:r>
      <w:r>
        <w:instrText xml:space="preserve"> PAGEREF _Toc140636142 \h </w:instrText>
      </w:r>
      <w:r>
        <w:fldChar w:fldCharType="separate"/>
      </w:r>
      <w:r>
        <w:t>5</w:t>
      </w:r>
      <w:r>
        <w:fldChar w:fldCharType="end"/>
      </w:r>
    </w:p>
    <w:p>
      <w:pPr>
        <w:pStyle w:val="TOC8"/>
        <w:rPr>
          <w:sz w:val="24"/>
        </w:rPr>
      </w:pPr>
      <w:r>
        <w:t>8B</w:t>
      </w:r>
      <w:r>
        <w:rPr>
          <w:snapToGrid w:val="0"/>
        </w:rPr>
        <w:t>.</w:t>
      </w:r>
      <w:r>
        <w:rPr>
          <w:snapToGrid w:val="0"/>
        </w:rPr>
        <w:tab/>
        <w:t>Recommencing enforcement after an appeal (s. 101B)</w:t>
      </w:r>
      <w:r>
        <w:tab/>
      </w:r>
      <w:r>
        <w:fldChar w:fldCharType="begin"/>
      </w:r>
      <w:r>
        <w:instrText xml:space="preserve"> PAGEREF _Toc140636143 \h </w:instrText>
      </w:r>
      <w:r>
        <w:fldChar w:fldCharType="separate"/>
      </w:r>
      <w:r>
        <w:t>6</w:t>
      </w:r>
      <w:r>
        <w:fldChar w:fldCharType="end"/>
      </w:r>
    </w:p>
    <w:p>
      <w:pPr>
        <w:pStyle w:val="TOC8"/>
        <w:rPr>
          <w:sz w:val="24"/>
        </w:rPr>
      </w:pPr>
      <w:r>
        <w:t>9.</w:t>
      </w:r>
      <w:r>
        <w:tab/>
        <w:t>Enforcement fees for Parts 3, 4 and 7</w:t>
      </w:r>
      <w:r>
        <w:tab/>
      </w:r>
      <w:r>
        <w:fldChar w:fldCharType="begin"/>
      </w:r>
      <w:r>
        <w:instrText xml:space="preserve"> PAGEREF _Toc140636144 \h </w:instrText>
      </w:r>
      <w:r>
        <w:fldChar w:fldCharType="separate"/>
      </w:r>
      <w:r>
        <w:t>7</w:t>
      </w:r>
      <w:r>
        <w:fldChar w:fldCharType="end"/>
      </w:r>
    </w:p>
    <w:p>
      <w:pPr>
        <w:pStyle w:val="TOC8"/>
        <w:rPr>
          <w:sz w:val="24"/>
        </w:rPr>
      </w:pPr>
      <w:r>
        <w:t>10</w:t>
      </w:r>
      <w:r>
        <w:rPr>
          <w:snapToGrid w:val="0"/>
        </w:rPr>
        <w:t>.</w:t>
      </w:r>
      <w:r>
        <w:rPr>
          <w:snapToGrid w:val="0"/>
        </w:rPr>
        <w:tab/>
        <w:t>Exemption from fees</w:t>
      </w:r>
      <w:r>
        <w:tab/>
      </w:r>
      <w:r>
        <w:fldChar w:fldCharType="begin"/>
      </w:r>
      <w:r>
        <w:instrText xml:space="preserve"> PAGEREF _Toc140636145 \h </w:instrText>
      </w:r>
      <w:r>
        <w:fldChar w:fldCharType="separate"/>
      </w:r>
      <w:r>
        <w:t>7</w:t>
      </w:r>
      <w:r>
        <w:fldChar w:fldCharType="end"/>
      </w:r>
    </w:p>
    <w:p>
      <w:pPr>
        <w:pStyle w:val="TOC8"/>
        <w:rPr>
          <w:sz w:val="24"/>
        </w:rPr>
      </w:pPr>
      <w:r>
        <w:t>11</w:t>
      </w:r>
      <w:r>
        <w:rPr>
          <w:snapToGrid w:val="0"/>
        </w:rPr>
        <w:t>.</w:t>
      </w:r>
      <w:r>
        <w:rPr>
          <w:snapToGrid w:val="0"/>
        </w:rPr>
        <w:tab/>
        <w:t>Methods of payment</w:t>
      </w:r>
      <w:r>
        <w:tab/>
      </w:r>
      <w:r>
        <w:fldChar w:fldCharType="begin"/>
      </w:r>
      <w:r>
        <w:instrText xml:space="preserve"> PAGEREF _Toc140636146 \h </w:instrText>
      </w:r>
      <w:r>
        <w:fldChar w:fldCharType="separate"/>
      </w:r>
      <w:r>
        <w:t>8</w:t>
      </w:r>
      <w:r>
        <w:fldChar w:fldCharType="end"/>
      </w:r>
    </w:p>
    <w:p>
      <w:pPr>
        <w:pStyle w:val="TOC8"/>
        <w:rPr>
          <w:sz w:val="24"/>
        </w:rPr>
      </w:pPr>
      <w:r>
        <w:lastRenderedPageBreak/>
        <w:t>12</w:t>
      </w:r>
      <w:r>
        <w:rPr>
          <w:snapToGrid w:val="0"/>
        </w:rPr>
        <w:t>.</w:t>
      </w:r>
      <w:r>
        <w:rPr>
          <w:snapToGrid w:val="0"/>
        </w:rPr>
        <w:tab/>
        <w:t>Forms</w:t>
      </w:r>
      <w:r>
        <w:tab/>
      </w:r>
      <w:r>
        <w:fldChar w:fldCharType="begin"/>
      </w:r>
      <w:r>
        <w:instrText xml:space="preserve"> PAGEREF _Toc140636147 \h </w:instrText>
      </w:r>
      <w:r>
        <w:fldChar w:fldCharType="separate"/>
      </w:r>
      <w:r>
        <w:t>8</w:t>
      </w:r>
      <w:r>
        <w:fldChar w:fldCharType="end"/>
      </w:r>
    </w:p>
    <w:p>
      <w:pPr>
        <w:pStyle w:val="TOC2"/>
        <w:tabs>
          <w:tab w:val="right" w:leader="dot" w:pos="7086"/>
        </w:tabs>
        <w:rPr>
          <w:b w:val="0"/>
          <w:sz w:val="24"/>
        </w:rPr>
      </w:pPr>
      <w:r>
        <w:t>Schedule 1 — Enactments to which Part 3 of the Act applies</w:t>
      </w:r>
    </w:p>
    <w:p>
      <w:pPr>
        <w:pStyle w:val="TOC2"/>
        <w:tabs>
          <w:tab w:val="right" w:leader="dot" w:pos="7086"/>
        </w:tabs>
        <w:rPr>
          <w:b w:val="0"/>
          <w:sz w:val="24"/>
        </w:rPr>
      </w:pPr>
      <w:r>
        <w:t>Schedule 2 — Enforcement Fees</w:t>
      </w:r>
    </w:p>
    <w:p>
      <w:pPr>
        <w:pStyle w:val="TOC4"/>
        <w:tabs>
          <w:tab w:val="right" w:leader="dot" w:pos="7086"/>
        </w:tabs>
        <w:rPr>
          <w:b w:val="0"/>
          <w:sz w:val="24"/>
        </w:rPr>
      </w:pPr>
      <w:r>
        <w:t>Division 1</w:t>
      </w:r>
      <w:r>
        <w:rPr>
          <w:b w:val="0"/>
        </w:rPr>
        <w:t> — </w:t>
      </w:r>
      <w:r>
        <w:t>Enforcement fees for Part 3 of the Act</w:t>
      </w:r>
    </w:p>
    <w:p>
      <w:pPr>
        <w:pStyle w:val="TOC4"/>
        <w:tabs>
          <w:tab w:val="right" w:leader="dot" w:pos="7086"/>
        </w:tabs>
        <w:rPr>
          <w:b w:val="0"/>
          <w:sz w:val="24"/>
        </w:rPr>
      </w:pPr>
      <w:r>
        <w:t>Division 2</w:t>
      </w:r>
      <w:r>
        <w:rPr>
          <w:b w:val="0"/>
        </w:rPr>
        <w:t> — </w:t>
      </w:r>
      <w:r>
        <w:t>Enforcement fees for Part 4 of the Act</w:t>
      </w:r>
    </w:p>
    <w:p>
      <w:pPr>
        <w:pStyle w:val="TOC4"/>
        <w:tabs>
          <w:tab w:val="right" w:leader="dot" w:pos="7086"/>
        </w:tabs>
        <w:rPr>
          <w:b w:val="0"/>
          <w:sz w:val="24"/>
        </w:rPr>
      </w:pPr>
      <w:r>
        <w:t>Division 3</w:t>
      </w:r>
      <w:r>
        <w:rPr>
          <w:b w:val="0"/>
        </w:rPr>
        <w:t> — </w:t>
      </w:r>
      <w:r>
        <w:t>Enforcement fees for Part 7 of the Act</w:t>
      </w:r>
    </w:p>
    <w:p>
      <w:pPr>
        <w:pStyle w:val="TOC2"/>
        <w:tabs>
          <w:tab w:val="right" w:leader="dot" w:pos="7086"/>
        </w:tabs>
        <w:rPr>
          <w:b w:val="0"/>
          <w:sz w:val="24"/>
        </w:rPr>
      </w:pPr>
      <w:r>
        <w:t>Schedule 3 — Forms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_Toc140636155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2" w:name="_Toc446133948"/>
      <w:bookmarkStart w:id="3" w:name="_Toc18144339"/>
      <w:bookmarkStart w:id="4" w:name="_Toc61253998"/>
      <w:bookmarkStart w:id="5" w:name="_Toc113952834"/>
      <w:bookmarkStart w:id="6" w:name="_Toc14063612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40636130"/>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2" w:name="_Toc446133950"/>
      <w:bookmarkStart w:id="13" w:name="_Toc18144341"/>
      <w:bookmarkStart w:id="14" w:name="_Toc61254000"/>
      <w:bookmarkStart w:id="15" w:name="_Toc113952836"/>
      <w:bookmarkStart w:id="16" w:name="_Toc140636131"/>
      <w:r>
        <w:rPr>
          <w:rStyle w:val="CharSectno"/>
        </w:rPr>
        <w:t>3</w:t>
      </w:r>
      <w:r>
        <w:rPr>
          <w:snapToGrid w:val="0"/>
        </w:rPr>
        <w:t>.</w:t>
      </w:r>
      <w:r>
        <w:rPr>
          <w:snapToGrid w:val="0"/>
        </w:rPr>
        <w:tab/>
        <w:t>Enactments to which Part 3 applies (s. 12)</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7" w:name="_Toc18144342"/>
      <w:bookmarkStart w:id="18" w:name="_Toc61254001"/>
      <w:bookmarkStart w:id="19" w:name="_Toc113952837"/>
      <w:bookmarkStart w:id="20" w:name="_Toc140636132"/>
      <w:bookmarkStart w:id="21" w:name="_Toc446133951"/>
      <w:r>
        <w:rPr>
          <w:rStyle w:val="CharSectno"/>
        </w:rPr>
        <w:t>3A</w:t>
      </w:r>
      <w:r>
        <w:t>.</w:t>
      </w:r>
      <w:r>
        <w:tab/>
        <w:t>Form of request (s. 27A)</w:t>
      </w:r>
      <w:bookmarkEnd w:id="17"/>
      <w:bookmarkEnd w:id="18"/>
      <w:bookmarkEnd w:id="19"/>
      <w:bookmarkEnd w:id="20"/>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2" w:name="_Toc18144343"/>
      <w:bookmarkStart w:id="23" w:name="_Toc61254002"/>
      <w:bookmarkStart w:id="24" w:name="_Toc113952838"/>
      <w:bookmarkStart w:id="25" w:name="_Toc140636133"/>
      <w:r>
        <w:rPr>
          <w:rStyle w:val="CharSectno"/>
        </w:rPr>
        <w:t>4</w:t>
      </w:r>
      <w:r>
        <w:rPr>
          <w:snapToGrid w:val="0"/>
        </w:rPr>
        <w:t>.</w:t>
      </w:r>
      <w:r>
        <w:rPr>
          <w:snapToGrid w:val="0"/>
        </w:rPr>
        <w:tab/>
        <w:t>Matters included in the definition of “fine” for Part 4 (s. 28)</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Rehabilitation Act 1981</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26" w:name="_Toc446133952"/>
      <w:bookmarkStart w:id="27" w:name="_Toc18144344"/>
      <w:bookmarkStart w:id="28" w:name="_Toc61254003"/>
      <w:bookmarkStart w:id="29" w:name="_Toc113952839"/>
      <w:bookmarkStart w:id="30" w:name="_Toc140636134"/>
      <w:r>
        <w:rPr>
          <w:rStyle w:val="CharSectno"/>
        </w:rPr>
        <w:t>5</w:t>
      </w:r>
      <w:r>
        <w:rPr>
          <w:snapToGrid w:val="0"/>
        </w:rPr>
        <w:t>.</w:t>
      </w:r>
      <w:r>
        <w:rPr>
          <w:snapToGrid w:val="0"/>
        </w:rPr>
        <w:tab/>
        <w:t>Fines to which sections 31 to 37 apply (s. 31)</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Rehabilitation Act 1981</w:t>
      </w:r>
      <w:r>
        <w:rPr>
          <w:snapToGrid w:val="0"/>
        </w:rPr>
        <w:t xml:space="preserve">. </w:t>
      </w:r>
    </w:p>
    <w:p>
      <w:pPr>
        <w:pStyle w:val="Heading5"/>
        <w:rPr>
          <w:snapToGrid w:val="0"/>
        </w:rPr>
      </w:pPr>
      <w:bookmarkStart w:id="31" w:name="_Toc446133953"/>
      <w:bookmarkStart w:id="32" w:name="_Toc18144345"/>
      <w:bookmarkStart w:id="33" w:name="_Toc61254004"/>
      <w:bookmarkStart w:id="34" w:name="_Toc113952840"/>
      <w:bookmarkStart w:id="35" w:name="_Toc140636135"/>
      <w:r>
        <w:rPr>
          <w:rStyle w:val="CharSectno"/>
        </w:rPr>
        <w:t>6</w:t>
      </w:r>
      <w:r>
        <w:rPr>
          <w:snapToGrid w:val="0"/>
        </w:rPr>
        <w:t>.</w:t>
      </w:r>
      <w:r>
        <w:rPr>
          <w:snapToGrid w:val="0"/>
        </w:rPr>
        <w:tab/>
        <w:t>Applications for time to pay orders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36" w:name="_Toc446133954"/>
      <w:bookmarkStart w:id="37" w:name="_Toc18144346"/>
      <w:bookmarkStart w:id="38" w:name="_Toc61254005"/>
      <w:bookmarkStart w:id="39" w:name="_Toc113952841"/>
      <w:bookmarkStart w:id="40" w:name="_Toc140636136"/>
      <w:r>
        <w:rPr>
          <w:rStyle w:val="CharSectno"/>
        </w:rPr>
        <w:t>6A</w:t>
      </w:r>
      <w:r>
        <w:rPr>
          <w:snapToGrid w:val="0"/>
        </w:rPr>
        <w:t>.</w:t>
      </w:r>
      <w:r>
        <w:rPr>
          <w:snapToGrid w:val="0"/>
        </w:rPr>
        <w:tab/>
        <w:t>Calculation of required hours for WDO (s. 49(2))</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1" w:name="_Toc446133955"/>
      <w:bookmarkStart w:id="42" w:name="_Toc18144347"/>
      <w:bookmarkStart w:id="43" w:name="_Toc61254006"/>
      <w:bookmarkStart w:id="44" w:name="_Toc113952842"/>
      <w:bookmarkStart w:id="45" w:name="_Toc140636137"/>
      <w:r>
        <w:rPr>
          <w:rStyle w:val="CharSectno"/>
        </w:rPr>
        <w:t>6B</w:t>
      </w:r>
      <w:r>
        <w:rPr>
          <w:snapToGrid w:val="0"/>
        </w:rPr>
        <w:t>.</w:t>
      </w:r>
      <w:r>
        <w:rPr>
          <w:snapToGrid w:val="0"/>
        </w:rPr>
        <w:tab/>
        <w:t>Reduction of WDO amount when work performed or hours when payment made (s. 51)</w:t>
      </w:r>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46" w:name="_Toc18144348"/>
      <w:bookmarkStart w:id="47" w:name="_Toc61254007"/>
      <w:bookmarkStart w:id="48" w:name="_Toc113952843"/>
      <w:bookmarkStart w:id="49" w:name="_Toc140636138"/>
      <w:bookmarkStart w:id="50" w:name="_Toc446133956"/>
      <w:r>
        <w:rPr>
          <w:rStyle w:val="CharSectno"/>
        </w:rPr>
        <w:t>6BA</w:t>
      </w:r>
      <w:r>
        <w:t>.</w:t>
      </w:r>
      <w:r>
        <w:tab/>
        <w:t>Form of request (s. 55A)</w:t>
      </w:r>
      <w:bookmarkEnd w:id="46"/>
      <w:bookmarkEnd w:id="47"/>
      <w:bookmarkEnd w:id="48"/>
      <w:bookmarkEnd w:id="49"/>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51" w:name="_Toc18144349"/>
      <w:bookmarkStart w:id="52" w:name="_Toc61254008"/>
      <w:bookmarkStart w:id="53" w:name="_Toc113952844"/>
      <w:bookmarkStart w:id="54" w:name="_Toc140636139"/>
      <w:r>
        <w:rPr>
          <w:rStyle w:val="CharSectno"/>
        </w:rPr>
        <w:t>6C</w:t>
      </w:r>
      <w:r>
        <w:t>.</w:t>
      </w:r>
      <w:r>
        <w:tab/>
        <w:t>Reduction of liability to pay fine where WDO taken to be cancelled (</w:t>
      </w:r>
      <w:r>
        <w:rPr>
          <w:i/>
        </w:rPr>
        <w:t xml:space="preserve">Sentencing Act 1995 </w:t>
      </w:r>
      <w:r>
        <w:t>s. 57B(7))</w:t>
      </w:r>
      <w:bookmarkEnd w:id="51"/>
      <w:bookmarkEnd w:id="52"/>
      <w:bookmarkEnd w:id="53"/>
      <w:bookmarkEnd w:id="5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55" w:name="_Toc18144350"/>
      <w:bookmarkStart w:id="56" w:name="_Toc61254009"/>
      <w:bookmarkStart w:id="57" w:name="_Toc113952845"/>
      <w:bookmarkStart w:id="58" w:name="_Toc140636140"/>
      <w:r>
        <w:rPr>
          <w:rStyle w:val="CharSectno"/>
        </w:rPr>
        <w:t>7</w:t>
      </w:r>
      <w:r>
        <w:rPr>
          <w:snapToGrid w:val="0"/>
        </w:rPr>
        <w:t>.</w:t>
      </w:r>
      <w:r>
        <w:rPr>
          <w:snapToGrid w:val="0"/>
        </w:rPr>
        <w:tab/>
        <w:t>Reciprocating States and courts for Part 6 (s. 60)</w:t>
      </w:r>
      <w:bookmarkEnd w:id="50"/>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pPr>
      <w:bookmarkStart w:id="59" w:name="_Toc140636141"/>
      <w:bookmarkStart w:id="60" w:name="_Toc446133958"/>
      <w:bookmarkStart w:id="61" w:name="_Toc18144352"/>
      <w:bookmarkStart w:id="62" w:name="_Toc61254011"/>
      <w:bookmarkStart w:id="63" w:name="_Toc113952847"/>
      <w:r>
        <w:rPr>
          <w:rStyle w:val="CharSectno"/>
        </w:rPr>
        <w:t>8</w:t>
      </w:r>
      <w:r>
        <w:t>.</w:t>
      </w:r>
      <w:r>
        <w:tab/>
        <w:t>Property that cannot be seized and sold under a warrant</w:t>
      </w:r>
      <w:bookmarkEnd w:id="59"/>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pPr>
      <w:r>
        <w:tab/>
        <w:t>[Regulation 8 inserted in Gazette 30 Dec 2005 p. 6876-7.]</w:t>
      </w:r>
    </w:p>
    <w:p>
      <w:pPr>
        <w:pStyle w:val="Heading5"/>
        <w:spacing w:before="180"/>
        <w:rPr>
          <w:snapToGrid w:val="0"/>
        </w:rPr>
      </w:pPr>
      <w:bookmarkStart w:id="64" w:name="_Toc140636142"/>
      <w:r>
        <w:rPr>
          <w:rStyle w:val="CharSectno"/>
        </w:rPr>
        <w:t>8A</w:t>
      </w:r>
      <w:r>
        <w:rPr>
          <w:snapToGrid w:val="0"/>
        </w:rPr>
        <w:t>.</w:t>
      </w:r>
      <w:r>
        <w:rPr>
          <w:snapToGrid w:val="0"/>
        </w:rPr>
        <w:tab/>
        <w:t>Recommencing enforcement after successful application under section 101 or 101A</w:t>
      </w:r>
      <w:bookmarkEnd w:id="60"/>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65" w:name="_Toc446133959"/>
      <w:bookmarkStart w:id="66" w:name="_Toc18144353"/>
      <w:bookmarkStart w:id="67" w:name="_Toc61254012"/>
      <w:bookmarkStart w:id="68" w:name="_Toc113952848"/>
      <w:bookmarkStart w:id="69" w:name="_Toc140636143"/>
      <w:r>
        <w:rPr>
          <w:rStyle w:val="CharSectno"/>
        </w:rPr>
        <w:t>8B</w:t>
      </w:r>
      <w:r>
        <w:rPr>
          <w:snapToGrid w:val="0"/>
        </w:rPr>
        <w:t>.</w:t>
      </w:r>
      <w:r>
        <w:rPr>
          <w:snapToGrid w:val="0"/>
        </w:rPr>
        <w:tab/>
        <w:t>Recommencing enforcement after an appeal (s. 101B)</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70" w:name="_Toc113952849"/>
      <w:bookmarkStart w:id="71" w:name="_Toc140636144"/>
      <w:bookmarkStart w:id="72" w:name="_Toc446133961"/>
      <w:bookmarkStart w:id="73" w:name="_Toc18144355"/>
      <w:bookmarkStart w:id="74" w:name="_Toc61254014"/>
      <w:r>
        <w:rPr>
          <w:rStyle w:val="CharSectno"/>
        </w:rPr>
        <w:t>9</w:t>
      </w:r>
      <w:r>
        <w:t>.</w:t>
      </w:r>
      <w:r>
        <w:tab/>
        <w:t>Enforcement fees for Parts 3, 4 and 7</w:t>
      </w:r>
      <w:bookmarkEnd w:id="70"/>
      <w:bookmarkEnd w:id="7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75" w:name="_Toc113952850"/>
      <w:bookmarkStart w:id="76" w:name="_Toc140636145"/>
      <w:r>
        <w:rPr>
          <w:rStyle w:val="CharSectno"/>
        </w:rPr>
        <w:t>10</w:t>
      </w:r>
      <w:r>
        <w:rPr>
          <w:snapToGrid w:val="0"/>
        </w:rPr>
        <w:t>.</w:t>
      </w:r>
      <w:r>
        <w:rPr>
          <w:snapToGrid w:val="0"/>
        </w:rPr>
        <w:tab/>
        <w:t>Exemption from fees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w:t>
      </w:r>
    </w:p>
    <w:p>
      <w:pPr>
        <w:pStyle w:val="Indenta"/>
      </w:pPr>
      <w:r>
        <w:tab/>
      </w:r>
      <w:r>
        <w:tab/>
        <w:t>Department of Conservation and Land Management</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2</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3</w:t>
      </w:r>
    </w:p>
    <w:p>
      <w:pPr>
        <w:pStyle w:val="Indenta"/>
        <w:ind w:left="1920" w:hanging="1920"/>
      </w:pPr>
      <w:r>
        <w:tab/>
      </w:r>
      <w:r>
        <w:tab/>
        <w:t xml:space="preserve">Gaming and Wagering Commission of Western Australia </w:t>
      </w:r>
      <w:r>
        <w:rPr>
          <w:vertAlign w:val="superscript"/>
        </w:rPr>
        <w:t>4</w:t>
      </w:r>
    </w:p>
    <w:p>
      <w:pPr>
        <w:pStyle w:val="Indenta"/>
        <w:rPr>
          <w:snapToGrid w:val="0"/>
        </w:rPr>
      </w:pPr>
      <w:r>
        <w:rPr>
          <w:snapToGrid w:val="0"/>
        </w:rPr>
        <w:tab/>
      </w:r>
      <w:r>
        <w:rPr>
          <w:snapToGrid w:val="0"/>
        </w:rPr>
        <w:tab/>
        <w:t>Office of Racing, Gaming and Liquor</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5</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77" w:name="_Toc446133962"/>
      <w:bookmarkStart w:id="78" w:name="_Toc18144356"/>
      <w:bookmarkStart w:id="79" w:name="_Toc61254015"/>
      <w:bookmarkStart w:id="80" w:name="_Toc113952851"/>
      <w:bookmarkStart w:id="81" w:name="_Toc140636146"/>
      <w:r>
        <w:rPr>
          <w:rStyle w:val="CharSectno"/>
        </w:rPr>
        <w:t>11</w:t>
      </w:r>
      <w:r>
        <w:rPr>
          <w:snapToGrid w:val="0"/>
        </w:rPr>
        <w:t>.</w:t>
      </w:r>
      <w:r>
        <w:rPr>
          <w:snapToGrid w:val="0"/>
        </w:rPr>
        <w:tab/>
        <w:t>Methods of payment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82" w:name="_Toc446133963"/>
      <w:bookmarkStart w:id="83" w:name="_Toc18144357"/>
      <w:bookmarkStart w:id="84" w:name="_Toc61254016"/>
      <w:bookmarkStart w:id="85" w:name="_Toc113952852"/>
      <w:bookmarkStart w:id="86" w:name="_Toc140636147"/>
      <w:r>
        <w:rPr>
          <w:rStyle w:val="CharSectno"/>
        </w:rPr>
        <w:t>12</w:t>
      </w:r>
      <w:r>
        <w:rPr>
          <w:snapToGrid w:val="0"/>
        </w:rPr>
        <w:t>.</w:t>
      </w:r>
      <w:r>
        <w:rPr>
          <w:snapToGrid w:val="0"/>
        </w:rPr>
        <w:tab/>
        <w:t>Forms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7" w:name="_Toc113952853"/>
      <w:bookmarkStart w:id="88" w:name="_Toc113952880"/>
      <w:bookmarkStart w:id="89" w:name="_Toc123622580"/>
      <w:bookmarkStart w:id="90" w:name="_Toc139079797"/>
      <w:bookmarkStart w:id="91" w:name="_Toc139275340"/>
      <w:bookmarkStart w:id="92" w:name="_Toc140636148"/>
      <w:r>
        <w:rPr>
          <w:rStyle w:val="CharSchNo"/>
        </w:rPr>
        <w:t>Schedule 1</w:t>
      </w:r>
      <w:r>
        <w:t> — </w:t>
      </w:r>
      <w:r>
        <w:rPr>
          <w:rStyle w:val="CharSchText"/>
        </w:rPr>
        <w:t>Enactments to which Part 3 of the Act applies</w:t>
      </w:r>
      <w:bookmarkEnd w:id="87"/>
      <w:bookmarkEnd w:id="88"/>
      <w:bookmarkEnd w:id="89"/>
      <w:bookmarkEnd w:id="90"/>
      <w:bookmarkEnd w:id="91"/>
      <w:bookmarkEnd w:id="92"/>
    </w:p>
    <w:p>
      <w:pPr>
        <w:pStyle w:val="yShoulderClause"/>
      </w:pPr>
      <w:r>
        <w:t>[r. 3]</w:t>
      </w:r>
    </w:p>
    <w:p>
      <w:pPr>
        <w:pStyle w:val="yFootnoteheading"/>
        <w:spacing w:after="120"/>
      </w:pPr>
      <w:r>
        <w:t>[Headings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Censorship Act 1996</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6</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r>
              <w:t xml:space="preserve"> </w:t>
            </w:r>
            <w:r>
              <w:rPr>
                <w:vertAlign w:val="superscript"/>
              </w:rPr>
              <w:t>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14 Jul 2006 p. 2564.] </w:t>
      </w:r>
    </w:p>
    <w:p>
      <w:pPr>
        <w:pStyle w:val="yScheduleHeading"/>
      </w:pPr>
      <w:bookmarkStart w:id="93" w:name="_Toc113952854"/>
      <w:bookmarkStart w:id="94" w:name="_Toc113952881"/>
      <w:bookmarkStart w:id="95" w:name="_Toc123622581"/>
      <w:bookmarkStart w:id="96" w:name="_Toc139079798"/>
      <w:bookmarkStart w:id="97" w:name="_Toc139275341"/>
      <w:bookmarkStart w:id="98" w:name="_Toc140636149"/>
      <w:bookmarkStart w:id="99" w:name="_Toc77399496"/>
      <w:r>
        <w:rPr>
          <w:rStyle w:val="CharSchNo"/>
        </w:rPr>
        <w:t>Schedule 2</w:t>
      </w:r>
      <w:r>
        <w:t> — </w:t>
      </w:r>
      <w:r>
        <w:rPr>
          <w:rStyle w:val="CharSchText"/>
        </w:rPr>
        <w:t>Enforcement Fees</w:t>
      </w:r>
      <w:bookmarkEnd w:id="93"/>
      <w:bookmarkEnd w:id="94"/>
      <w:bookmarkEnd w:id="95"/>
      <w:bookmarkEnd w:id="96"/>
      <w:bookmarkEnd w:id="97"/>
      <w:bookmarkEnd w:id="98"/>
    </w:p>
    <w:p>
      <w:pPr>
        <w:pStyle w:val="yShoulderClause"/>
      </w:pPr>
      <w:r>
        <w:t>[r. 9]</w:t>
      </w:r>
    </w:p>
    <w:p>
      <w:pPr>
        <w:pStyle w:val="yHeading3"/>
      </w:pPr>
      <w:bookmarkStart w:id="100" w:name="_Toc113952855"/>
      <w:bookmarkStart w:id="101" w:name="_Toc113952882"/>
      <w:bookmarkStart w:id="102" w:name="_Toc123622582"/>
      <w:bookmarkStart w:id="103" w:name="_Toc139079799"/>
      <w:bookmarkStart w:id="104" w:name="_Toc139275342"/>
      <w:bookmarkStart w:id="105" w:name="_Toc140636150"/>
      <w:r>
        <w:t>Division 1</w:t>
      </w:r>
      <w:r>
        <w:rPr>
          <w:b w:val="0"/>
        </w:rPr>
        <w:t> — </w:t>
      </w:r>
      <w:r>
        <w:t>Enforcement fees for Part 3 of the Act</w:t>
      </w:r>
      <w:bookmarkEnd w:id="100"/>
      <w:bookmarkEnd w:id="101"/>
      <w:bookmarkEnd w:id="102"/>
      <w:bookmarkEnd w:id="103"/>
      <w:bookmarkEnd w:id="104"/>
      <w:bookmarkEnd w:id="10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ind w:left="567" w:hanging="567"/>
            </w:pPr>
            <w:r>
              <w:br/>
            </w:r>
          </w:p>
          <w:p>
            <w:pPr>
              <w:pStyle w:val="yTable"/>
              <w:ind w:left="567" w:hanging="567"/>
            </w:pPr>
            <w: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ind w:left="567" w:hanging="567"/>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106" w:name="_Toc113952856"/>
      <w:bookmarkStart w:id="107" w:name="_Toc113952883"/>
      <w:bookmarkStart w:id="108" w:name="_Toc123622583"/>
      <w:r>
        <w:tab/>
        <w:t>[Division 1 amended in Gazette 23 Jun 2006 p. 2191.]</w:t>
      </w:r>
    </w:p>
    <w:p>
      <w:pPr>
        <w:pStyle w:val="yHeading3"/>
        <w:ind w:left="567" w:hanging="567"/>
      </w:pPr>
      <w:bookmarkStart w:id="109" w:name="_Toc139079800"/>
      <w:bookmarkStart w:id="110" w:name="_Toc139275343"/>
      <w:bookmarkStart w:id="111" w:name="_Toc140636151"/>
      <w:r>
        <w:t>Division 2</w:t>
      </w:r>
      <w:r>
        <w:rPr>
          <w:b w:val="0"/>
        </w:rPr>
        <w:t> — </w:t>
      </w:r>
      <w:r>
        <w:t xml:space="preserve">Enforcement </w:t>
      </w:r>
      <w:r>
        <w:rPr>
          <w:rStyle w:val="CharSDivNo"/>
        </w:rPr>
        <w:t>fees</w:t>
      </w:r>
      <w:r>
        <w:t xml:space="preserve"> for Part 4 of the Act</w:t>
      </w:r>
      <w:bookmarkEnd w:id="106"/>
      <w:bookmarkEnd w:id="107"/>
      <w:bookmarkEnd w:id="108"/>
      <w:bookmarkEnd w:id="109"/>
      <w:bookmarkEnd w:id="110"/>
      <w:bookmarkEnd w:id="11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112" w:name="_Toc113952857"/>
      <w:bookmarkStart w:id="113" w:name="_Toc113952884"/>
      <w:bookmarkStart w:id="114" w:name="_Toc123622584"/>
      <w:r>
        <w:tab/>
        <w:t>[Division 2 amended in Gazette 23 Jun 2006 p. 2191.]</w:t>
      </w:r>
    </w:p>
    <w:p>
      <w:pPr>
        <w:pStyle w:val="yHeading3"/>
        <w:ind w:left="567" w:hanging="567"/>
      </w:pPr>
      <w:bookmarkStart w:id="115" w:name="_Toc139079801"/>
      <w:bookmarkStart w:id="116" w:name="_Toc139275344"/>
      <w:bookmarkStart w:id="117" w:name="_Toc140636152"/>
      <w:r>
        <w:t>Division 3</w:t>
      </w:r>
      <w:r>
        <w:rPr>
          <w:b w:val="0"/>
        </w:rPr>
        <w:t> — </w:t>
      </w:r>
      <w:r>
        <w:t>Enforcement fees for Part 7 of the Act</w:t>
      </w:r>
      <w:bookmarkEnd w:id="112"/>
      <w:bookmarkEnd w:id="113"/>
      <w:bookmarkEnd w:id="114"/>
      <w:bookmarkEnd w:id="115"/>
      <w:bookmarkEnd w:id="116"/>
      <w:bookmarkEnd w:id="11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attending the Magistrates Court in connection with proceedings to examine a person under section 69, for each hour or part of an hour .................</w:t>
            </w:r>
          </w:p>
        </w:tc>
        <w:tc>
          <w:tcPr>
            <w:tcW w:w="1134" w:type="dxa"/>
          </w:tcPr>
          <w:p>
            <w:pPr>
              <w:pStyle w:val="yTable"/>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ind w:left="567" w:hanging="567"/>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amended in Gazette 23 Jun 2006 p. 2192.]</w:t>
      </w:r>
    </w:p>
    <w:p>
      <w:pPr>
        <w:pStyle w:val="yFootnotesection"/>
      </w:pPr>
      <w:r>
        <w:tab/>
        <w:t>[Schedule 2 inserted in Gazette 13 May 2005 p. 2080</w:t>
      </w:r>
      <w:r>
        <w:noBreakHyphen/>
        <w:t>1; amended in Gazette 23 Jun 2006 p. 2191</w:t>
      </w:r>
      <w:r>
        <w:noBreakHyphen/>
        <w:t>2.]</w:t>
      </w:r>
    </w:p>
    <w:p>
      <w:pPr>
        <w:pStyle w:val="yScheduleHeading"/>
      </w:pPr>
      <w:bookmarkStart w:id="118" w:name="_Toc113952858"/>
      <w:bookmarkStart w:id="119" w:name="_Toc113952885"/>
      <w:bookmarkStart w:id="120" w:name="_Toc123622585"/>
      <w:bookmarkStart w:id="121" w:name="_Toc139079802"/>
      <w:bookmarkStart w:id="122" w:name="_Toc139275345"/>
      <w:bookmarkStart w:id="123" w:name="_Toc140636153"/>
      <w:bookmarkEnd w:id="99"/>
      <w:r>
        <w:rPr>
          <w:rStyle w:val="CharSchNo"/>
        </w:rPr>
        <w:t>Schedule 3</w:t>
      </w:r>
      <w:r>
        <w:t> — </w:t>
      </w:r>
      <w:r>
        <w:rPr>
          <w:rStyle w:val="CharSchText"/>
        </w:rPr>
        <w:t>Forms</w:t>
      </w:r>
      <w:bookmarkEnd w:id="118"/>
      <w:bookmarkEnd w:id="119"/>
      <w:bookmarkEnd w:id="120"/>
      <w:bookmarkEnd w:id="121"/>
      <w:bookmarkEnd w:id="122"/>
      <w:bookmarkEnd w:id="123"/>
    </w:p>
    <w:p>
      <w:pPr>
        <w:pStyle w:val="yShoulderClause"/>
      </w:pPr>
      <w:r>
        <w:t>[r. 12]</w:t>
      </w:r>
    </w:p>
    <w:p>
      <w:pPr>
        <w:pStyle w:val="yFootnoteheading"/>
      </w:pPr>
      <w:r>
        <w:tab/>
        <w:t>[Headings inserted in Gazette 13 May 2005 p. 2081.]</w:t>
      </w:r>
    </w:p>
    <w:p>
      <w:pPr>
        <w:pStyle w:val="ySubsection"/>
        <w:outlineLvl w:val="2"/>
        <w:rPr>
          <w:b/>
          <w:snapToGrid w:val="0"/>
        </w:rPr>
      </w:pPr>
      <w:r>
        <w:rPr>
          <w:b/>
          <w:snapToGrid w:val="0"/>
        </w:rPr>
        <w:t>1.</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b/>
          <w:snapToGrid w:val="0"/>
        </w:rPr>
        <w:t>2.</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rPr>
                <w:spacing w:val="-2"/>
                <w:sz w:val="20"/>
              </w:rPr>
            </w:pPr>
          </w:p>
          <w:p>
            <w:pPr>
              <w:pStyle w:val="yTable"/>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rPr>
                <w:spacing w:val="-2"/>
                <w:sz w:val="20"/>
              </w:rPr>
            </w:pPr>
            <w:r>
              <w:rPr>
                <w:spacing w:val="-2"/>
                <w:sz w:val="20"/>
              </w:rPr>
              <w:t>ACN No.</w:t>
            </w:r>
          </w:p>
          <w:p>
            <w:pPr>
              <w:pStyle w:val="yTable"/>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4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outlineLvl w:val="2"/>
        <w:rPr>
          <w:b/>
          <w:snapToGrid w:val="0"/>
        </w:rPr>
      </w:pPr>
      <w:r>
        <w:rPr>
          <w:b/>
          <w:snapToGrid w:val="0"/>
        </w:rPr>
        <w:t>3.</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b/>
          <w:snapToGrid w:val="0"/>
        </w:rPr>
        <w:t>4.</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b/>
          <w:snapToGrid w:val="0"/>
        </w:rPr>
        <w:t>6.</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b/>
        </w:rPr>
        <w:t>6A.</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b/>
        </w:rPr>
        <w:t>6B.</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b/>
        </w:rPr>
        <w:t>8.</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b/>
        </w:rPr>
        <w:t>9.</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yFootnotesection"/>
        <w:rPr>
          <w:snapToGrid/>
        </w:rPr>
      </w:pPr>
      <w:r>
        <w:rPr>
          <w:rFonts w:ascii="New Century Schoolbook" w:hAnsi="New Century Schoolbook"/>
          <w:spacing w:val="-2"/>
        </w:rPr>
        <w:tab/>
        <w:t>[</w:t>
      </w:r>
      <w:r>
        <w:rPr>
          <w:snapToGrid/>
        </w:rPr>
        <w:t>Schedule 3 amended in Gazette 30 Jun 1995 p. 2638</w:t>
      </w:r>
      <w:r>
        <w:rPr>
          <w:snapToGrid/>
        </w:rPr>
        <w:noBreakHyphen/>
        <w:t>42; 5 Jul 1996 p. 3228</w:t>
      </w:r>
      <w:r>
        <w:rPr>
          <w:snapToGrid/>
        </w:rPr>
        <w:noBreakHyphen/>
        <w:t>9; 4 Oct 1996 p. 5233; 13 May 2005 p. 2081</w:t>
      </w:r>
      <w:r>
        <w:rPr>
          <w:snapToGrid/>
        </w:rPr>
        <w:noBreakHyphen/>
        <w:t>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4" w:name="_Toc72555449"/>
      <w:bookmarkStart w:id="125" w:name="_Toc72558298"/>
      <w:bookmarkStart w:id="126" w:name="_Toc78176851"/>
      <w:bookmarkStart w:id="127" w:name="_Toc103677334"/>
      <w:bookmarkStart w:id="128" w:name="_Toc103677556"/>
      <w:bookmarkStart w:id="129" w:name="_Toc103677803"/>
      <w:bookmarkStart w:id="130" w:name="_Toc106010756"/>
      <w:bookmarkStart w:id="131" w:name="_Toc113945063"/>
      <w:bookmarkStart w:id="132" w:name="_Toc113945094"/>
      <w:bookmarkStart w:id="133" w:name="_Toc113952859"/>
      <w:bookmarkStart w:id="134" w:name="_Toc113952886"/>
      <w:bookmarkStart w:id="135" w:name="_Toc123622586"/>
      <w:bookmarkStart w:id="136" w:name="_Toc139079803"/>
      <w:bookmarkStart w:id="137" w:name="_Toc139275346"/>
      <w:bookmarkStart w:id="138" w:name="_Toc140636154"/>
      <w:r>
        <w:t>Notes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39" w:name="_Toc113952860"/>
      <w:bookmarkStart w:id="140" w:name="_Toc140636155"/>
      <w:r>
        <w:t>Compilation table</w:t>
      </w:r>
      <w:bookmarkEnd w:id="139"/>
      <w:bookmarkEnd w:id="1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keepNext/>
              <w:spacing w:after="40"/>
              <w:ind w:right="170"/>
              <w:rPr>
                <w:sz w:val="19"/>
              </w:rPr>
            </w:pPr>
            <w:r>
              <w:rPr>
                <w:i/>
                <w:sz w:val="19"/>
              </w:rPr>
              <w:t>Fines, Penalties and Infringement Notices Enforcement Amendment Regulations 1997</w:t>
            </w:r>
            <w:r>
              <w:rPr>
                <w:sz w:val="19"/>
                <w:vertAlign w:val="superscript"/>
              </w:rPr>
              <w:t> 8</w:t>
            </w:r>
          </w:p>
        </w:tc>
        <w:tc>
          <w:tcPr>
            <w:tcW w:w="1276" w:type="dxa"/>
          </w:tcPr>
          <w:p>
            <w:pPr>
              <w:pStyle w:val="nTable"/>
              <w:keepNext/>
              <w:spacing w:after="40"/>
              <w:rPr>
                <w:sz w:val="19"/>
              </w:rPr>
            </w:pPr>
            <w:r>
              <w:rPr>
                <w:sz w:val="19"/>
              </w:rPr>
              <w:t>1 Aug 1997 p. 4394</w:t>
            </w:r>
          </w:p>
        </w:tc>
        <w:tc>
          <w:tcPr>
            <w:tcW w:w="2693" w:type="dxa"/>
          </w:tcPr>
          <w:p>
            <w:pPr>
              <w:pStyle w:val="nTable"/>
              <w:keepNext/>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82 (as amended in Gazette 30 Dec 2005 p. 6876)</w:t>
            </w:r>
          </w:p>
        </w:tc>
        <w:tc>
          <w:tcPr>
            <w:tcW w:w="2693" w:type="dxa"/>
          </w:tcPr>
          <w:p>
            <w:pPr>
              <w:pStyle w:val="nTable"/>
              <w:spacing w:after="40"/>
              <w:rPr>
                <w:sz w:val="19"/>
              </w:rPr>
            </w:pPr>
            <w:r>
              <w:rPr>
                <w:sz w:val="19"/>
              </w:rPr>
              <w:t>13 May 2005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2006</w:t>
            </w:r>
          </w:p>
        </w:tc>
        <w:tc>
          <w:tcPr>
            <w:tcW w:w="1276" w:type="dxa"/>
            <w:tcBorders>
              <w:bottom w:val="single" w:sz="4" w:space="0" w:color="auto"/>
            </w:tcBorders>
          </w:tcPr>
          <w:p>
            <w:pPr>
              <w:pStyle w:val="nTable"/>
              <w:spacing w:after="40"/>
              <w:rPr>
                <w:sz w:val="19"/>
              </w:rPr>
            </w:pPr>
            <w:r>
              <w:rPr>
                <w:sz w:val="19"/>
              </w:rPr>
              <w:t>14 Jul 2006 p. 2563</w:t>
            </w:r>
            <w:r>
              <w:rPr>
                <w:sz w:val="19"/>
              </w:rPr>
              <w:noBreakHyphen/>
              <w:t>4</w:t>
            </w:r>
          </w:p>
        </w:tc>
        <w:tc>
          <w:tcPr>
            <w:tcW w:w="2693" w:type="dxa"/>
            <w:tcBorders>
              <w:bottom w:val="single" w:sz="4" w:space="0" w:color="auto"/>
            </w:tcBorders>
          </w:tcPr>
          <w:p>
            <w:pPr>
              <w:pStyle w:val="nTable"/>
              <w:spacing w:after="40"/>
              <w:rPr>
                <w:sz w:val="19"/>
              </w:rPr>
            </w:pPr>
            <w:r>
              <w:rPr>
                <w:sz w:val="19"/>
              </w:rPr>
              <w:t>14 Jul 2006 (see r. 2)</w:t>
            </w:r>
          </w:p>
        </w:tc>
      </w:tr>
    </w:tbl>
    <w:p>
      <w:pPr>
        <w:pStyle w:val="nSubsection"/>
        <w:spacing w:before="120"/>
        <w:ind w:left="482" w:hanging="482"/>
      </w:pPr>
      <w:r>
        <w:rPr>
          <w:vertAlign w:val="superscript"/>
        </w:rPr>
        <w:t>2</w:t>
      </w:r>
      <w:r>
        <w:tab/>
        <w:t xml:space="preserve">Under the </w:t>
      </w:r>
      <w:r>
        <w:rPr>
          <w:i/>
        </w:rPr>
        <w:t>Public Sector Management Act 1994</w:t>
      </w:r>
      <w:r>
        <w:t xml:space="preserve"> the names of departments can be changed.  At the time of this compilation the former Department of Environmental Protection is called the Department of Environment.</w:t>
      </w:r>
    </w:p>
    <w:p>
      <w:pPr>
        <w:pStyle w:val="nSubsection"/>
        <w:ind w:left="480" w:hanging="480"/>
      </w:pPr>
      <w:r>
        <w:rPr>
          <w:vertAlign w:val="superscript"/>
        </w:rPr>
        <w:t>3</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pPr>
      <w:r>
        <w:rPr>
          <w:vertAlign w:val="superscript"/>
        </w:rPr>
        <w:t>4</w:t>
      </w:r>
      <w:r>
        <w:tab/>
        <w:t xml:space="preserve">Formerly referred to the Gaming Commission of Western Australia, the name of which was changed to the Gaming and Wagering Commission of Western Australia by the </w:t>
      </w:r>
      <w:r>
        <w:rPr>
          <w:i/>
        </w:rPr>
        <w:t>Racing and Gambling Legislation Amendment and Repeal Act 2003</w:t>
      </w:r>
      <w:r>
        <w:t xml:space="preserve"> s. 124.  The reference was changed under the </w:t>
      </w:r>
      <w:r>
        <w:rPr>
          <w:i/>
        </w:rPr>
        <w:t>Reprints Act 1984</w:t>
      </w:r>
      <w:r>
        <w:t xml:space="preserve"> s. 7(3)(h).</w:t>
      </w:r>
    </w:p>
    <w:p>
      <w:pPr>
        <w:pStyle w:val="nSubsection"/>
      </w:pPr>
      <w:r>
        <w:rPr>
          <w:vertAlign w:val="superscript"/>
        </w:rPr>
        <w:t>5</w:t>
      </w:r>
      <w:r>
        <w:tab/>
        <w:t>Now superseded by the Water Corporation.</w:t>
      </w:r>
    </w:p>
    <w:p>
      <w:pPr>
        <w:pStyle w:val="nSubsection"/>
      </w:pPr>
      <w:r>
        <w:rPr>
          <w:vertAlign w:val="superscript"/>
        </w:rPr>
        <w:t>6</w:t>
      </w:r>
      <w:r>
        <w:tab/>
        <w:t xml:space="preserve">Repealed by the </w:t>
      </w:r>
      <w:r>
        <w:rPr>
          <w:i/>
        </w:rPr>
        <w:t>Perth Parking Management (Consequential Provisions) Act 1999</w:t>
      </w:r>
      <w:r>
        <w:t>.</w:t>
      </w:r>
    </w:p>
    <w:p>
      <w:pPr>
        <w:pStyle w:val="nSubsection"/>
      </w:pPr>
      <w:r>
        <w:rPr>
          <w:vertAlign w:val="superscript"/>
        </w:rPr>
        <w:t>7</w:t>
      </w:r>
      <w:r>
        <w:tab/>
        <w:t xml:space="preserve">Formerly referred to the </w:t>
      </w:r>
      <w:r>
        <w:rPr>
          <w:i/>
        </w:rPr>
        <w:t>Gaming Commission Act 1987</w:t>
      </w:r>
      <w:r>
        <w:t xml:space="preserve"> the short title of which was changed to the </w:t>
      </w:r>
      <w:r>
        <w:rPr>
          <w:i/>
        </w:rPr>
        <w:t>Gaming and Wagering Commission Act 1987</w:t>
      </w:r>
      <w: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8</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3</w:t>
            </w:r>
          </w:fldSimple>
        </w:p>
      </w:tc>
      <w:tc>
        <w:tcPr>
          <w:tcW w:w="5773"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21" w:type="dxa"/>
        </w:tcPr>
        <w:p>
          <w:pPr>
            <w:pStyle w:val="HeaderSectionRight"/>
            <w:ind w:right="17"/>
          </w:pPr>
          <w:fldSimple w:instr=" STYLEREF CharSchNo \* MERGEFORMAT ">
            <w:r>
              <w:rPr>
                <w:noProof/>
              </w:rPr>
              <w:t>Schedule 3</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55"/>
    <w:docVar w:name="WAFER_20151210140255" w:val="RemoveTrackChanges"/>
    <w:docVar w:name="WAFER_20151210140255_GUID" w:val="742b3956-a19e-4146-8ae8-87bedd3bb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6096</Words>
  <Characters>31944</Characters>
  <Application>Microsoft Office Word</Application>
  <DocSecurity>0</DocSecurity>
  <Lines>1228</Lines>
  <Paragraphs>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1994 - 02-e0-03</dc:title>
  <dc:subject/>
  <dc:creator/>
  <cp:keywords/>
  <dc:description/>
  <cp:lastModifiedBy>svcMRProcess</cp:lastModifiedBy>
  <cp:revision>4</cp:revision>
  <cp:lastPrinted>2004-07-12T07:23:00Z</cp:lastPrinted>
  <dcterms:created xsi:type="dcterms:W3CDTF">2020-02-25T14:15:00Z</dcterms:created>
  <dcterms:modified xsi:type="dcterms:W3CDTF">2020-02-25T14:15:00Z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4443</vt:i4>
  </property>
  <property fmtid="{D5CDD505-2E9C-101B-9397-08002B2CF9AE}" pid="6" name="AsAtDate">
    <vt:lpwstr>14 Jul 2006</vt:lpwstr>
  </property>
  <property fmtid="{D5CDD505-2E9C-101B-9397-08002B2CF9AE}" pid="7" name="Suffix">
    <vt:lpwstr>02-e0-03</vt:lpwstr>
  </property>
</Properties>
</file>