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pStyle w:val="ReprintNo"/>
      </w:pPr>
      <w:r>
        <w:t>Reprint 14:  The regulations as at 5 May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8480"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8480"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2245FD" w:rsidRDefault="002245F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2245FD" w:rsidRDefault="002245F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2245FD" w:rsidRDefault="002245F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2245FD" w:rsidRDefault="002245F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197"/>
        </w:tabs>
        <w:ind w:left="1208" w:hanging="357"/>
        <w:rPr>
          <w:sz w:val="20"/>
        </w:rPr>
      </w:pPr>
      <w:r>
        <w:rPr>
          <w:sz w:val="20"/>
        </w:rPr>
        <w:t>removed (because it was repealed or deleted from the law); or</w:t>
      </w:r>
    </w:p>
    <w:p>
      <w:pPr>
        <w:numPr>
          <w:ilvl w:val="0"/>
          <w:numId w:val="2"/>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_Toc480375669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_Toc480375670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_Toc480375671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_Toc480375672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_Toc480375673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_Toc480375674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_Toc480375675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_Toc480375676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_Toc480375677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_Toc480375678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_Toc480375679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_Toc480375680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_Toc480375681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_Toc480375682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_Toc480375683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_Toc480375684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_Toc480375685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_Toc480375686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_Toc480375687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_Toc480375688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_Toc480375689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_Toc480375690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_Toc480375691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_Toc480375692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_Toc480375693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_Toc480375694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_Toc480375695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_Toc480375696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_Toc480375697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_Toc480375698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_Toc480375699 \h </w:instrText>
      </w:r>
      <w:r>
        <w:fldChar w:fldCharType="separate"/>
      </w:r>
      <w:r>
        <w:t>35</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_Toc480375700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_Toc480375701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_Toc480375702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_Toc480375703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_Toc480375704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_Toc480375705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_Toc480375706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_Toc480375707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_Toc480375708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_Toc480375709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_Toc480375710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_Toc480375711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_Toc480375712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_Toc480375713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_Toc480375714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_Toc480375715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_Toc480375716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_Toc480375717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_Toc480375718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_Toc480375719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_Toc480375720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_Toc480375721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_Toc480375722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_Toc480375723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_Toc480375724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_Toc480375725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_Toc480375726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_Toc480375727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_Toc480375728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_Toc480375729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_Toc480375730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_Toc480375731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_Toc480375732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_Toc480375733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_Toc480375734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_Toc480375735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_Toc480375736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_Toc480375737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_Toc480375738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_Toc480375739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_Toc480375740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_Toc480375741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_Toc480375742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_Toc480375743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_Toc480375744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_Toc480375745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_Toc480375746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_Toc480375747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_Toc480375748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_Toc480375749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_Toc480375750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_Toc480375751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_Toc480375752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_Toc480375759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8037566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8037567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8037567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8037567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48037567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48037567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48037567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48037567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48037567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48037567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48037567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48037568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48037568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480375682"/>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48037568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48037568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48037568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480375686"/>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480375687"/>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keepNext w:val="0"/>
        <w:keepLines w:val="0"/>
      </w:pPr>
      <w:bookmarkStart w:id="22" w:name="_Toc480375688"/>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480375689"/>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480375690"/>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480375691"/>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26" w:name="_Toc480375692"/>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480375693"/>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480375694"/>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480375695"/>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480375696"/>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480375697"/>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480375698"/>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480375699"/>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4" w:name="_Toc480375700"/>
      <w:r>
        <w:rPr>
          <w:rStyle w:val="CharSectno"/>
        </w:rPr>
        <w:t>9C</w:t>
      </w:r>
      <w:r>
        <w:rPr>
          <w:snapToGrid w:val="0"/>
        </w:rPr>
        <w:t>.</w:t>
      </w:r>
      <w:r>
        <w:rPr>
          <w:snapToGrid w:val="0"/>
        </w:rPr>
        <w:tab/>
        <w:t>Types of special facility licence prescribed (Act s. 46(6))</w:t>
      </w:r>
      <w:bookmarkEnd w:id="3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5" w:name="_Toc480375701"/>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480375702"/>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480375703"/>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480375704"/>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480375705"/>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480375706"/>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480375707"/>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480375708"/>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480375709"/>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480375710"/>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480375711"/>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480375712"/>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480375713"/>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480375714"/>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480375715"/>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480375716"/>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480375717"/>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480375718"/>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480375719"/>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480375720"/>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480375721"/>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480375722"/>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7" w:name="_Toc480375723"/>
      <w:r>
        <w:rPr>
          <w:rStyle w:val="CharSectno"/>
        </w:rPr>
        <w:t>17A</w:t>
      </w:r>
      <w:r>
        <w:t>.</w:t>
      </w:r>
      <w:r>
        <w:tab/>
        <w:t xml:space="preserve">Sports arenas prescribed (Act s. 110(4B) </w:t>
      </w:r>
      <w:r>
        <w:rPr>
          <w:i/>
        </w:rPr>
        <w:t>sports arena</w:t>
      </w:r>
      <w:r>
        <w:t>)</w:t>
      </w:r>
      <w:bookmarkEnd w:id="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58" w:name="_Toc480375724"/>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480375725"/>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480375726"/>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1" w:name="_Toc480375727"/>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480375728"/>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480375729"/>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480375730"/>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480375731"/>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480375732"/>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480375733"/>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480375734"/>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480375735"/>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480375736"/>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480375737"/>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480375738"/>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48037573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480375740"/>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480375741"/>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3" o:title=""/>
          </v:shape>
          <o:OLEObject Type="Embed" ProgID="Equation.3" ShapeID="_x0000_i1025" DrawAspect="Content" ObjectID="_1644675119" r:id="rId24"/>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480375742"/>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480375743"/>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480375744"/>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480375745"/>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480375746"/>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480375747"/>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480375748"/>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480375749"/>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480375750"/>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5" w:name="_Toc480375751"/>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480375752"/>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25"/>
          <w:head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87" w:name="_Toc480374871"/>
      <w:bookmarkStart w:id="88" w:name="_Toc480375753"/>
      <w:r>
        <w:rPr>
          <w:rStyle w:val="CharSchNo"/>
        </w:rPr>
        <w:t>Schedule 1</w:t>
      </w:r>
      <w:bookmarkEnd w:id="87"/>
      <w:bookmarkEnd w:id="88"/>
    </w:p>
    <w:p>
      <w:pPr>
        <w:pStyle w:val="yShoulderClause"/>
        <w:spacing w:before="60"/>
        <w:rPr>
          <w:snapToGrid w:val="0"/>
        </w:rPr>
      </w:pPr>
      <w:r>
        <w:rPr>
          <w:snapToGrid w:val="0"/>
        </w:rPr>
        <w:t>[Regulation 3]</w:t>
      </w:r>
    </w:p>
    <w:p>
      <w:pPr>
        <w:pStyle w:val="yHeading2"/>
        <w:outlineLvl w:val="9"/>
      </w:pPr>
      <w:bookmarkStart w:id="89" w:name="_Toc480374872"/>
      <w:bookmarkStart w:id="90" w:name="_Toc480375754"/>
      <w:r>
        <w:rPr>
          <w:rStyle w:val="CharSchText"/>
        </w:rPr>
        <w:t>Forms</w:t>
      </w:r>
      <w:bookmarkEnd w:id="89"/>
      <w:bookmarkEnd w:id="9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92" w:name="_Toc480374873"/>
      <w:bookmarkStart w:id="93" w:name="_Toc480375755"/>
      <w:r>
        <w:rPr>
          <w:rStyle w:val="CharSchNo"/>
        </w:rPr>
        <w:t>Schedule 2</w:t>
      </w:r>
      <w:bookmarkEnd w:id="92"/>
      <w:bookmarkEnd w:id="93"/>
    </w:p>
    <w:p>
      <w:pPr>
        <w:pStyle w:val="yShoulderClause"/>
        <w:spacing w:before="60"/>
        <w:rPr>
          <w:snapToGrid w:val="0"/>
        </w:rPr>
      </w:pPr>
      <w:r>
        <w:rPr>
          <w:snapToGrid w:val="0"/>
        </w:rPr>
        <w:t>[Regulation 13]</w:t>
      </w:r>
    </w:p>
    <w:p>
      <w:pPr>
        <w:pStyle w:val="yHeading2"/>
        <w:spacing w:before="120" w:after="80"/>
      </w:pPr>
      <w:bookmarkStart w:id="94" w:name="_Toc480374874"/>
      <w:bookmarkStart w:id="95" w:name="_Toc480375756"/>
      <w:r>
        <w:rPr>
          <w:rStyle w:val="CharSchText"/>
        </w:rPr>
        <w:t>Details of applicant</w:t>
      </w:r>
      <w:bookmarkEnd w:id="94"/>
      <w:bookmarkEnd w:id="9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6" w:name="_Toc480374875"/>
      <w:bookmarkStart w:id="97" w:name="_Toc480375757"/>
      <w:r>
        <w:rPr>
          <w:rStyle w:val="CharSchNo"/>
        </w:rPr>
        <w:t>Schedule 3</w:t>
      </w:r>
      <w:r>
        <w:rPr>
          <w:rStyle w:val="CharSDivNo"/>
        </w:rPr>
        <w:t> </w:t>
      </w:r>
      <w:r>
        <w:t>—</w:t>
      </w:r>
      <w:r>
        <w:rPr>
          <w:rStyle w:val="CharSDivText"/>
        </w:rPr>
        <w:t> </w:t>
      </w:r>
      <w:r>
        <w:rPr>
          <w:rStyle w:val="CharSchText"/>
        </w:rPr>
        <w:t>Fees</w:t>
      </w:r>
      <w:bookmarkEnd w:id="96"/>
      <w:bookmarkEnd w:id="97"/>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98" w:name="_Toc480374876"/>
      <w:bookmarkStart w:id="99" w:name="_Toc480375758"/>
      <w:r>
        <w:t>Notes</w:t>
      </w:r>
      <w:bookmarkEnd w:id="98"/>
      <w:bookmarkEnd w:id="99"/>
    </w:p>
    <w:p>
      <w:pPr>
        <w:pStyle w:val="nSubsection"/>
      </w:pPr>
      <w:r>
        <w:rPr>
          <w:vertAlign w:val="superscript"/>
        </w:rPr>
        <w:t>1</w:t>
      </w:r>
      <w:r>
        <w:tab/>
        <w:t xml:space="preserve">This reprint is a compilation as at 5 May 2017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00" w:name="_Toc480375759"/>
      <w:r>
        <w:rPr>
          <w:snapToGrid w:val="0"/>
        </w:rP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8"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8"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8"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8"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8"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8"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8"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8"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8"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8"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8"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8"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8"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8"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8"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8"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8"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8"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8"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7"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8"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8"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8"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8"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8"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8"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8"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8"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8"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8"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8"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8"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8"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8"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7"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8"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8"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8"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8"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8"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8"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8"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8"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8"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7"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8"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8"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8"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7"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8"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8"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8"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8"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8"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7"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8"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8"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8"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8"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8"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8"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7"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8"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8"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8"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8"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8"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8"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8"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8"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7"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8"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8"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8"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8"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8"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8"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8"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8"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8"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8"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8"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8"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8"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8"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8"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8"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8"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8"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7"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8"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8"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8"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8"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8"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8"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8"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10</w:t>
      </w:r>
      <w:r>
        <w:tab/>
      </w:r>
      <w:r>
        <w:rPr>
          <w:sz w:val="19"/>
        </w:rPr>
        <w:t xml:space="preserve">Disallowed on 13 Sep 2012, see </w:t>
      </w:r>
      <w:r>
        <w:rPr>
          <w:i/>
          <w:sz w:val="19"/>
        </w:rPr>
        <w:t>Gazette</w:t>
      </w:r>
      <w:r>
        <w:rPr>
          <w:sz w:val="19"/>
        </w:rPr>
        <w:t xml:space="preserve"> 18 Sep 2012 p. 4411.</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02" w:name="_Toc480374878"/>
      <w:bookmarkStart w:id="103" w:name="_Toc480375760"/>
      <w:r>
        <w:rPr>
          <w:sz w:val="28"/>
        </w:rPr>
        <w:t>Defined terms</w:t>
      </w:r>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950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dEd0E/UC&#10;AACBBgAADgAAAAAAAAAAAAAAAAAuAgAAZHJzL2Uyb0RvYy54bWxQSwECLQAUAAYACAAAACEAaCLE&#10;RNsAAAAEAQAADwAAAAAAAAAAAAAAAABPBQAAZHJzL2Rvd25yZXYueG1sUEsFBgAAAAAEAAQA8wAA&#10;AFcGAAAAAA==&#10;" stroked="f" strokeweight=".5pt">
                <v:textbox>
                  <w:txbxContent>
                    <w:p w:rsidR="002245FD" w:rsidRDefault="002245F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5.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B050-6381-41DA-9AE0-792BE7A0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27995</Words>
  <Characters>133537</Characters>
  <Application>Microsoft Office Word</Application>
  <DocSecurity>0</DocSecurity>
  <Lines>4604</Lines>
  <Paragraphs>2692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1989 - 14-00-00</dc:title>
  <dc:subject/>
  <dc:creator/>
  <cp:keywords/>
  <dc:description/>
  <cp:lastModifiedBy>svcMRProcess</cp:lastModifiedBy>
  <cp:revision>4</cp:revision>
  <cp:lastPrinted>2017-04-26T03:44:00Z</cp:lastPrinted>
  <dcterms:created xsi:type="dcterms:W3CDTF">2020-03-02T09:25:00Z</dcterms:created>
  <dcterms:modified xsi:type="dcterms:W3CDTF">2020-03-02T09:26:00Z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AsAtDate">
    <vt:lpwstr>05 May 2017</vt:lpwstr>
  </property>
  <property fmtid="{D5CDD505-2E9C-101B-9397-08002B2CF9AE}" pid="6" name="Suffix">
    <vt:lpwstr>14-00-00</vt:lpwstr>
  </property>
  <property fmtid="{D5CDD505-2E9C-101B-9397-08002B2CF9AE}" pid="7" name="ReprintedAsAt">
    <vt:filetime>2017-05-04T16:00:00Z</vt:filetime>
  </property>
  <property fmtid="{D5CDD505-2E9C-101B-9397-08002B2CF9AE}" pid="8" name="ReprintNo">
    <vt:lpwstr>14</vt:lpwstr>
  </property>
  <property fmtid="{D5CDD505-2E9C-101B-9397-08002B2CF9AE}" pid="9" name="CommencementDate">
    <vt:lpwstr>20170505</vt:lpwstr>
  </property>
</Properties>
</file>