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_Toc96319696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_Toc96319697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Definition</w:t>
      </w:r>
      <w:r>
        <w:rPr>
          <w:noProof/>
        </w:rPr>
        <w:tab/>
      </w:r>
      <w:r>
        <w:rPr>
          <w:noProof/>
        </w:rPr>
        <w:fldChar w:fldCharType="begin"/>
      </w:r>
      <w:r>
        <w:rPr>
          <w:noProof/>
        </w:rPr>
        <w:instrText xml:space="preserve"> PAGEREF _Toc96319698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Interest of disabled person in home prescribed to be relevant interest (s. 6(1)(h))</w:t>
      </w:r>
      <w:r>
        <w:rPr>
          <w:noProof/>
        </w:rPr>
        <w:tab/>
      </w:r>
      <w:r>
        <w:rPr>
          <w:noProof/>
        </w:rPr>
        <w:fldChar w:fldCharType="begin"/>
      </w:r>
      <w:r>
        <w:rPr>
          <w:noProof/>
        </w:rPr>
        <w:instrText xml:space="preserve"> PAGEREF _Toc96319699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Interest of occupier of home on primary production land prescribed to be relevant interest (s. 6(1)(h))</w:t>
      </w:r>
      <w:r>
        <w:rPr>
          <w:noProof/>
        </w:rPr>
        <w:tab/>
      </w:r>
      <w:r>
        <w:rPr>
          <w:noProof/>
        </w:rPr>
        <w:fldChar w:fldCharType="begin"/>
      </w:r>
      <w:r>
        <w:rPr>
          <w:noProof/>
        </w:rPr>
        <w:instrText xml:space="preserve"> PAGEREF _Toc96319700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Prescribed qualification to completion of eligible transaction (s. 14(6))</w:t>
      </w:r>
      <w:r>
        <w:rPr>
          <w:noProof/>
        </w:rPr>
        <w:tab/>
      </w:r>
      <w:r>
        <w:rPr>
          <w:noProof/>
        </w:rPr>
        <w:fldChar w:fldCharType="begin"/>
      </w:r>
      <w:r>
        <w:rPr>
          <w:noProof/>
        </w:rPr>
        <w:instrText xml:space="preserve"> PAGEREF _Toc96319701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Certain owners of land excluded from the operation of s. 16(1)</w:t>
      </w:r>
      <w:r>
        <w:rPr>
          <w:noProof/>
        </w:rPr>
        <w:tab/>
      </w:r>
      <w:r>
        <w:rPr>
          <w:noProof/>
        </w:rPr>
        <w:fldChar w:fldCharType="begin"/>
      </w:r>
      <w:r>
        <w:rPr>
          <w:noProof/>
        </w:rPr>
        <w:instrText xml:space="preserve"> PAGEREF _Toc96319702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Prescribed rates of interest (s. 30(3), 32(4) and 52(3) and (7))</w:t>
      </w:r>
      <w:r>
        <w:rPr>
          <w:noProof/>
        </w:rPr>
        <w:tab/>
      </w:r>
      <w:r>
        <w:rPr>
          <w:noProof/>
        </w:rPr>
        <w:fldChar w:fldCharType="begin"/>
      </w:r>
      <w:r>
        <w:rPr>
          <w:noProof/>
        </w:rPr>
        <w:instrText xml:space="preserve"> PAGEREF _Toc96319703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Conditions to be included in administration agreements (s. 37(2))</w:t>
      </w:r>
      <w:r>
        <w:rPr>
          <w:noProof/>
        </w:rPr>
        <w:tab/>
      </w:r>
      <w:r>
        <w:rPr>
          <w:noProof/>
        </w:rPr>
        <w:fldChar w:fldCharType="begin"/>
      </w:r>
      <w:r>
        <w:rPr>
          <w:noProof/>
        </w:rPr>
        <w:instrText xml:space="preserve"> PAGEREF _Toc96319704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Witness fees and expenses (s. 41(7))</w:t>
      </w:r>
      <w:r>
        <w:rPr>
          <w:noProof/>
        </w:rPr>
        <w:tab/>
      </w:r>
      <w:r>
        <w:rPr>
          <w:noProof/>
        </w:rPr>
        <w:fldChar w:fldCharType="begin"/>
      </w:r>
      <w:r>
        <w:rPr>
          <w:noProof/>
        </w:rPr>
        <w:instrText xml:space="preserve"> PAGEREF _Toc96319705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Authorised receipt and permitted disclosure of confidential information (s. 65(3))</w:t>
      </w:r>
      <w:r>
        <w:rPr>
          <w:noProof/>
        </w:rPr>
        <w:tab/>
      </w:r>
      <w:r>
        <w:rPr>
          <w:noProof/>
        </w:rPr>
        <w:fldChar w:fldCharType="begin"/>
      </w:r>
      <w:r>
        <w:rPr>
          <w:noProof/>
        </w:rPr>
        <w:instrText xml:space="preserve"> PAGEREF _Toc96319706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_Toc96319708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February 2005</w:t>
            </w:r>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9631969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22965621"/>
      <w:bookmarkStart w:id="17" w:name="_Toc22965686"/>
      <w:bookmarkStart w:id="18" w:name="_Toc9631969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July 2000</w:t>
      </w:r>
      <w:r>
        <w:t>.</w:t>
      </w:r>
    </w:p>
    <w:p>
      <w:pPr>
        <w:pStyle w:val="Heading5"/>
      </w:pPr>
      <w:bookmarkStart w:id="19" w:name="_Toc22965622"/>
      <w:bookmarkStart w:id="20" w:name="_Toc22965687"/>
      <w:bookmarkStart w:id="21" w:name="_Toc96319698"/>
      <w:r>
        <w:rPr>
          <w:rStyle w:val="CharSectno"/>
        </w:rPr>
        <w:t>3</w:t>
      </w:r>
      <w:r>
        <w:t>.</w:t>
      </w:r>
      <w:r>
        <w:tab/>
        <w:t>Definition</w:t>
      </w:r>
      <w:bookmarkEnd w:id="19"/>
      <w:bookmarkEnd w:id="20"/>
      <w:bookmarkEnd w:id="21"/>
    </w:p>
    <w:p>
      <w:pPr>
        <w:pStyle w:val="Subsection"/>
      </w:pPr>
      <w:r>
        <w:tab/>
      </w:r>
      <w:r>
        <w:tab/>
        <w:t xml:space="preserve">In these regulations — </w:t>
      </w:r>
    </w:p>
    <w:p>
      <w:pPr>
        <w:pStyle w:val="Defstart"/>
      </w:pPr>
      <w:r>
        <w:tab/>
      </w:r>
      <w:r>
        <w:rPr>
          <w:b/>
        </w:rPr>
        <w:t>“</w:t>
      </w:r>
      <w:r>
        <w:rPr>
          <w:rStyle w:val="CharDefText"/>
        </w:rPr>
        <w:t>interested person</w:t>
      </w:r>
      <w:r>
        <w:rPr>
          <w:b/>
        </w:rPr>
        <w:t>”</w:t>
      </w:r>
      <w:r>
        <w:t xml:space="preserve"> has the same meaning as it has in section 16 of the Act.</w:t>
      </w:r>
    </w:p>
    <w:p>
      <w:pPr>
        <w:pStyle w:val="Heading5"/>
      </w:pPr>
      <w:bookmarkStart w:id="22" w:name="_Toc22965623"/>
      <w:bookmarkStart w:id="23" w:name="_Toc22965688"/>
      <w:bookmarkStart w:id="24" w:name="_Toc96319699"/>
      <w:r>
        <w:rPr>
          <w:rStyle w:val="CharSectno"/>
        </w:rPr>
        <w:t>4</w:t>
      </w:r>
      <w:r>
        <w:t>.</w:t>
      </w:r>
      <w:r>
        <w:tab/>
        <w:t>Interest of disabled person in home prescribed to be relevant interest (s. 6(1)(h))</w:t>
      </w:r>
      <w:bookmarkEnd w:id="22"/>
      <w:bookmarkEnd w:id="23"/>
      <w:bookmarkEnd w:id="24"/>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5" w:name="_Toc22965624"/>
      <w:bookmarkStart w:id="26" w:name="_Toc22965689"/>
      <w:bookmarkStart w:id="27" w:name="_Toc96319700"/>
      <w:r>
        <w:rPr>
          <w:rStyle w:val="CharSectno"/>
        </w:rPr>
        <w:t>5</w:t>
      </w:r>
      <w:r>
        <w:t>.</w:t>
      </w:r>
      <w:r>
        <w:tab/>
        <w:t>Interest of occupier of home on primary production land prescribed to be relevant interest (s. 6(1)(h))</w:t>
      </w:r>
      <w:bookmarkEnd w:id="25"/>
      <w:bookmarkEnd w:id="26"/>
      <w:bookmarkEnd w:id="2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b/>
        </w:rPr>
        <w:t>“</w:t>
      </w:r>
      <w:r>
        <w:rPr>
          <w:rStyle w:val="CharDefText"/>
        </w:rPr>
        <w:t>primary production business</w:t>
      </w:r>
      <w:r>
        <w:rPr>
          <w:b/>
        </w:rPr>
        <w:t>”</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28" w:name="_Toc22965625"/>
      <w:bookmarkStart w:id="29" w:name="_Toc22965690"/>
      <w:bookmarkStart w:id="30" w:name="_Toc96319701"/>
      <w:r>
        <w:rPr>
          <w:rStyle w:val="CharSectno"/>
        </w:rPr>
        <w:t>6</w:t>
      </w:r>
      <w:r>
        <w:t>.</w:t>
      </w:r>
      <w:r>
        <w:tab/>
        <w:t>Prescribed qualification to completion of eligible transaction (s. 14(6))</w:t>
      </w:r>
      <w:bookmarkEnd w:id="28"/>
      <w:bookmarkEnd w:id="29"/>
      <w:bookmarkEnd w:id="30"/>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31" w:name="_Toc22965626"/>
      <w:bookmarkStart w:id="32" w:name="_Toc22965691"/>
      <w:bookmarkStart w:id="33" w:name="_Toc96319702"/>
      <w:r>
        <w:rPr>
          <w:rStyle w:val="CharSectno"/>
        </w:rPr>
        <w:t>7</w:t>
      </w:r>
      <w:r>
        <w:t>.</w:t>
      </w:r>
      <w:r>
        <w:tab/>
        <w:t>Certain owners of land excluded from the operation of s. 16(1)</w:t>
      </w:r>
      <w:bookmarkEnd w:id="31"/>
      <w:bookmarkEnd w:id="32"/>
      <w:bookmarkEnd w:id="3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t>“</w:t>
      </w:r>
      <w:r>
        <w:rPr>
          <w:rStyle w:val="CharDefText"/>
        </w:rPr>
        <w:t>new home</w:t>
      </w:r>
      <w:r>
        <w:rPr>
          <w:b/>
        </w:rPr>
        <w:t>”</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b/>
        </w:rPr>
        <w:t>“</w:t>
      </w:r>
      <w:r>
        <w:rPr>
          <w:rStyle w:val="CharDefText"/>
        </w:rPr>
        <w:t>relevant owner of land</w:t>
      </w:r>
      <w:r>
        <w:rPr>
          <w:b/>
        </w:rPr>
        <w:t>”</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b/>
        </w:rPr>
        <w:t>“</w:t>
      </w:r>
      <w:r>
        <w:rPr>
          <w:rStyle w:val="CharDefText"/>
        </w:rPr>
        <w:t>State Housing Commission</w:t>
      </w:r>
      <w:r>
        <w:rPr>
          <w:b/>
        </w:rPr>
        <w:t>”</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34" w:name="_Toc22965627"/>
      <w:bookmarkStart w:id="35" w:name="_Toc22965692"/>
      <w:bookmarkStart w:id="36" w:name="_Toc96319703"/>
      <w:r>
        <w:rPr>
          <w:rStyle w:val="CharSectno"/>
        </w:rPr>
        <w:t>8</w:t>
      </w:r>
      <w:r>
        <w:t>.</w:t>
      </w:r>
      <w:r>
        <w:tab/>
        <w:t>Prescribed rates of interest (s. 30(3), 32(4) and 52(3) and (7))</w:t>
      </w:r>
      <w:bookmarkEnd w:id="34"/>
      <w:bookmarkEnd w:id="35"/>
      <w:bookmarkEnd w:id="36"/>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10% per annum.</w:t>
      </w:r>
    </w:p>
    <w:p>
      <w:pPr>
        <w:pStyle w:val="Footnotesection"/>
      </w:pPr>
      <w:r>
        <w:tab/>
        <w:t>[Regulation 8 amended in Gazette 13 Aug 2004 p. 3252.]</w:t>
      </w:r>
    </w:p>
    <w:p>
      <w:pPr>
        <w:pStyle w:val="Heading5"/>
      </w:pPr>
      <w:bookmarkStart w:id="37" w:name="_Toc22965628"/>
      <w:bookmarkStart w:id="38" w:name="_Toc22965693"/>
      <w:bookmarkStart w:id="39" w:name="_Toc96319704"/>
      <w:r>
        <w:rPr>
          <w:rStyle w:val="CharSectno"/>
        </w:rPr>
        <w:t>9</w:t>
      </w:r>
      <w:r>
        <w:t>.</w:t>
      </w:r>
      <w:r>
        <w:tab/>
        <w:t>Conditions to be included in administration agreements (s. 37(2))</w:t>
      </w:r>
      <w:bookmarkEnd w:id="37"/>
      <w:bookmarkEnd w:id="38"/>
      <w:bookmarkEnd w:id="39"/>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b/>
        </w:rPr>
        <w:t>“</w:t>
      </w:r>
      <w:r>
        <w:rPr>
          <w:rStyle w:val="CharDefText"/>
        </w:rPr>
        <w:t>delegate</w:t>
      </w:r>
      <w:r>
        <w:rPr>
          <w:b/>
        </w:rPr>
        <w:t>”</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b/>
        </w:rPr>
        <w:t>“</w:t>
      </w:r>
      <w:r>
        <w:rPr>
          <w:rStyle w:val="CharDefText"/>
        </w:rPr>
        <w:t>the records</w:t>
      </w:r>
      <w:r>
        <w:rPr>
          <w:b/>
        </w:rPr>
        <w:t>”</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40" w:name="_Toc22965629"/>
      <w:bookmarkStart w:id="41" w:name="_Toc22965694"/>
      <w:bookmarkStart w:id="42" w:name="_Toc96319705"/>
      <w:r>
        <w:rPr>
          <w:rStyle w:val="CharSectno"/>
        </w:rPr>
        <w:t>10</w:t>
      </w:r>
      <w:r>
        <w:t>.</w:t>
      </w:r>
      <w:r>
        <w:tab/>
        <w:t>Witness fees and expenses (s. 41(7))</w:t>
      </w:r>
      <w:bookmarkEnd w:id="40"/>
      <w:bookmarkEnd w:id="41"/>
      <w:bookmarkEnd w:id="42"/>
    </w:p>
    <w:p>
      <w:pPr>
        <w:pStyle w:val="Subsection"/>
      </w:pPr>
      <w:r>
        <w:tab/>
        <w:t>(1)</w:t>
      </w:r>
      <w:r>
        <w:tab/>
        <w:t xml:space="preserve">Subject to subregulation (2), a person who is required to attend for examination under section 41 of the Act (a </w:t>
      </w:r>
      <w:r>
        <w:rPr>
          <w:b/>
        </w:rPr>
        <w:t>“</w:t>
      </w:r>
      <w:r>
        <w:rPr>
          <w:rStyle w:val="CharDefText"/>
        </w:rPr>
        <w:t>witness</w:t>
      </w:r>
      <w:r>
        <w:rPr>
          <w:b/>
        </w:rPr>
        <w:t>”</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b/>
        </w:rPr>
        <w:t>“</w:t>
      </w:r>
      <w:r>
        <w:rPr>
          <w:rStyle w:val="CharDefText"/>
        </w:rPr>
        <w:t>appropriate publication</w:t>
      </w:r>
      <w:r>
        <w:rPr>
          <w:b/>
        </w:rPr>
        <w:t>”</w:t>
      </w:r>
      <w:r>
        <w:t xml:space="preserve"> includes material published by the Australian Bureau of Statistics.</w:t>
      </w:r>
    </w:p>
    <w:p>
      <w:pPr>
        <w:pStyle w:val="Footnotesection"/>
      </w:pPr>
      <w:r>
        <w:tab/>
        <w:t>[Regulation 10 amended in Gazette 30 Jun 2003 p. 2602.]</w:t>
      </w:r>
    </w:p>
    <w:p>
      <w:pPr>
        <w:pStyle w:val="Heading5"/>
      </w:pPr>
      <w:bookmarkStart w:id="43" w:name="_Toc22965630"/>
      <w:bookmarkStart w:id="44" w:name="_Toc22965695"/>
      <w:bookmarkStart w:id="45" w:name="_Toc96319706"/>
      <w:r>
        <w:rPr>
          <w:rStyle w:val="CharSectno"/>
        </w:rPr>
        <w:t>11</w:t>
      </w:r>
      <w:r>
        <w:t>.</w:t>
      </w:r>
      <w:r>
        <w:tab/>
        <w:t>Authorised receipt and permitted disclosure of confidential information (s. 65(3))</w:t>
      </w:r>
      <w:bookmarkEnd w:id="43"/>
      <w:bookmarkEnd w:id="44"/>
      <w:bookmarkEnd w:id="4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 xml:space="preserve">The disclosure of confidential information is permitted under section 65(3)(c) of the Act to —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Subsection"/>
      </w:pPr>
      <w:r>
        <w:tab/>
        <w:t>(3)</w:t>
      </w:r>
      <w:r>
        <w:tab/>
        <w:t xml:space="preserve">In this regulation — </w:t>
      </w:r>
    </w:p>
    <w:p>
      <w:pPr>
        <w:pStyle w:val="Defstart"/>
      </w:pPr>
      <w:r>
        <w:tab/>
      </w:r>
      <w:r>
        <w:rPr>
          <w:b/>
        </w:rPr>
        <w:t>“</w:t>
      </w:r>
      <w:r>
        <w:rPr>
          <w:rStyle w:val="CharDefText"/>
        </w:rPr>
        <w:t>confidential information</w:t>
      </w:r>
      <w:r>
        <w:rPr>
          <w:b/>
        </w:rPr>
        <w:t>”</w:t>
      </w:r>
      <w:r>
        <w:t xml:space="preserve"> has the meaning given in section 65(7) of the Act.</w:t>
      </w:r>
    </w:p>
    <w:p>
      <w:pPr>
        <w:pStyle w:val="Footnotesection"/>
        <w:rPr>
          <w:rStyle w:val="CharDivText"/>
        </w:rPr>
      </w:pPr>
      <w:r>
        <w:rPr>
          <w:rStyle w:val="CharDivText"/>
        </w:rPr>
        <w:tab/>
      </w:r>
      <w:r>
        <w:t>[Regulation 11 amended in Gazette 24 Jul 2001 p. 3732; Act No.  74 of 2004 s. 70.]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6" w:name="_Toc81882556"/>
      <w:bookmarkStart w:id="47" w:name="_Toc90720131"/>
      <w:bookmarkStart w:id="48" w:name="_Toc92182245"/>
      <w:bookmarkStart w:id="49" w:name="_Toc92182533"/>
      <w:bookmarkStart w:id="50" w:name="_Toc92182570"/>
      <w:bookmarkStart w:id="51" w:name="_Toc92186212"/>
      <w:bookmarkStart w:id="52" w:name="_Toc93130916"/>
      <w:bookmarkStart w:id="53" w:name="_Toc96319707"/>
      <w:r>
        <w:t>Notes</w:t>
      </w:r>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4" w:name="_Toc96319708"/>
      <w: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04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8CE8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506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5893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4C0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6A6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CC7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C4C7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54F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8600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3C7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E52055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444"/>
    <w:docVar w:name="WAFER_20151210144444" w:val="RemoveTrackChanges"/>
    <w:docVar w:name="WAFER_20151210144444_GUID" w:val="8409dd2b-4e83-4c5e-9ad3-179c23ed72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2124</Words>
  <Characters>10281</Characters>
  <Application>Microsoft Office Word</Application>
  <DocSecurity>0</DocSecurity>
  <Lines>311</Lines>
  <Paragraphs>174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12231</CharactersWithSpaces>
  <SharedDoc>false</SharedDoc>
  <HLinks>
    <vt:vector size="6" baseType="variant">
      <vt:variant>
        <vt:i4>3014716</vt:i4>
      </vt:variant>
      <vt:variant>
        <vt:i4>2459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2000 - 01-a0-04</dc:title>
  <dc:subject/>
  <dc:creator/>
  <cp:keywords/>
  <dc:description/>
  <cp:lastModifiedBy>svcMRProcess</cp:lastModifiedBy>
  <cp:revision>4</cp:revision>
  <cp:lastPrinted>2005-02-11T02:24:00Z</cp:lastPrinted>
  <dcterms:created xsi:type="dcterms:W3CDTF">2015-12-13T12:14:00Z</dcterms:created>
  <dcterms:modified xsi:type="dcterms:W3CDTF">2015-12-13T12:14:00Z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20050204</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AsAtDate">
    <vt:lpwstr>04 Feb 2005</vt:lpwstr>
  </property>
  <property fmtid="{D5CDD505-2E9C-101B-9397-08002B2CF9AE}" pid="8" name="Suffix">
    <vt:lpwstr>01-a0-04</vt:lpwstr>
  </property>
</Properties>
</file>