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Parking Management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Parking Management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_Toc483559655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_Toc483559656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_Toc483559657 \h </w:instrText>
      </w:r>
      <w:r>
        <w:fldChar w:fldCharType="separate"/>
      </w:r>
      <w:r>
        <w:t>1</w:t>
      </w:r>
      <w:r>
        <w:fldChar w:fldCharType="end"/>
      </w:r>
    </w:p>
    <w:p>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_Toc483559658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_Toc483559659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_Toc483559660 \h </w:instrText>
      </w:r>
      <w:r>
        <w:fldChar w:fldCharType="separate"/>
      </w:r>
      <w:r>
        <w:t>2</w:t>
      </w:r>
      <w:r>
        <w:fldChar w:fldCharType="end"/>
      </w:r>
    </w:p>
    <w:p>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_Toc483559661 \h </w:instrText>
      </w:r>
      <w:r>
        <w:fldChar w:fldCharType="separate"/>
      </w:r>
      <w:r>
        <w:t>3</w:t>
      </w:r>
      <w:r>
        <w:fldChar w:fldCharType="end"/>
      </w:r>
    </w:p>
    <w:p>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_Toc483559662 \h </w:instrText>
      </w:r>
      <w:r>
        <w:fldChar w:fldCharType="separate"/>
      </w:r>
      <w:r>
        <w:t>3</w:t>
      </w:r>
      <w:r>
        <w:fldChar w:fldCharType="end"/>
      </w:r>
    </w:p>
    <w:p>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_Toc483559663 \h </w:instrText>
      </w:r>
      <w:r>
        <w:fldChar w:fldCharType="separate"/>
      </w:r>
      <w:r>
        <w:t>4</w:t>
      </w:r>
      <w:r>
        <w:fldChar w:fldCharType="end"/>
      </w:r>
    </w:p>
    <w:p>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_Toc483559664 \h </w:instrText>
      </w:r>
      <w:r>
        <w:fldChar w:fldCharType="separate"/>
      </w:r>
      <w:r>
        <w:t>4</w:t>
      </w:r>
      <w:r>
        <w:fldChar w:fldCharType="end"/>
      </w:r>
    </w:p>
    <w:p>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_Toc483559665 \h </w:instrText>
      </w:r>
      <w:r>
        <w:fldChar w:fldCharType="separate"/>
      </w:r>
      <w:r>
        <w:t>4</w:t>
      </w:r>
      <w:r>
        <w:fldChar w:fldCharType="end"/>
      </w:r>
    </w:p>
    <w:p>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_Toc483559666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The Perth parking management area</w:t>
      </w:r>
    </w:p>
    <w:p>
      <w:pPr>
        <w:pStyle w:val="TOC2"/>
        <w:tabs>
          <w:tab w:val="right" w:leader="dot" w:pos="7077"/>
        </w:tabs>
        <w:rPr>
          <w:rFonts w:asciiTheme="minorHAnsi" w:eastAsiaTheme="minorEastAsia" w:hAnsiTheme="minorHAnsi" w:cstheme="minorBidi"/>
          <w:b w:val="0"/>
          <w:sz w:val="22"/>
          <w:szCs w:val="22"/>
        </w:rPr>
      </w:pPr>
      <w:r>
        <w:t>Schedule 2 — Licence fees</w:t>
      </w:r>
    </w:p>
    <w:p>
      <w:pPr>
        <w:pStyle w:val="TOC2"/>
        <w:tabs>
          <w:tab w:val="right" w:leader="dot" w:pos="7077"/>
        </w:tabs>
        <w:rPr>
          <w:rFonts w:asciiTheme="minorHAnsi" w:eastAsiaTheme="minorEastAsia" w:hAnsiTheme="minorHAnsi" w:cstheme="minorBidi"/>
          <w:b w:val="0"/>
          <w:sz w:val="22"/>
          <w:szCs w:val="22"/>
        </w:rPr>
      </w:pPr>
      <w:r>
        <w:t>Schedule 3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 of infringement notice</w:t>
      </w:r>
    </w:p>
    <w:p>
      <w:pPr>
        <w:pStyle w:val="TOC2"/>
        <w:tabs>
          <w:tab w:val="right" w:leader="dot" w:pos="7077"/>
        </w:tabs>
        <w:rPr>
          <w:rFonts w:asciiTheme="minorHAnsi" w:eastAsiaTheme="minorEastAsia" w:hAnsiTheme="minorHAnsi" w:cstheme="minorBidi"/>
          <w:b w:val="0"/>
          <w:sz w:val="22"/>
          <w:szCs w:val="22"/>
        </w:rPr>
      </w:pPr>
      <w:r>
        <w:t>Schedule 5 — Form of notice of withdrawal of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_Toc483559673 \h </w:instrText>
      </w:r>
      <w:r>
        <w:fldChar w:fldCharType="separate"/>
      </w:r>
      <w:r>
        <w:t>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_Toc483559674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3" w:name="_Toc483559655"/>
      <w:r>
        <w:rPr>
          <w:rStyle w:val="CharSectno"/>
        </w:rPr>
        <w:t>1</w:t>
      </w:r>
      <w:r>
        <w:t>.</w:t>
      </w:r>
      <w:r>
        <w:tab/>
        <w:t>Citation</w:t>
      </w:r>
      <w:bookmarkEnd w:id="3"/>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4" w:name="_Toc483559656"/>
      <w:r>
        <w:rPr>
          <w:rStyle w:val="CharSectno"/>
        </w:rPr>
        <w:t>2</w:t>
      </w:r>
      <w:r>
        <w:t>.</w:t>
      </w:r>
      <w:r>
        <w:tab/>
        <w:t>Commencement</w:t>
      </w:r>
      <w:bookmarkEnd w:id="4"/>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5" w:name="_Toc483559657"/>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in Gazette 16 May 2003 p. 1704; 13 Feb 2015 p. 653.]</w:t>
      </w:r>
    </w:p>
    <w:p>
      <w:pPr>
        <w:pStyle w:val="Heading5"/>
      </w:pPr>
      <w:bookmarkStart w:id="6" w:name="_Toc483559658"/>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6"/>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7" w:name="_Toc483559659"/>
      <w:r>
        <w:rPr>
          <w:rStyle w:val="CharSectno"/>
        </w:rPr>
        <w:t>5</w:t>
      </w:r>
      <w:r>
        <w:t>.</w:t>
      </w:r>
      <w:r>
        <w:tab/>
        <w:t>Circumstances prescribed (Act s. 7(c))</w:t>
      </w:r>
      <w:bookmarkEnd w:id="7"/>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8" w:name="_Toc483559660"/>
      <w:r>
        <w:rPr>
          <w:rStyle w:val="CharSectno"/>
        </w:rPr>
        <w:t>6</w:t>
      </w:r>
      <w:r>
        <w:t>.</w:t>
      </w:r>
      <w:r>
        <w:tab/>
        <w:t>Applications for parking bay licence, information etc. prescribed (Act s. 8(2))</w:t>
      </w:r>
      <w:bookmarkEnd w:id="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9" w:name="_Toc483559661"/>
      <w:r>
        <w:rPr>
          <w:rStyle w:val="CharSectno"/>
        </w:rPr>
        <w:t>7</w:t>
      </w:r>
      <w:r>
        <w:t>.</w:t>
      </w:r>
      <w:r>
        <w:tab/>
        <w:t>Parking bay licence fees (Sch. 2)</w:t>
      </w:r>
      <w:bookmarkEnd w:id="9"/>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0" w:name="_Toc483559662"/>
      <w:r>
        <w:rPr>
          <w:rStyle w:val="CharSectno"/>
        </w:rPr>
        <w:t>8</w:t>
      </w:r>
      <w:r>
        <w:t>.</w:t>
      </w:r>
      <w:r>
        <w:tab/>
        <w:t>Application to vary parking bay licence, information etc. prescribed (Act s. 15(2))</w:t>
      </w:r>
      <w:bookmarkEnd w:id="10"/>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11" w:name="_Toc483559663"/>
      <w:r>
        <w:rPr>
          <w:rStyle w:val="CharSectno"/>
        </w:rPr>
        <w:t>9</w:t>
      </w:r>
      <w:r>
        <w:t>.</w:t>
      </w:r>
      <w:r>
        <w:tab/>
        <w:t>Infringement notices, offences prescribed (Sch. 3 and Act s. 19(1))</w:t>
      </w:r>
      <w:bookmarkEnd w:id="11"/>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2" w:name="_Toc483559664"/>
      <w:r>
        <w:rPr>
          <w:rStyle w:val="CharSectno"/>
        </w:rPr>
        <w:t>10</w:t>
      </w:r>
      <w:r>
        <w:t>.</w:t>
      </w:r>
      <w:r>
        <w:tab/>
        <w:t>Infringement notices, modified penalties prescribed (Sch. 3)</w:t>
      </w:r>
      <w:bookmarkEnd w:id="12"/>
    </w:p>
    <w:p>
      <w:pPr>
        <w:pStyle w:val="Subsection"/>
      </w:pPr>
      <w:r>
        <w:tab/>
      </w:r>
      <w:r>
        <w:tab/>
        <w:t>The modified penalty for an offence referred to in an item in Schedule 3 is the penalty set out in the fourth column of the item.</w:t>
      </w:r>
    </w:p>
    <w:p>
      <w:pPr>
        <w:pStyle w:val="Heading5"/>
      </w:pPr>
      <w:bookmarkStart w:id="13" w:name="_Toc483559665"/>
      <w:r>
        <w:rPr>
          <w:rStyle w:val="CharSectno"/>
        </w:rPr>
        <w:t>11</w:t>
      </w:r>
      <w:r>
        <w:t>.</w:t>
      </w:r>
      <w:r>
        <w:tab/>
        <w:t>Infringement notices, form of (Sch. 4 and Act s. 19(2))</w:t>
      </w:r>
      <w:bookmarkEnd w:id="13"/>
    </w:p>
    <w:p>
      <w:pPr>
        <w:pStyle w:val="Subsection"/>
      </w:pPr>
      <w:r>
        <w:tab/>
      </w:r>
      <w:r>
        <w:tab/>
        <w:t>For the purposes of section 19(2) of the Act, the form of an infringement notice is the form set out in Schedule 4.</w:t>
      </w:r>
    </w:p>
    <w:p>
      <w:pPr>
        <w:pStyle w:val="Heading5"/>
      </w:pPr>
      <w:bookmarkStart w:id="14" w:name="_Toc483559666"/>
      <w:r>
        <w:rPr>
          <w:rStyle w:val="CharSectno"/>
        </w:rPr>
        <w:t>12</w:t>
      </w:r>
      <w:r>
        <w:t>.</w:t>
      </w:r>
      <w:r>
        <w:tab/>
        <w:t>Notice of withdrawal of infringement notice, form of (Sch. 5 and Act s. 19(6))</w:t>
      </w:r>
      <w:bookmarkEnd w:id="14"/>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19375132"/>
      <w:bookmarkStart w:id="16" w:name="_Toc419375152"/>
      <w:bookmarkStart w:id="17" w:name="_Toc419453274"/>
      <w:bookmarkStart w:id="18" w:name="_Toc423505387"/>
      <w:bookmarkStart w:id="19" w:name="_Toc423505500"/>
      <w:bookmarkStart w:id="20" w:name="_Toc450911571"/>
      <w:bookmarkStart w:id="21" w:name="_Toc455147394"/>
      <w:bookmarkStart w:id="22" w:name="_Toc455147457"/>
      <w:bookmarkStart w:id="23" w:name="_Toc483483625"/>
      <w:bookmarkStart w:id="24" w:name="_Toc483559381"/>
      <w:bookmarkStart w:id="25" w:name="_Toc483559667"/>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15"/>
      <w:bookmarkEnd w:id="16"/>
      <w:bookmarkEnd w:id="17"/>
      <w:bookmarkEnd w:id="18"/>
      <w:bookmarkEnd w:id="19"/>
      <w:bookmarkEnd w:id="20"/>
      <w:bookmarkEnd w:id="21"/>
      <w:bookmarkEnd w:id="22"/>
      <w:bookmarkEnd w:id="23"/>
      <w:bookmarkEnd w:id="24"/>
      <w:bookmarkEnd w:id="25"/>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26" w:name="_Toc419375133"/>
      <w:bookmarkStart w:id="27" w:name="_Toc419375153"/>
      <w:bookmarkStart w:id="28" w:name="_Toc419453275"/>
      <w:bookmarkStart w:id="29" w:name="_Toc423505388"/>
      <w:bookmarkStart w:id="30" w:name="_Toc423505501"/>
      <w:bookmarkStart w:id="31" w:name="_Toc450911572"/>
      <w:bookmarkStart w:id="32" w:name="_Toc455147395"/>
      <w:bookmarkStart w:id="33" w:name="_Toc455147458"/>
      <w:bookmarkStart w:id="34" w:name="_Toc483483626"/>
      <w:bookmarkStart w:id="35" w:name="_Toc483559382"/>
      <w:bookmarkStart w:id="36" w:name="_Toc483559668"/>
      <w:r>
        <w:rPr>
          <w:rStyle w:val="CharSchNo"/>
        </w:rPr>
        <w:t>Schedule 2</w:t>
      </w:r>
      <w:r>
        <w:t xml:space="preserve"> — </w:t>
      </w:r>
      <w:r>
        <w:rPr>
          <w:rStyle w:val="CharSchText"/>
        </w:rPr>
        <w:t>Licence fees</w:t>
      </w:r>
      <w:bookmarkEnd w:id="26"/>
      <w:bookmarkEnd w:id="27"/>
      <w:bookmarkEnd w:id="28"/>
      <w:bookmarkEnd w:id="29"/>
      <w:bookmarkEnd w:id="30"/>
      <w:bookmarkEnd w:id="31"/>
      <w:bookmarkEnd w:id="32"/>
      <w:bookmarkEnd w:id="33"/>
      <w:bookmarkEnd w:id="34"/>
      <w:bookmarkEnd w:id="35"/>
      <w:bookmarkEnd w:id="36"/>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1 088.60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1 005.80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1 005.80</w:t>
            </w:r>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r>
              <w:rPr>
                <w:szCs w:val="22"/>
              </w:rPr>
              <w:t>1 132.00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w:t>
      </w:r>
    </w:p>
    <w:p>
      <w:pPr>
        <w:pStyle w:val="yScheduleHeading"/>
      </w:pPr>
      <w:bookmarkStart w:id="37" w:name="_Toc419375134"/>
      <w:bookmarkStart w:id="38" w:name="_Toc419375154"/>
      <w:bookmarkStart w:id="39" w:name="_Toc419453276"/>
      <w:bookmarkStart w:id="40" w:name="_Toc423505389"/>
      <w:bookmarkStart w:id="41" w:name="_Toc423505502"/>
      <w:bookmarkStart w:id="42" w:name="_Toc450911573"/>
      <w:bookmarkStart w:id="43" w:name="_Toc455147396"/>
      <w:bookmarkStart w:id="44" w:name="_Toc455147459"/>
      <w:bookmarkStart w:id="45" w:name="_Toc483483627"/>
      <w:bookmarkStart w:id="46" w:name="_Toc483559383"/>
      <w:bookmarkStart w:id="47" w:name="_Toc483559669"/>
      <w:r>
        <w:rPr>
          <w:rStyle w:val="CharSchNo"/>
        </w:rPr>
        <w:t>Schedule 3</w:t>
      </w:r>
      <w:r>
        <w:t xml:space="preserve"> — </w:t>
      </w:r>
      <w:r>
        <w:rPr>
          <w:rStyle w:val="CharSchText"/>
        </w:rPr>
        <w:t>Infringement notice offences and modified penalties</w:t>
      </w:r>
      <w:bookmarkEnd w:id="37"/>
      <w:bookmarkEnd w:id="38"/>
      <w:bookmarkEnd w:id="39"/>
      <w:bookmarkEnd w:id="40"/>
      <w:bookmarkEnd w:id="41"/>
      <w:bookmarkEnd w:id="42"/>
      <w:bookmarkEnd w:id="43"/>
      <w:bookmarkEnd w:id="44"/>
      <w:bookmarkEnd w:id="45"/>
      <w:bookmarkEnd w:id="46"/>
      <w:bookmarkEnd w:id="47"/>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48" w:name="_Toc419375135"/>
      <w:bookmarkStart w:id="49" w:name="_Toc419375155"/>
      <w:bookmarkStart w:id="50" w:name="_Toc419453277"/>
      <w:bookmarkStart w:id="51" w:name="_Toc423505390"/>
      <w:bookmarkStart w:id="52" w:name="_Toc423505503"/>
      <w:bookmarkStart w:id="53" w:name="_Toc450911574"/>
      <w:bookmarkStart w:id="54" w:name="_Toc455147397"/>
      <w:bookmarkStart w:id="55" w:name="_Toc455147460"/>
      <w:bookmarkStart w:id="56" w:name="_Toc483483628"/>
      <w:bookmarkStart w:id="57" w:name="_Toc483559384"/>
      <w:bookmarkStart w:id="58" w:name="_Toc483559670"/>
      <w:r>
        <w:rPr>
          <w:rStyle w:val="CharSchNo"/>
        </w:rPr>
        <w:t>Schedule 4</w:t>
      </w:r>
      <w:r>
        <w:t xml:space="preserve"> — </w:t>
      </w:r>
      <w:r>
        <w:rPr>
          <w:rStyle w:val="CharSchText"/>
        </w:rPr>
        <w:t>Form of infringement notice</w:t>
      </w:r>
      <w:bookmarkEnd w:id="48"/>
      <w:bookmarkEnd w:id="49"/>
      <w:bookmarkEnd w:id="50"/>
      <w:bookmarkEnd w:id="51"/>
      <w:bookmarkEnd w:id="52"/>
      <w:bookmarkEnd w:id="53"/>
      <w:bookmarkEnd w:id="54"/>
      <w:bookmarkEnd w:id="55"/>
      <w:bookmarkEnd w:id="56"/>
      <w:bookmarkEnd w:id="57"/>
      <w:bookmarkEnd w:id="58"/>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59" w:name="_Toc419375136"/>
      <w:bookmarkStart w:id="60" w:name="_Toc419375156"/>
      <w:bookmarkStart w:id="61" w:name="_Toc419453278"/>
      <w:bookmarkStart w:id="62" w:name="_Toc423505391"/>
      <w:bookmarkStart w:id="63" w:name="_Toc423505504"/>
      <w:bookmarkStart w:id="64" w:name="_Toc450911575"/>
      <w:bookmarkStart w:id="65" w:name="_Toc455147398"/>
      <w:bookmarkStart w:id="66" w:name="_Toc455147461"/>
      <w:bookmarkStart w:id="67" w:name="_Toc483483629"/>
      <w:bookmarkStart w:id="68" w:name="_Toc483559385"/>
      <w:bookmarkStart w:id="69" w:name="_Toc483559671"/>
      <w:r>
        <w:rPr>
          <w:rStyle w:val="CharSchNo"/>
        </w:rPr>
        <w:t>Schedule 5</w:t>
      </w:r>
      <w:r>
        <w:t xml:space="preserve"> — </w:t>
      </w:r>
      <w:r>
        <w:rPr>
          <w:rStyle w:val="CharSchText"/>
        </w:rPr>
        <w:t>Form of notice of withdrawal of infringement notice</w:t>
      </w:r>
      <w:bookmarkEnd w:id="59"/>
      <w:bookmarkEnd w:id="60"/>
      <w:bookmarkEnd w:id="61"/>
      <w:bookmarkEnd w:id="62"/>
      <w:bookmarkEnd w:id="63"/>
      <w:bookmarkEnd w:id="64"/>
      <w:bookmarkEnd w:id="65"/>
      <w:bookmarkEnd w:id="66"/>
      <w:bookmarkEnd w:id="67"/>
      <w:bookmarkEnd w:id="68"/>
      <w:bookmarkEnd w:id="69"/>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71" w:name="_Toc419375137"/>
      <w:bookmarkStart w:id="72" w:name="_Toc419375157"/>
      <w:bookmarkStart w:id="73" w:name="_Toc419453279"/>
      <w:bookmarkStart w:id="74" w:name="_Toc423505392"/>
      <w:bookmarkStart w:id="75" w:name="_Toc423505505"/>
      <w:bookmarkStart w:id="76" w:name="_Toc450911576"/>
      <w:bookmarkStart w:id="77" w:name="_Toc455147399"/>
      <w:bookmarkStart w:id="78" w:name="_Toc455147462"/>
      <w:bookmarkStart w:id="79" w:name="_Toc483483630"/>
      <w:bookmarkStart w:id="80" w:name="_Toc483559386"/>
      <w:bookmarkStart w:id="81" w:name="_Toc483559672"/>
      <w:r>
        <w:t>Notes</w:t>
      </w:r>
      <w:bookmarkEnd w:id="71"/>
      <w:bookmarkEnd w:id="72"/>
      <w:bookmarkEnd w:id="73"/>
      <w:bookmarkEnd w:id="74"/>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2" w:name="_Toc483559673"/>
      <w:r>
        <w:t>Compilation table</w:t>
      </w:r>
      <w:bookmarkEnd w:id="8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trPr>
        <w:tc>
          <w:tcPr>
            <w:tcW w:w="3118"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4"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rPr>
          <w:cantSplit/>
        </w:trPr>
        <w:tc>
          <w:tcPr>
            <w:tcW w:w="3118"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4"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rPr>
          <w:cantSplit/>
        </w:trPr>
        <w:tc>
          <w:tcPr>
            <w:tcW w:w="3118" w:type="dxa"/>
            <w:tcBorders>
              <w:bottom w:val="single" w:sz="4" w:space="0" w:color="auto"/>
            </w:tcBorders>
            <w:shd w:val="clear" w:color="auto" w:fill="auto"/>
          </w:tcPr>
          <w:p>
            <w:pPr>
              <w:pStyle w:val="nTable"/>
              <w:spacing w:after="40"/>
              <w:rPr>
                <w:i/>
              </w:rPr>
            </w:pPr>
            <w:r>
              <w:rPr>
                <w:i/>
              </w:rPr>
              <w:t>Perth Parking Management Amendment Regulations 2016</w:t>
            </w:r>
          </w:p>
        </w:tc>
        <w:tc>
          <w:tcPr>
            <w:tcW w:w="1276" w:type="dxa"/>
            <w:tcBorders>
              <w:bottom w:val="single" w:sz="4" w:space="0" w:color="auto"/>
            </w:tcBorders>
            <w:shd w:val="clear" w:color="auto" w:fill="auto"/>
          </w:tcPr>
          <w:p>
            <w:pPr>
              <w:pStyle w:val="nTable"/>
              <w:spacing w:after="40"/>
            </w:pPr>
            <w:r>
              <w:t>13 May 2016 p. 1428</w:t>
            </w:r>
          </w:p>
        </w:tc>
        <w:tc>
          <w:tcPr>
            <w:tcW w:w="2694" w:type="dxa"/>
            <w:tcBorders>
              <w:bottom w:val="single" w:sz="4" w:space="0" w:color="auto"/>
            </w:tcBorders>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 w:name="_Toc483559674"/>
      <w:r>
        <w:t>Provisions that have not come into operation</w:t>
      </w:r>
      <w:bookmarkEnd w:id="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top w:val="nil"/>
              <w:bottom w:val="single" w:sz="4" w:space="0" w:color="auto"/>
            </w:tcBorders>
          </w:tcPr>
          <w:p>
            <w:pPr>
              <w:pStyle w:val="nTable"/>
              <w:spacing w:after="40"/>
            </w:pPr>
            <w:r>
              <w:rPr>
                <w:i/>
              </w:rPr>
              <w:t>Transport Regulations Amendment (Fees and Charges) Regulations 2017</w:t>
            </w:r>
            <w:r>
              <w:t xml:space="preserve"> Pt. 4</w:t>
            </w:r>
            <w:r>
              <w:rPr>
                <w:vertAlign w:val="superscript"/>
              </w:rPr>
              <w:t> 3</w:t>
            </w:r>
          </w:p>
        </w:tc>
        <w:tc>
          <w:tcPr>
            <w:tcW w:w="1276" w:type="dxa"/>
            <w:tcBorders>
              <w:top w:val="nil"/>
              <w:bottom w:val="single" w:sz="4" w:space="0" w:color="auto"/>
            </w:tcBorders>
          </w:tcPr>
          <w:p>
            <w:pPr>
              <w:pStyle w:val="nTable"/>
              <w:spacing w:after="40"/>
            </w:pPr>
            <w:r>
              <w:t>26 May 2017 p. 2639</w:t>
            </w:r>
            <w:r>
              <w:noBreakHyphen/>
              <w:t>45</w:t>
            </w:r>
          </w:p>
        </w:tc>
        <w:tc>
          <w:tcPr>
            <w:tcW w:w="2693" w:type="dxa"/>
            <w:tcBorders>
              <w:top w:val="nil"/>
              <w:bottom w:val="single" w:sz="4" w:space="0" w:color="auto"/>
            </w:tcBorders>
          </w:tcPr>
          <w:p>
            <w:pPr>
              <w:pStyle w:val="nTable"/>
              <w:spacing w:after="40"/>
            </w:pPr>
            <w:r>
              <w:t>1 Jul 2017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pPr>
      <w:r>
        <w:rPr>
          <w:vertAlign w:val="superscript"/>
        </w:rPr>
        <w:t>3</w:t>
      </w:r>
      <w:r>
        <w:tab/>
        <w:t xml:space="preserve">On the date as at which this compilation was prepared, the </w:t>
      </w:r>
      <w:r>
        <w:rPr>
          <w:i/>
        </w:rPr>
        <w:t>Transport Regulations Amendment (Fees and Charges) Regulations 2017</w:t>
      </w:r>
      <w:r>
        <w:t xml:space="preserve"> Pt. 4</w:t>
      </w:r>
      <w:r>
        <w:rPr>
          <w:vertAlign w:val="superscript"/>
        </w:rPr>
        <w:t xml:space="preserve"> </w:t>
      </w:r>
      <w:r>
        <w:t>had not come into operation. It reads as follows:</w:t>
      </w:r>
    </w:p>
    <w:p>
      <w:pPr>
        <w:pStyle w:val="BlankOpen"/>
      </w:pPr>
    </w:p>
    <w:p>
      <w:pPr>
        <w:pStyle w:val="nzHeading2"/>
      </w:pPr>
      <w:bookmarkStart w:id="84" w:name="_Toc482270035"/>
      <w:bookmarkStart w:id="85" w:name="_Toc482270058"/>
      <w:bookmarkStart w:id="86" w:name="_Toc482367042"/>
      <w:r>
        <w:rPr>
          <w:rStyle w:val="CharPartNo"/>
        </w:rPr>
        <w:t>Part 4</w:t>
      </w:r>
      <w:r>
        <w:rPr>
          <w:rStyle w:val="CharDivNo"/>
        </w:rPr>
        <w:t> </w:t>
      </w:r>
      <w:r>
        <w:t>—</w:t>
      </w:r>
      <w:r>
        <w:rPr>
          <w:rStyle w:val="CharDivText"/>
        </w:rPr>
        <w:t> </w:t>
      </w:r>
      <w:r>
        <w:rPr>
          <w:rStyle w:val="CharPartText"/>
          <w:i/>
        </w:rPr>
        <w:t>Perth Parking Management Regulations 1999</w:t>
      </w:r>
      <w:r>
        <w:rPr>
          <w:rStyle w:val="CharPartText"/>
        </w:rPr>
        <w:t> amended</w:t>
      </w:r>
      <w:bookmarkEnd w:id="84"/>
      <w:bookmarkEnd w:id="85"/>
      <w:bookmarkEnd w:id="86"/>
    </w:p>
    <w:p>
      <w:pPr>
        <w:pStyle w:val="nzHeading5"/>
        <w:rPr>
          <w:snapToGrid w:val="0"/>
        </w:rPr>
      </w:pPr>
      <w:bookmarkStart w:id="87" w:name="_Toc482367043"/>
      <w:r>
        <w:rPr>
          <w:rStyle w:val="CharSectno"/>
        </w:rPr>
        <w:t>7</w:t>
      </w:r>
      <w:r>
        <w:t>.</w:t>
      </w:r>
      <w:r>
        <w:tab/>
      </w:r>
      <w:r>
        <w:rPr>
          <w:snapToGrid w:val="0"/>
        </w:rPr>
        <w:t>Regulations amended</w:t>
      </w:r>
      <w:bookmarkEnd w:id="87"/>
    </w:p>
    <w:p>
      <w:pPr>
        <w:pStyle w:val="nzSubsection"/>
      </w:pPr>
      <w:r>
        <w:tab/>
      </w:r>
      <w:r>
        <w:tab/>
      </w:r>
      <w:r>
        <w:rPr>
          <w:spacing w:val="-2"/>
        </w:rPr>
        <w:t>This Part</w:t>
      </w:r>
      <w:r>
        <w:t xml:space="preserve"> amends the </w:t>
      </w:r>
      <w:r>
        <w:rPr>
          <w:i/>
        </w:rPr>
        <w:t>Perth Parking Management Regulations 1999</w:t>
      </w:r>
      <w:r>
        <w:t>.</w:t>
      </w:r>
    </w:p>
    <w:p>
      <w:pPr>
        <w:pStyle w:val="nzHeading5"/>
      </w:pPr>
      <w:bookmarkStart w:id="88" w:name="_Toc482367044"/>
      <w:r>
        <w:rPr>
          <w:rStyle w:val="CharSectno"/>
        </w:rPr>
        <w:t>8</w:t>
      </w:r>
      <w:r>
        <w:t>.</w:t>
      </w:r>
      <w:r>
        <w:tab/>
        <w:t>Schedule 2 amended</w:t>
      </w:r>
      <w:bookmarkEnd w:id="88"/>
    </w:p>
    <w:p>
      <w:pPr>
        <w:pStyle w:val="nzSubsection"/>
      </w:pPr>
      <w:r>
        <w:tab/>
      </w:r>
      <w:r>
        <w:tab/>
        <w:t>In Schedule 2 item 11:</w:t>
      </w:r>
    </w:p>
    <w:p>
      <w:pPr>
        <w:pStyle w:val="nzIndenta"/>
      </w:pPr>
      <w:r>
        <w:tab/>
        <w:t>(a)</w:t>
      </w:r>
      <w:r>
        <w:tab/>
        <w:t>in paragraph (b) delete “</w:t>
      </w:r>
      <w:r>
        <w:rPr>
          <w:sz w:val="22"/>
          <w:szCs w:val="22"/>
        </w:rPr>
        <w:t>1 088.60</w:t>
      </w:r>
      <w:r>
        <w:t>” and insert:</w:t>
      </w:r>
    </w:p>
    <w:p>
      <w:pPr>
        <w:pStyle w:val="BlankOpen"/>
      </w:pPr>
    </w:p>
    <w:p>
      <w:pPr>
        <w:pStyle w:val="nzIndenta"/>
      </w:pPr>
      <w:r>
        <w:tab/>
      </w:r>
      <w:r>
        <w:tab/>
      </w:r>
      <w:r>
        <w:rPr>
          <w:sz w:val="22"/>
          <w:szCs w:val="22"/>
        </w:rPr>
        <w:t>1 107.70</w:t>
      </w:r>
    </w:p>
    <w:p>
      <w:pPr>
        <w:pStyle w:val="BlankClose"/>
      </w:pPr>
    </w:p>
    <w:p>
      <w:pPr>
        <w:pStyle w:val="nzIndenta"/>
      </w:pPr>
      <w:r>
        <w:tab/>
        <w:t>(b)</w:t>
      </w:r>
      <w:r>
        <w:tab/>
        <w:t>in paragraph (c) delete “</w:t>
      </w:r>
      <w:r>
        <w:rPr>
          <w:sz w:val="22"/>
          <w:szCs w:val="22"/>
        </w:rPr>
        <w:t>1 005.80</w:t>
      </w:r>
      <w:r>
        <w:t>” and insert:</w:t>
      </w:r>
    </w:p>
    <w:p>
      <w:pPr>
        <w:pStyle w:val="BlankOpen"/>
      </w:pPr>
    </w:p>
    <w:p>
      <w:pPr>
        <w:pStyle w:val="nzIndenta"/>
      </w:pPr>
      <w:r>
        <w:tab/>
      </w:r>
      <w:r>
        <w:tab/>
      </w:r>
      <w:r>
        <w:rPr>
          <w:sz w:val="22"/>
          <w:szCs w:val="22"/>
        </w:rPr>
        <w:t>1 023.50</w:t>
      </w:r>
    </w:p>
    <w:p>
      <w:pPr>
        <w:pStyle w:val="BlankClose"/>
      </w:pPr>
    </w:p>
    <w:p>
      <w:pPr>
        <w:pStyle w:val="nzIndenta"/>
      </w:pPr>
      <w:r>
        <w:tab/>
        <w:t>(c)</w:t>
      </w:r>
      <w:r>
        <w:tab/>
        <w:t>in paragraph (d) delete “</w:t>
      </w:r>
      <w:r>
        <w:rPr>
          <w:sz w:val="22"/>
          <w:szCs w:val="22"/>
        </w:rPr>
        <w:t>1 005.80</w:t>
      </w:r>
      <w:r>
        <w:t>” and insert:</w:t>
      </w:r>
    </w:p>
    <w:p>
      <w:pPr>
        <w:pStyle w:val="BlankOpen"/>
      </w:pPr>
    </w:p>
    <w:p>
      <w:pPr>
        <w:pStyle w:val="nzIndenta"/>
      </w:pPr>
      <w:r>
        <w:tab/>
      </w:r>
      <w:r>
        <w:tab/>
      </w:r>
      <w:r>
        <w:rPr>
          <w:sz w:val="22"/>
          <w:szCs w:val="22"/>
        </w:rPr>
        <w:t>1 023.50</w:t>
      </w:r>
    </w:p>
    <w:p>
      <w:pPr>
        <w:pStyle w:val="BlankClose"/>
      </w:pPr>
    </w:p>
    <w:p>
      <w:pPr>
        <w:pStyle w:val="nzIndenta"/>
      </w:pPr>
      <w:r>
        <w:tab/>
        <w:t>(d)</w:t>
      </w:r>
      <w:r>
        <w:tab/>
        <w:t>in paragraph (e) delete “</w:t>
      </w:r>
      <w:r>
        <w:rPr>
          <w:sz w:val="22"/>
          <w:szCs w:val="22"/>
        </w:rPr>
        <w:t>1 132.00</w:t>
      </w:r>
      <w:r>
        <w:t>” and insert:</w:t>
      </w:r>
    </w:p>
    <w:p>
      <w:pPr>
        <w:pStyle w:val="BlankOpen"/>
      </w:pPr>
    </w:p>
    <w:p>
      <w:pPr>
        <w:pStyle w:val="nzIndenta"/>
      </w:pPr>
      <w:r>
        <w:tab/>
      </w:r>
      <w:r>
        <w:tab/>
      </w:r>
      <w:r>
        <w:rPr>
          <w:sz w:val="22"/>
          <w:szCs w:val="22"/>
        </w:rPr>
        <w:t>1 151.90</w:t>
      </w:r>
    </w:p>
    <w:p>
      <w:pPr>
        <w:pStyle w:val="BlankClose"/>
      </w:pP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90" w:name="_Toc419375159"/>
      <w:bookmarkStart w:id="91" w:name="_Toc419453282"/>
      <w:bookmarkStart w:id="92" w:name="_Toc423505394"/>
      <w:bookmarkStart w:id="93" w:name="_Toc423505507"/>
      <w:bookmarkStart w:id="94" w:name="_Toc450911579"/>
      <w:bookmarkStart w:id="95" w:name="_Toc455147401"/>
      <w:bookmarkStart w:id="96" w:name="_Toc455147464"/>
      <w:bookmarkStart w:id="97" w:name="_Toc483483633"/>
      <w:bookmarkStart w:id="98" w:name="_Toc483559389"/>
      <w:bookmarkStart w:id="99" w:name="_Toc483559675"/>
      <w:r>
        <w:rPr>
          <w:sz w:val="28"/>
        </w:rPr>
        <w:t>Defined terms</w:t>
      </w:r>
      <w:bookmarkEnd w:id="90"/>
      <w:bookmarkEnd w:id="91"/>
      <w:bookmarkEnd w:id="92"/>
      <w:bookmarkEnd w:id="93"/>
      <w:bookmarkEnd w:id="94"/>
      <w:bookmarkEnd w:id="95"/>
      <w:bookmarkEnd w:id="96"/>
      <w:bookmarkEnd w:id="97"/>
      <w:bookmarkEnd w:id="98"/>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carriageway</w:t>
      </w:r>
      <w:r>
        <w:tab/>
        <w:t>3</w:t>
      </w:r>
    </w:p>
    <w:p>
      <w:pPr>
        <w:pStyle w:val="DefinedTerms"/>
      </w:pPr>
      <w:r>
        <w:t>fire brigade</w:t>
      </w:r>
      <w:r>
        <w:tab/>
        <w:t>3</w:t>
      </w:r>
    </w:p>
    <w:p>
      <w:pPr>
        <w:pStyle w:val="DefinedTerms"/>
      </w:pPr>
      <w:r>
        <w:t>vehicle of a disabled person</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 w:name="DefinedTerms"/>
    <w:bookmarkEnd w:id="10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 w:name="Coversheet"/>
    <w:bookmarkEnd w:id="10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70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3641</Words>
  <Characters>18391</Characters>
  <Application>Microsoft Office Word</Application>
  <DocSecurity>0</DocSecurity>
  <Lines>681</Lines>
  <Paragraphs>415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1999 - 04-g0-00</dc:title>
  <dc:subject/>
  <dc:creator/>
  <cp:keywords/>
  <dc:description/>
  <cp:lastModifiedBy>svcMRProcess</cp:lastModifiedBy>
  <cp:revision>4</cp:revision>
  <cp:lastPrinted>2017-05-26T02:50:00Z</cp:lastPrinted>
  <dcterms:created xsi:type="dcterms:W3CDTF">2017-05-26T05:39:00Z</dcterms:created>
  <dcterms:modified xsi:type="dcterms:W3CDTF">2017-05-26T05:39:00Z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AsAtDate">
    <vt:lpwstr>26 May 2017</vt:lpwstr>
  </property>
  <property fmtid="{D5CDD505-2E9C-101B-9397-08002B2CF9AE}" pid="8" name="Suffix">
    <vt:lpwstr>04-g0-00</vt:lpwstr>
  </property>
  <property fmtid="{D5CDD505-2E9C-101B-9397-08002B2CF9AE}" pid="9" name="CommencementDate">
    <vt:lpwstr>20170526</vt:lpwstr>
  </property>
</Properties>
</file>