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(Spinifex Restricted Area)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_Toc484158406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_Toc484158407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_Toc484158408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regulations</w:t>
      </w:r>
      <w:r>
        <w:tab/>
      </w:r>
      <w:r>
        <w:fldChar w:fldCharType="begin"/>
      </w:r>
      <w:r>
        <w:instrText xml:space="preserve"> PAGEREF _Toc484158409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_Toc484158410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_Toc484158411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w:t>
      </w:r>
      <w:r>
        <w:rPr>
          <w:i/>
        </w:rPr>
        <w:t>Restricted Area</w:t>
      </w:r>
      <w:r>
        <w:tab/>
      </w:r>
      <w:r>
        <w:fldChar w:fldCharType="begin"/>
      </w:r>
      <w:r>
        <w:instrText xml:space="preserve"> PAGEREF _Toc484158412 \h </w:instrText>
      </w:r>
      <w:r>
        <w:fldChar w:fldCharType="separate"/>
      </w:r>
      <w:r>
        <w:t>2</w:t>
      </w:r>
      <w:r>
        <w:fldChar w:fldCharType="end"/>
      </w:r>
    </w:p>
    <w:p>
      <w:pPr>
        <w:pStyle w:val="TOC8"/>
        <w:rPr>
          <w:rFonts w:asciiTheme="minorHAnsi" w:eastAsiaTheme="minorEastAsia" w:hAnsiTheme="minorHAnsi" w:cstheme="minorBidi"/>
          <w:szCs w:val="22"/>
        </w:rPr>
      </w:pPr>
      <w:r>
        <w:t>8.</w:t>
      </w:r>
      <w:r>
        <w:tab/>
        <w:t>Defences for tourists</w:t>
      </w:r>
      <w:r>
        <w:tab/>
      </w:r>
      <w:r>
        <w:fldChar w:fldCharType="begin"/>
      </w:r>
      <w:r>
        <w:instrText xml:space="preserve"> PAGEREF _Toc484158413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_Toc484158414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regulations have effect</w:t>
      </w:r>
      <w:r>
        <w:tab/>
      </w:r>
      <w:r>
        <w:fldChar w:fldCharType="begin"/>
      </w:r>
      <w:r>
        <w:instrText xml:space="preserve"> PAGEREF _Toc484158415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Spinifex Native Title Determination Area</w:t>
      </w:r>
    </w:p>
    <w:p>
      <w:pPr>
        <w:pStyle w:val="TOC2"/>
        <w:tabs>
          <w:tab w:val="right" w:leader="dot" w:pos="7077"/>
        </w:tabs>
        <w:rPr>
          <w:rFonts w:asciiTheme="minorHAnsi" w:eastAsiaTheme="minorEastAsia" w:hAnsiTheme="minorHAnsi" w:cstheme="minorBidi"/>
          <w:b w:val="0"/>
          <w:sz w:val="22"/>
          <w:szCs w:val="22"/>
        </w:rPr>
      </w:pPr>
      <w:r>
        <w:t>Schedule 2 — Map of Restricted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_Toc484158419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(Spinifex Restricted Area) Regulations 2014</w:t>
      </w:r>
    </w:p>
    <w:p>
      <w:pPr>
        <w:pStyle w:val="Heading5"/>
      </w:pPr>
      <w:bookmarkStart w:id="3" w:name="_Toc392076890"/>
      <w:bookmarkStart w:id="4" w:name="_Toc484158406"/>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6" w:name="_Toc392076891"/>
      <w:bookmarkStart w:id="7" w:name="_Toc48415840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92076892"/>
      <w:bookmarkStart w:id="9" w:name="_Toc484158408"/>
      <w:r>
        <w:rPr>
          <w:rStyle w:val="CharSectno"/>
        </w:rPr>
        <w:t>3</w:t>
      </w:r>
      <w:r>
        <w:rPr>
          <w:snapToGrid w:val="0"/>
        </w:rPr>
        <w:t>.</w:t>
      </w:r>
      <w:r>
        <w:rPr>
          <w:snapToGrid w:val="0"/>
        </w:rPr>
        <w:tab/>
      </w:r>
      <w:r>
        <w:t>Terms used</w:t>
      </w:r>
      <w:bookmarkEnd w:id="8"/>
      <w:bookmarkEnd w:id="9"/>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Heading5"/>
      </w:pPr>
      <w:bookmarkStart w:id="10" w:name="_Toc392076893"/>
      <w:bookmarkStart w:id="11" w:name="_Toc484158409"/>
      <w:r>
        <w:rPr>
          <w:rStyle w:val="CharSectno"/>
        </w:rPr>
        <w:t>4</w:t>
      </w:r>
      <w:r>
        <w:t>.</w:t>
      </w:r>
      <w:r>
        <w:tab/>
        <w:t>Notes not part of regulations</w:t>
      </w:r>
      <w:bookmarkEnd w:id="10"/>
      <w:bookmarkEnd w:id="11"/>
    </w:p>
    <w:p>
      <w:pPr>
        <w:pStyle w:val="Subsection"/>
      </w:pPr>
      <w:r>
        <w:tab/>
      </w:r>
      <w:r>
        <w:tab/>
        <w:t>Notes do not form part of these regulations.</w:t>
      </w:r>
    </w:p>
    <w:p>
      <w:pPr>
        <w:pStyle w:val="Heading5"/>
      </w:pPr>
      <w:bookmarkStart w:id="12" w:name="_Toc392076894"/>
      <w:bookmarkStart w:id="13" w:name="_Toc484158410"/>
      <w:r>
        <w:rPr>
          <w:rStyle w:val="CharSectno"/>
        </w:rPr>
        <w:t>5</w:t>
      </w:r>
      <w:r>
        <w:t>.</w:t>
      </w:r>
      <w:r>
        <w:tab/>
        <w:t>Declaration of Restricted Area</w:t>
      </w:r>
      <w:bookmarkEnd w:id="12"/>
      <w:bookmarkEnd w:id="13"/>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14" w:name="_Toc392076895"/>
      <w:bookmarkStart w:id="15" w:name="_Toc484158411"/>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16" w:name="_Toc392076896"/>
      <w:bookmarkStart w:id="17" w:name="_Toc484158412"/>
      <w:r>
        <w:rPr>
          <w:rStyle w:val="CharSectno"/>
        </w:rPr>
        <w:t>7</w:t>
      </w:r>
      <w:r>
        <w:t>.</w:t>
      </w:r>
      <w:r>
        <w:tab/>
        <w:t xml:space="preserve">Prohibitions as to liquor in </w:t>
      </w:r>
      <w:r>
        <w:rPr>
          <w:i/>
        </w:rPr>
        <w:t>Restricted Area</w:t>
      </w:r>
      <w:bookmarkEnd w:id="16"/>
      <w:bookmarkEnd w:id="17"/>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92076897"/>
      <w:bookmarkStart w:id="19" w:name="_Toc484158413"/>
      <w:r>
        <w:rPr>
          <w:rStyle w:val="CharSectno"/>
        </w:rPr>
        <w:t>8</w:t>
      </w:r>
      <w:r>
        <w:t>.</w:t>
      </w:r>
      <w:r>
        <w:tab/>
        <w:t>Defences for tourists</w:t>
      </w:r>
      <w:bookmarkEnd w:id="18"/>
      <w:bookmarkEnd w:id="19"/>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20" w:name="_Toc392076898"/>
      <w:bookmarkStart w:id="21" w:name="_Toc484158414"/>
      <w:r>
        <w:rPr>
          <w:rStyle w:val="CharSectno"/>
        </w:rPr>
        <w:t>9</w:t>
      </w:r>
      <w:r>
        <w:t>.</w:t>
      </w:r>
      <w:r>
        <w:tab/>
        <w:t>Seizure and disposal of containers of liquor</w:t>
      </w:r>
      <w:bookmarkEnd w:id="20"/>
      <w:bookmarkEnd w:id="2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2" w:name="_Toc392076899"/>
      <w:bookmarkStart w:id="23" w:name="_Toc484158415"/>
      <w:r>
        <w:rPr>
          <w:rStyle w:val="CharSectno"/>
        </w:rPr>
        <w:t>10</w:t>
      </w:r>
      <w:r>
        <w:t>.</w:t>
      </w:r>
      <w:r>
        <w:tab/>
        <w:t>Period during which regulations have effect</w:t>
      </w:r>
      <w:bookmarkEnd w:id="22"/>
      <w:bookmarkEnd w:id="23"/>
    </w:p>
    <w:p>
      <w:pPr>
        <w:pStyle w:val="Subsection"/>
      </w:pPr>
      <w:r>
        <w:tab/>
      </w:r>
      <w:r>
        <w:tab/>
        <w:t>Unless sooner repealed, these regulations have effect for the period that ends at the close of 2 July 2020.</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pStyle w:val="Footnotesection"/>
        <w:rPr>
          <w:i w:val="0"/>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24" w:name="_Toc391977860"/>
      <w:bookmarkStart w:id="25" w:name="_Toc391980478"/>
      <w:r>
        <w:tab/>
        <w:t>[Regulation 10 amended: Gazette 2 Jun 2017 p. 2752.]</w:t>
      </w:r>
    </w:p>
    <w:p>
      <w:pPr>
        <w:pStyle w:val="yScheduleHeading"/>
        <w:outlineLvl w:val="0"/>
      </w:pPr>
      <w:bookmarkStart w:id="26" w:name="_Toc391990951"/>
      <w:bookmarkStart w:id="27" w:name="_Toc392076900"/>
      <w:bookmarkStart w:id="28" w:name="_Toc421007557"/>
      <w:bookmarkStart w:id="29" w:name="_Toc421007599"/>
      <w:bookmarkStart w:id="30" w:name="_Toc484095670"/>
      <w:bookmarkStart w:id="31" w:name="_Toc484158416"/>
      <w:r>
        <w:rPr>
          <w:rStyle w:val="CharSchNo"/>
        </w:rPr>
        <w:t>Schedule 1</w:t>
      </w:r>
      <w:r>
        <w:rPr>
          <w:rStyle w:val="CharSDivNo"/>
        </w:rPr>
        <w:t> </w:t>
      </w:r>
      <w:r>
        <w:t>—</w:t>
      </w:r>
      <w:r>
        <w:rPr>
          <w:rStyle w:val="CharSDivText"/>
        </w:rPr>
        <w:t> </w:t>
      </w:r>
      <w:r>
        <w:rPr>
          <w:rStyle w:val="CharSchText"/>
        </w:rPr>
        <w:t>Spinifex Native Title Determination Area</w:t>
      </w:r>
      <w:bookmarkEnd w:id="24"/>
      <w:bookmarkEnd w:id="25"/>
      <w:bookmarkEnd w:id="26"/>
      <w:bookmarkEnd w:id="27"/>
      <w:bookmarkEnd w:id="28"/>
      <w:bookmarkEnd w:id="29"/>
      <w:bookmarkEnd w:id="30"/>
      <w:bookmarkEnd w:id="31"/>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32" w:name="_Toc391977861"/>
      <w:bookmarkStart w:id="33" w:name="_Toc391980479"/>
      <w:bookmarkStart w:id="34" w:name="_Toc391990952"/>
      <w:bookmarkStart w:id="35" w:name="_Toc392076901"/>
      <w:bookmarkStart w:id="36" w:name="_Toc421007558"/>
      <w:bookmarkStart w:id="37" w:name="_Toc421007600"/>
      <w:bookmarkStart w:id="38" w:name="_Toc484095671"/>
      <w:bookmarkStart w:id="39" w:name="_Toc484158417"/>
      <w:r>
        <w:rPr>
          <w:rStyle w:val="CharSchNo"/>
        </w:rPr>
        <w:t>Schedule 2</w:t>
      </w:r>
      <w:r>
        <w:rPr>
          <w:rStyle w:val="CharSDivNo"/>
        </w:rPr>
        <w:t> </w:t>
      </w:r>
      <w:r>
        <w:t>—</w:t>
      </w:r>
      <w:r>
        <w:rPr>
          <w:rStyle w:val="CharSDivText"/>
        </w:rPr>
        <w:t> </w:t>
      </w:r>
      <w:r>
        <w:rPr>
          <w:rStyle w:val="CharSchText"/>
        </w:rPr>
        <w:t>Map of Restricted Area</w:t>
      </w:r>
      <w:bookmarkEnd w:id="32"/>
      <w:bookmarkEnd w:id="33"/>
      <w:bookmarkEnd w:id="34"/>
      <w:bookmarkEnd w:id="35"/>
      <w:bookmarkEnd w:id="36"/>
      <w:bookmarkEnd w:id="37"/>
      <w:bookmarkEnd w:id="38"/>
      <w:bookmarkEnd w:id="39"/>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75000"/>
                      <a:extLst>
                        <a:ext uri="{BEBA8EAE-BF5A-486C-A8C5-ECC9F3942E4B}">
                          <a14:imgProps xmlns:a14="http://schemas.microsoft.com/office/drawing/2010/main">
                            <a14:imgLayer r:embed="rId26">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1" w:name="_Toc113695922"/>
      <w:bookmarkStart w:id="42" w:name="_Toc391980480"/>
      <w:bookmarkStart w:id="43" w:name="_Toc391990953"/>
      <w:bookmarkStart w:id="44" w:name="_Toc392076902"/>
      <w:bookmarkStart w:id="45" w:name="_Toc421007559"/>
      <w:bookmarkStart w:id="46" w:name="_Toc421007601"/>
      <w:bookmarkStart w:id="47" w:name="_Toc484095672"/>
      <w:bookmarkStart w:id="48" w:name="_Toc484158418"/>
      <w:r>
        <w:t>Notes</w:t>
      </w:r>
      <w:bookmarkEnd w:id="41"/>
      <w:bookmarkEnd w:id="42"/>
      <w:bookmarkEnd w:id="43"/>
      <w:bookmarkEnd w:id="44"/>
      <w:bookmarkEnd w:id="45"/>
      <w:bookmarkEnd w:id="46"/>
      <w:bookmarkEnd w:id="47"/>
      <w:bookmarkEnd w:id="48"/>
    </w:p>
    <w:p>
      <w:pPr>
        <w:pStyle w:val="nSubsection"/>
      </w:pPr>
      <w:r>
        <w:rPr>
          <w:vertAlign w:val="superscript"/>
        </w:rPr>
        <w:t>1</w:t>
      </w:r>
      <w:r>
        <w:tab/>
        <w:t xml:space="preserve">This is a compilation of the </w:t>
      </w:r>
      <w:r>
        <w:rPr>
          <w:i/>
          <w:noProof/>
        </w:rPr>
        <w:t>Liquor Control (Spinifex Restricted Area) Regulations 2014</w:t>
      </w:r>
      <w:r>
        <w:t xml:space="preserve"> and includes the amendments made by the other written laws referred to in the following table </w:t>
      </w:r>
      <w:r>
        <w:rPr>
          <w:vertAlign w:val="superscript"/>
        </w:rPr>
        <w:t>2</w:t>
      </w:r>
      <w:r>
        <w:t>.</w:t>
      </w:r>
    </w:p>
    <w:p>
      <w:pPr>
        <w:pStyle w:val="nHeading3"/>
      </w:pPr>
      <w:bookmarkStart w:id="49" w:name="_Toc70311430"/>
      <w:bookmarkStart w:id="50" w:name="_Toc113695923"/>
      <w:bookmarkStart w:id="51" w:name="_Toc392076903"/>
      <w:bookmarkStart w:id="52" w:name="_Toc484158419"/>
      <w:r>
        <w:t>Compilation table</w:t>
      </w:r>
      <w:bookmarkEnd w:id="49"/>
      <w:bookmarkEnd w:id="50"/>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rFonts w:ascii="Times" w:hAnsi="Times"/>
                <w:bCs/>
                <w:snapToGrid w:val="0"/>
                <w:spacing w:val="-2"/>
              </w:rPr>
              <w:t>r. 1 and 2: 1 Jul 2014 (see r. 2(a));</w:t>
            </w:r>
            <w:r>
              <w:rPr>
                <w:rFonts w:ascii="Times" w:hAnsi="Times"/>
                <w:bCs/>
                <w:snapToGrid w:val="0"/>
                <w:spacing w:val="-2"/>
              </w:rPr>
              <w:br/>
              <w:t>Regulations other than r. 1 and 2: 2 Jul 2014 (see r. 2(b))</w:t>
            </w:r>
          </w:p>
        </w:tc>
      </w:tr>
      <w:tr>
        <w:tc>
          <w:tcPr>
            <w:tcW w:w="3118" w:type="dxa"/>
            <w:tcBorders>
              <w:top w:val="nil"/>
            </w:tcBorders>
          </w:tcPr>
          <w:p>
            <w:pPr>
              <w:pStyle w:val="nTable"/>
              <w:spacing w:after="40"/>
              <w:rPr>
                <w:i/>
              </w:rPr>
            </w:pPr>
            <w:r>
              <w:rPr>
                <w:i/>
              </w:rPr>
              <w:t>Liquor Control (Spinifex Restricted Area) Amendment Regulations 2017</w:t>
            </w:r>
          </w:p>
        </w:tc>
        <w:tc>
          <w:tcPr>
            <w:tcW w:w="1276" w:type="dxa"/>
            <w:tcBorders>
              <w:top w:val="nil"/>
            </w:tcBorders>
          </w:tcPr>
          <w:p>
            <w:pPr>
              <w:pStyle w:val="nTable"/>
              <w:spacing w:after="40"/>
            </w:pPr>
            <w:r>
              <w:t>2 Jun 2017 p 2751-2</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r. 1 and 2: 2 Jun 2017 (see r. 2(a));</w:t>
            </w:r>
            <w:r>
              <w:rPr>
                <w:rFonts w:ascii="Times" w:hAnsi="Times"/>
                <w:bCs/>
                <w:snapToGrid w:val="0"/>
                <w:spacing w:val="-2"/>
              </w:rPr>
              <w:br/>
              <w:t>Regulations other than r. 1 and 2: 3 Jun 2017 (see r. 2(b))</w:t>
            </w:r>
          </w:p>
        </w:tc>
      </w:tr>
    </w:tbl>
    <w:p>
      <w:pPr>
        <w:pStyle w:val="nSubsection"/>
      </w:pPr>
      <w:r>
        <w:rPr>
          <w:vertAlign w:val="superscript"/>
        </w:rPr>
        <w:t>2</w:t>
      </w:r>
      <w:r>
        <w:tab/>
        <w:t>These regulations expire on 2 Jul 2020 (see r. 10).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4" w:name="_Toc421007603"/>
      <w:bookmarkStart w:id="55" w:name="_Toc484095674"/>
      <w:bookmarkStart w:id="56" w:name="_Toc484158420"/>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Restricted Area</w:t>
      </w:r>
      <w:r>
        <w:tab/>
        <w:t>3</w:t>
      </w:r>
    </w:p>
    <w:p>
      <w:pPr>
        <w:pStyle w:val="DefinedTerms"/>
      </w:pPr>
      <w:r>
        <w:t>Spinifex Native Title Determination Area</w:t>
      </w:r>
      <w:r>
        <w:tab/>
        <w:t>3</w:t>
      </w:r>
    </w:p>
    <w:p>
      <w:pPr>
        <w:pStyle w:val="DefinedTerms"/>
      </w:pPr>
      <w:r>
        <w:t>tourist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20"/>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07/relationships/hdphoto" Target="media/hdphoto1.wdp"/><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1232</Words>
  <Characters>6038</Characters>
  <Application>Microsoft Office Word</Application>
  <DocSecurity>0</DocSecurity>
  <Lines>194</Lines>
  <Paragraphs>137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2014 - 00-b0-01</dc:title>
  <dc:subject/>
  <dc:creator/>
  <cp:keywords/>
  <dc:description/>
  <cp:lastModifiedBy>svcMRProcess</cp:lastModifiedBy>
  <cp:revision>4</cp:revision>
  <cp:lastPrinted>2017-06-02T01:03:00Z</cp:lastPrinted>
  <dcterms:created xsi:type="dcterms:W3CDTF">2019-01-17T08:25:00Z</dcterms:created>
  <dcterms:modified xsi:type="dcterms:W3CDTF">2019-01-17T08:25:00Z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CommencementDate">
    <vt:lpwstr>20170603</vt:lpwstr>
  </property>
  <property fmtid="{D5CDD505-2E9C-101B-9397-08002B2CF9AE}" pid="5" name="AsAtDate">
    <vt:lpwstr>03 Jun 2017</vt:lpwstr>
  </property>
  <property fmtid="{D5CDD505-2E9C-101B-9397-08002B2CF9AE}" pid="6" name="Suffix">
    <vt:lpwstr>00-b0-01</vt:lpwstr>
  </property>
</Properties>
</file>