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WA"/>
      </w:pPr>
      <w:bookmarkStart w:id="0" w:name="_GoBack"/>
      <w:bookmarkEnd w:id="0"/>
      <w:r>
        <w:rPr>
          <w:noProof/>
        </w:rPr>
        <w:drawing>
          <wp:anchor distT="0" distB="0" distL="114300" distR="114300" simplePos="0" relativeHeight="251661312" behindDoc="0" locked="0" layoutInCell="1" allowOverlap="1">
            <wp:simplePos x="0" y="0"/>
            <wp:positionH relativeFrom="column">
              <wp:posOffset>1981200</wp:posOffset>
            </wp:positionH>
            <wp:positionV relativeFrom="paragraph">
              <wp:posOffset>-517525</wp:posOffset>
            </wp:positionV>
            <wp:extent cx="631190" cy="505460"/>
            <wp:effectExtent l="0" t="0" r="0" b="8890"/>
            <wp:wrapNone/>
            <wp:docPr id="62" name="Picture 4" descr="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res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1190" cy="505460"/>
                    </a:xfrm>
                    <a:prstGeom prst="rect">
                      <a:avLst/>
                    </a:prstGeom>
                    <a:noFill/>
                    <a:ln>
                      <a:noFill/>
                    </a:ln>
                  </pic:spPr>
                </pic:pic>
              </a:graphicData>
            </a:graphic>
            <wp14:sizeRelH relativeFrom="page">
              <wp14:pctWidth>0</wp14:pctWidth>
            </wp14:sizeRelH>
            <wp14:sizeRelV relativeFrom="page">
              <wp14:pctHeight>0</wp14:pctHeight>
            </wp14:sizeRelV>
          </wp:anchor>
        </w:drawing>
      </w:r>
      <w:r>
        <w:t>Western Australia</w:t>
      </w:r>
    </w:p>
    <w:p>
      <w:pPr>
        <w:pStyle w:val="PrincipalActRegPage1"/>
      </w:pPr>
      <w:r>
        <w:rPr>
          <w:noProof/>
        </w:rPr>
        <w:t>Country Areas Water Supply Act 1947</w:t>
      </w:r>
    </w:p>
    <w:p>
      <w:pPr>
        <w:pStyle w:val="NameofActRegPage1"/>
        <w:spacing w:before="1200" w:after="4200"/>
        <w:ind w:right="293"/>
        <w:outlineLvl w:val="0"/>
        <w:rPr>
          <w:sz w:val="48"/>
        </w:rPr>
      </w:pPr>
      <w:r>
        <w:rPr>
          <w:sz w:val="48"/>
        </w:rPr>
        <w:fldChar w:fldCharType="begin"/>
      </w:r>
      <w:r>
        <w:rPr>
          <w:sz w:val="48"/>
        </w:rPr>
        <w:instrText xml:space="preserve"> STYLEREF "Name Of Act/Reg"</w:instrText>
      </w:r>
      <w:r>
        <w:rPr>
          <w:sz w:val="48"/>
        </w:rPr>
        <w:fldChar w:fldCharType="separate"/>
      </w:r>
      <w:r>
        <w:rPr>
          <w:noProof/>
          <w:sz w:val="48"/>
        </w:rPr>
        <w:t>Country Areas Water Supply By-laws 1957</w:t>
      </w:r>
      <w:r>
        <w:rPr>
          <w:sz w:val="48"/>
        </w:rPr>
        <w:fldChar w:fldCharType="end"/>
      </w:r>
    </w:p>
    <w:p>
      <w:pPr>
        <w:pStyle w:val="ReprintNo"/>
      </w:pPr>
      <w:r>
        <w:t>Reprint 6:  The by-laws as at 19 May 2017</w:t>
      </w:r>
    </w:p>
    <w:p>
      <w:pPr>
        <w:tabs>
          <w:tab w:val="left" w:pos="567"/>
          <w:tab w:val="left" w:pos="851"/>
        </w:tabs>
        <w:ind w:left="851" w:hanging="851"/>
        <w:rPr>
          <w:b/>
          <w:sz w:val="20"/>
        </w:rPr>
      </w:pPr>
      <w:r>
        <w:rPr>
          <w:b/>
          <w:sz w:val="22"/>
        </w:rPr>
        <w:br w:type="page"/>
      </w:r>
      <w:r>
        <w:rPr>
          <w:b/>
          <w:sz w:val="20"/>
        </w:rPr>
        <w:lastRenderedPageBreak/>
        <w:tab/>
      </w:r>
      <w:r>
        <w:rPr>
          <w:b/>
          <w:sz w:val="20"/>
        </w:rPr>
        <w:tab/>
        <w:t>Guide for using this reprint</w:t>
      </w:r>
    </w:p>
    <w:p>
      <w:pPr>
        <w:tabs>
          <w:tab w:val="left" w:pos="567"/>
          <w:tab w:val="left" w:pos="851"/>
        </w:tabs>
        <w:spacing w:before="120" w:after="60"/>
        <w:ind w:left="851" w:hanging="851"/>
        <w:rPr>
          <w:b/>
          <w:i/>
          <w:sz w:val="20"/>
        </w:rPr>
      </w:pPr>
      <w:r>
        <w:rPr>
          <w:b/>
          <w:i/>
          <w:sz w:val="20"/>
        </w:rPr>
        <w:tab/>
      </w:r>
      <w:r>
        <w:rPr>
          <w:b/>
          <w:i/>
          <w:sz w:val="20"/>
        </w:rPr>
        <w:tab/>
        <w:t>What the reprint includes</w:t>
      </w:r>
    </w:p>
    <w:p>
      <w:pPr>
        <w:ind w:left="567"/>
        <w:rPr>
          <w:sz w:val="20"/>
        </w:rPr>
      </w:pPr>
      <w:r>
        <w:rPr>
          <w:noProof/>
          <w:sz w:val="20"/>
        </w:rPr>
        <mc:AlternateContent>
          <mc:Choice Requires="wpg">
            <w:drawing>
              <wp:anchor distT="0" distB="0" distL="114300" distR="114300" simplePos="0" relativeHeight="251662336" behindDoc="0" locked="0" layoutInCell="1" allowOverlap="1">
                <wp:simplePos x="0" y="0"/>
                <wp:positionH relativeFrom="column">
                  <wp:posOffset>555625</wp:posOffset>
                </wp:positionH>
                <wp:positionV relativeFrom="paragraph">
                  <wp:posOffset>2540</wp:posOffset>
                </wp:positionV>
                <wp:extent cx="3987800" cy="342900"/>
                <wp:effectExtent l="0" t="0" r="12700" b="19050"/>
                <wp:wrapNone/>
                <wp:docPr id="24" name="Group 24"/>
                <wp:cNvGraphicFramePr/>
                <a:graphic xmlns:a="http://schemas.openxmlformats.org/drawingml/2006/main">
                  <a:graphicData uri="http://schemas.microsoft.com/office/word/2010/wordprocessingGroup">
                    <wpg:wgp>
                      <wpg:cNvGrpSpPr/>
                      <wpg:grpSpPr>
                        <a:xfrm>
                          <a:off x="0" y="0"/>
                          <a:ext cx="3987800" cy="342900"/>
                          <a:chOff x="0" y="0"/>
                          <a:chExt cx="3987800" cy="342900"/>
                        </a:xfrm>
                      </wpg:grpSpPr>
                      <wpg:grpSp>
                        <wpg:cNvPr id="38" name="Group 38"/>
                        <wpg:cNvGrpSpPr/>
                        <wpg:grpSpPr>
                          <a:xfrm>
                            <a:off x="819150" y="88900"/>
                            <a:ext cx="158115" cy="158115"/>
                            <a:chOff x="0" y="0"/>
                            <a:chExt cx="158115" cy="158115"/>
                          </a:xfrm>
                        </wpg:grpSpPr>
                        <wps:wsp>
                          <wps:cNvPr id="35" name="Straight Connector 35"/>
                          <wps:cNvCnPr/>
                          <wps:spPr>
                            <a:xfrm>
                              <a:off x="0" y="79058"/>
                              <a:ext cx="158115" cy="0"/>
                            </a:xfrm>
                            <a:prstGeom prst="line">
                              <a:avLst/>
                            </a:prstGeom>
                            <a:ln w="9525"/>
                          </wps:spPr>
                          <wps:style>
                            <a:lnRef idx="1">
                              <a:schemeClr val="accent1"/>
                            </a:lnRef>
                            <a:fillRef idx="0">
                              <a:schemeClr val="accent1"/>
                            </a:fillRef>
                            <a:effectRef idx="0">
                              <a:schemeClr val="accent1"/>
                            </a:effectRef>
                            <a:fontRef idx="minor">
                              <a:schemeClr val="tx1"/>
                            </a:fontRef>
                          </wps:style>
                          <wps:bodyPr/>
                        </wps:wsp>
                        <wps:wsp>
                          <wps:cNvPr id="36" name="Straight Connector 36"/>
                          <wps:cNvCnPr/>
                          <wps:spPr>
                            <a:xfrm rot="5400000">
                              <a:off x="6350" y="79058"/>
                              <a:ext cx="158115" cy="0"/>
                            </a:xfrm>
                            <a:prstGeom prst="line">
                              <a:avLst/>
                            </a:prstGeom>
                            <a:ln w="9525"/>
                          </wps:spPr>
                          <wps:style>
                            <a:lnRef idx="1">
                              <a:schemeClr val="accent1"/>
                            </a:lnRef>
                            <a:fillRef idx="0">
                              <a:schemeClr val="accent1"/>
                            </a:fillRef>
                            <a:effectRef idx="0">
                              <a:schemeClr val="accent1"/>
                            </a:effectRef>
                            <a:fontRef idx="minor">
                              <a:schemeClr val="tx1"/>
                            </a:fontRef>
                          </wps:style>
                          <wps:bodyPr/>
                        </wps:wsp>
                      </wpg:grpSp>
                      <wpg:grpSp>
                        <wpg:cNvPr id="39" name="Group 39"/>
                        <wpg:cNvGrpSpPr/>
                        <wpg:grpSpPr>
                          <a:xfrm>
                            <a:off x="1828800" y="88900"/>
                            <a:ext cx="158115" cy="158115"/>
                            <a:chOff x="0" y="0"/>
                            <a:chExt cx="158115" cy="158115"/>
                          </a:xfrm>
                        </wpg:grpSpPr>
                        <wps:wsp>
                          <wps:cNvPr id="40" name="Straight Connector 40"/>
                          <wps:cNvCnPr/>
                          <wps:spPr>
                            <a:xfrm>
                              <a:off x="0" y="79058"/>
                              <a:ext cx="158115" cy="0"/>
                            </a:xfrm>
                            <a:prstGeom prst="line">
                              <a:avLst/>
                            </a:prstGeom>
                            <a:ln w="9525"/>
                          </wps:spPr>
                          <wps:style>
                            <a:lnRef idx="1">
                              <a:schemeClr val="accent1"/>
                            </a:lnRef>
                            <a:fillRef idx="0">
                              <a:schemeClr val="accent1"/>
                            </a:fillRef>
                            <a:effectRef idx="0">
                              <a:schemeClr val="accent1"/>
                            </a:effectRef>
                            <a:fontRef idx="minor">
                              <a:schemeClr val="tx1"/>
                            </a:fontRef>
                          </wps:style>
                          <wps:bodyPr/>
                        </wps:wsp>
                        <wps:wsp>
                          <wps:cNvPr id="41" name="Straight Connector 41"/>
                          <wps:cNvCnPr/>
                          <wps:spPr>
                            <a:xfrm rot="5400000">
                              <a:off x="6350" y="79058"/>
                              <a:ext cx="158115" cy="0"/>
                            </a:xfrm>
                            <a:prstGeom prst="line">
                              <a:avLst/>
                            </a:prstGeom>
                            <a:ln w="9525"/>
                          </wps:spPr>
                          <wps:style>
                            <a:lnRef idx="1">
                              <a:schemeClr val="accent1"/>
                            </a:lnRef>
                            <a:fillRef idx="0">
                              <a:schemeClr val="accent1"/>
                            </a:fillRef>
                            <a:effectRef idx="0">
                              <a:schemeClr val="accent1"/>
                            </a:effectRef>
                            <a:fontRef idx="minor">
                              <a:schemeClr val="tx1"/>
                            </a:fontRef>
                          </wps:style>
                          <wps:bodyPr/>
                        </wps:wsp>
                      </wpg:grpSp>
                      <wpg:grpSp>
                        <wpg:cNvPr id="47" name="Group 47"/>
                        <wpg:cNvGrpSpPr/>
                        <wpg:grpSpPr>
                          <a:xfrm>
                            <a:off x="3079750" y="120650"/>
                            <a:ext cx="158115" cy="104140"/>
                            <a:chOff x="0" y="0"/>
                            <a:chExt cx="158115" cy="104140"/>
                          </a:xfrm>
                        </wpg:grpSpPr>
                        <wps:wsp>
                          <wps:cNvPr id="43" name="Straight Connector 43"/>
                          <wps:cNvCnPr/>
                          <wps:spPr>
                            <a:xfrm>
                              <a:off x="0" y="50800"/>
                              <a:ext cx="158115" cy="0"/>
                            </a:xfrm>
                            <a:prstGeom prst="line">
                              <a:avLst/>
                            </a:prstGeom>
                            <a:ln w="9525"/>
                          </wps:spPr>
                          <wps:style>
                            <a:lnRef idx="1">
                              <a:schemeClr val="accent1"/>
                            </a:lnRef>
                            <a:fillRef idx="0">
                              <a:schemeClr val="accent1"/>
                            </a:fillRef>
                            <a:effectRef idx="0">
                              <a:schemeClr val="accent1"/>
                            </a:effectRef>
                            <a:fontRef idx="minor">
                              <a:schemeClr val="tx1"/>
                            </a:fontRef>
                          </wps:style>
                          <wps:bodyPr/>
                        </wps:wsp>
                        <wps:wsp>
                          <wps:cNvPr id="45" name="Straight Connector 45"/>
                          <wps:cNvCnPr/>
                          <wps:spPr>
                            <a:xfrm flipH="1" flipV="1">
                              <a:off x="76200" y="0"/>
                              <a:ext cx="81915" cy="46990"/>
                            </a:xfrm>
                            <a:prstGeom prst="line">
                              <a:avLst/>
                            </a:prstGeom>
                            <a:ln w="9525"/>
                          </wps:spPr>
                          <wps:style>
                            <a:lnRef idx="1">
                              <a:schemeClr val="accent1"/>
                            </a:lnRef>
                            <a:fillRef idx="0">
                              <a:schemeClr val="accent1"/>
                            </a:fillRef>
                            <a:effectRef idx="0">
                              <a:schemeClr val="accent1"/>
                            </a:effectRef>
                            <a:fontRef idx="minor">
                              <a:schemeClr val="tx1"/>
                            </a:fontRef>
                          </wps:style>
                          <wps:bodyPr/>
                        </wps:wsp>
                        <wps:wsp>
                          <wps:cNvPr id="46" name="Straight Connector 46"/>
                          <wps:cNvCnPr/>
                          <wps:spPr>
                            <a:xfrm rot="10800000" flipH="1">
                              <a:off x="76200" y="57150"/>
                              <a:ext cx="81915" cy="46990"/>
                            </a:xfrm>
                            <a:prstGeom prst="line">
                              <a:avLst/>
                            </a:prstGeom>
                            <a:ln w="9525"/>
                          </wps:spPr>
                          <wps:style>
                            <a:lnRef idx="1">
                              <a:schemeClr val="accent1"/>
                            </a:lnRef>
                            <a:fillRef idx="0">
                              <a:schemeClr val="accent1"/>
                            </a:fillRef>
                            <a:effectRef idx="0">
                              <a:schemeClr val="accent1"/>
                            </a:effectRef>
                            <a:fontRef idx="minor">
                              <a:schemeClr val="tx1"/>
                            </a:fontRef>
                          </wps:style>
                          <wps:bodyPr/>
                        </wps:wsp>
                      </wpg:grpSp>
                      <wps:wsp>
                        <wps:cNvPr id="25" name="Text Box 1"/>
                        <wps:cNvSpPr txBox="1"/>
                        <wps:spPr>
                          <a:xfrm>
                            <a:off x="0" y="0"/>
                            <a:ext cx="781050" cy="34163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pPr>
                                <w:rPr>
                                  <w:sz w:val="18"/>
                                  <w:szCs w:val="18"/>
                                </w:rPr>
                              </w:pPr>
                              <w:r>
                                <w:rPr>
                                  <w:sz w:val="18"/>
                                  <w:szCs w:val="18"/>
                                </w:rPr>
                                <w:t>By-laws as published</w:t>
                              </w:r>
                            </w:p>
                          </w:txbxContent>
                        </wps:txbx>
                        <wps:bodyPr rot="0" spcFirstLastPara="0" vertOverflow="overflow" horzOverflow="overflow" vert="horz" wrap="square" lIns="72000" tIns="36000" rIns="72000" bIns="36000" numCol="1" spcCol="0" rtlCol="0" fromWordArt="0" anchor="t" anchorCtr="0" forceAA="0" compatLnSpc="1">
                          <a:prstTxWarp prst="textNoShape">
                            <a:avLst/>
                          </a:prstTxWarp>
                          <a:noAutofit/>
                        </wps:bodyPr>
                      </wps:wsp>
                      <wps:wsp>
                        <wps:cNvPr id="32" name="Text Box 32"/>
                        <wps:cNvSpPr txBox="1"/>
                        <wps:spPr>
                          <a:xfrm>
                            <a:off x="1009650" y="0"/>
                            <a:ext cx="781050" cy="3429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pPr>
                                <w:rPr>
                                  <w:sz w:val="18"/>
                                  <w:szCs w:val="18"/>
                                </w:rPr>
                              </w:pPr>
                              <w:r>
                                <w:rPr>
                                  <w:sz w:val="18"/>
                                  <w:szCs w:val="18"/>
                                </w:rPr>
                                <w:t>legislative amendments</w:t>
                              </w:r>
                            </w:p>
                          </w:txbxContent>
                        </wps:txbx>
                        <wps:bodyPr rot="0" spcFirstLastPara="0" vertOverflow="overflow" horzOverflow="overflow" vert="horz" wrap="square" lIns="72000" tIns="36000" rIns="72000" bIns="36000" numCol="1" spcCol="0" rtlCol="0" fromWordArt="0" anchor="t" anchorCtr="0" forceAA="0" compatLnSpc="1">
                          <a:prstTxWarp prst="textNoShape">
                            <a:avLst/>
                          </a:prstTxWarp>
                          <a:noAutofit/>
                        </wps:bodyPr>
                      </wps:wsp>
                      <wps:wsp>
                        <wps:cNvPr id="33" name="Text Box 33"/>
                        <wps:cNvSpPr txBox="1"/>
                        <wps:spPr>
                          <a:xfrm>
                            <a:off x="2019300" y="0"/>
                            <a:ext cx="1009650" cy="3429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pPr>
                                <w:rPr>
                                  <w:i/>
                                  <w:sz w:val="18"/>
                                  <w:szCs w:val="18"/>
                                </w:rPr>
                              </w:pPr>
                              <w:r>
                                <w:rPr>
                                  <w:sz w:val="18"/>
                                  <w:szCs w:val="18"/>
                                </w:rPr>
                                <w:t>changes under the</w:t>
                              </w:r>
                              <w:r>
                                <w:rPr>
                                  <w:sz w:val="18"/>
                                  <w:szCs w:val="18"/>
                                </w:rPr>
                                <w:br/>
                              </w:r>
                              <w:r>
                                <w:rPr>
                                  <w:i/>
                                  <w:sz w:val="18"/>
                                  <w:szCs w:val="18"/>
                                </w:rPr>
                                <w:t>Reprints Act 1984</w:t>
                              </w:r>
                            </w:p>
                          </w:txbxContent>
                        </wps:txbx>
                        <wps:bodyPr rot="0" spcFirstLastPara="0" vertOverflow="overflow" horzOverflow="overflow" vert="horz" wrap="square" lIns="72000" tIns="36000" rIns="72000" bIns="36000" numCol="1" spcCol="0" rtlCol="0" fromWordArt="0" anchor="t" anchorCtr="0" forceAA="0" compatLnSpc="1">
                          <a:prstTxWarp prst="textNoShape">
                            <a:avLst/>
                          </a:prstTxWarp>
                          <a:noAutofit/>
                        </wps:bodyPr>
                      </wps:wsp>
                      <wps:wsp>
                        <wps:cNvPr id="34" name="Text Box 34"/>
                        <wps:cNvSpPr txBox="1"/>
                        <wps:spPr>
                          <a:xfrm>
                            <a:off x="3295650" y="0"/>
                            <a:ext cx="692150" cy="3429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pPr>
                                <w:rPr>
                                  <w:sz w:val="18"/>
                                  <w:szCs w:val="18"/>
                                </w:rPr>
                              </w:pPr>
                              <w:r>
                                <w:rPr>
                                  <w:sz w:val="18"/>
                                  <w:szCs w:val="18"/>
                                </w:rPr>
                                <w:t>this reprint</w:t>
                              </w:r>
                            </w:p>
                          </w:txbxContent>
                        </wps:txbx>
                        <wps:bodyPr rot="0" spcFirstLastPara="0" vertOverflow="overflow" horzOverflow="overflow" vert="horz" wrap="square" lIns="72000" tIns="36000" rIns="72000" bIns="36000" numCol="1" spcCol="0" rtlCol="0" fromWordArt="0" anchor="t" anchorCtr="0" forceAA="0" compatLnSpc="1">
                          <a:prstTxWarp prst="textNoShape">
                            <a:avLst/>
                          </a:prstTxWarp>
                          <a:noAutofit/>
                        </wps:bodyPr>
                      </wps:wsp>
                    </wpg:wgp>
                  </a:graphicData>
                </a:graphic>
              </wp:anchor>
            </w:drawing>
          </mc:Choice>
          <mc:Fallback>
            <w:pict>
              <v:group id="Group 24" o:spid="_x0000_s1026" style="position:absolute;left:0;text-align:left;margin-left:43.75pt;margin-top:.2pt;width:314pt;height:27pt;z-index:251662336" coordsize="39878,3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">
                <v:group id="Group 38" o:spid="_x0000_s1027" style="position:absolute;left:8191;top:889;width:1581;height:1581" coordsize="158115,158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6SfMIAAADbAAAADwAAAGRycy9kb3ducmV2LnhtbERPTWvCQBC9F/wPywje&#10;6iZKi0TXIGKlByk0EcTbkB2TkOxsyG6T+O+7h0KPj/e9SyfTioF6V1tWEC8jEMSF1TWXCq75x+sG&#10;hPPIGlvLpOBJDtL97GWHibYjf9OQ+VKEEHYJKqi87xIpXVGRQbe0HXHgHrY36APsS6l7HEO4aeUq&#10;it6lwZpDQ4UdHSsqmuzHKDiPOB7W8Wm4NI/j856/fd0uMSm1mE+HLQhPk/8X/7k/tYJ1GBu+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j+knzCAAAA2wAAAA8A&#10;AAAAAAAAAAAAAAAAqgIAAGRycy9kb3ducmV2LnhtbFBLBQYAAAAABAAEAPoAAACZAwAAAAA=&#10;">
                  <v:line id="Straight Connector 35" o:spid="_x0000_s1028" style="position:absolute;visibility:visible;mso-wrap-style:square" from="0,79058" to="158115,79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4CYMQAAADbAAAADwAAAGRycy9kb3ducmV2LnhtbESPUWsCMRCE34X+h7AF3zRXRdHTKFIo&#10;iO1LbX/AelnvDi+ba7Lq6a9vCgUfh5n5hlmuO9eoC4VYezbwMsxAERfe1lwa+P56G8xARUG22Hgm&#10;AzeKsF499ZaYW3/lT7rspVQJwjFHA5VIm2sdi4ocxqFviZN39MGhJBlKbQNeE9w1epRlU+2w5rRQ&#10;YUuvFRWn/dkZ+Hn/2MbboRnJdHLfncJmNpdxNKb/3G0WoIQ6eYT/21trYDyBvy/pB+jV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PgJgxAAAANsAAAAPAAAAAAAAAAAA&#10;AAAAAKECAABkcnMvZG93bnJldi54bWxQSwUGAAAAAAQABAD5AAAAkgMAAAAA&#10;" strokecolor="#4579b8 [3044]"/>
                  <v:line id="Straight Connector 36" o:spid="_x0000_s1029" style="position:absolute;rotation:90;visibility:visible;mso-wrap-style:square" from="6350,79058" to="164465,79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3M9MYAAADbAAAADwAAAGRycy9kb3ducmV2LnhtbESPT2sCMRTE7wW/Q3iCl6LZtlZlNUor&#10;CvVU/HPw+Eyeu8tuXtZN1O23b4RCj8PM/IaZLVpbiRs1vnCs4GWQgCDWzhScKTjs1/0JCB+QDVaO&#10;ScEPeVjMO08zTI2785Zuu5CJCGGfooI8hDqV0uucLPqBq4mjd3aNxRBlk0nT4D3CbSVfk2QkLRYc&#10;F3KsaZmTLndXq6Ash5vDZZ+8r5+P7vuiV6dSf46V6nXbjymIQG34D/+1v4yCtxE8vsQfIO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E9zPTGAAAA2wAAAA8AAAAAAAAA&#10;AAAAAAAAoQIAAGRycy9kb3ducmV2LnhtbFBLBQYAAAAABAAEAPkAAACUAwAAAAA=&#10;" strokecolor="#4579b8 [3044]"/>
                </v:group>
                <v:group id="Group 39" o:spid="_x0000_s1030" style="position:absolute;left:18288;top:889;width:1581;height:1581" coordsize="158115,158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7I358QAAADbAAAADwAAAGRycy9kb3ducmV2LnhtbESPT4vCMBTE7wt+h/AE&#10;b2taxUWrUURc8SCCf0C8PZpnW2xeSpNt67ffLAh7HGbmN8xi1ZlSNFS7wrKCeBiBIE6tLjhTcL18&#10;f05BOI+ssbRMCl7kYLXsfSww0bblEzVnn4kAYZeggtz7KpHSpTkZdENbEQfvYWuDPsg6k7rGNsBN&#10;KUdR9CUNFhwWcqxok1P6PP8YBbsW2/U43jaH52Pzul8mx9shJqUG/W49B+Gp8//hd3uvFYx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7I358QAAADbAAAA&#10;DwAAAAAAAAAAAAAAAACqAgAAZHJzL2Rvd25yZXYueG1sUEsFBgAAAAAEAAQA+gAAAJsDAAAAAA==&#10;">
                  <v:line id="Straight Connector 40" o:spid="_x0000_s1031" style="position:absolute;visibility:visible;mso-wrap-style:square" from="0,79058" to="158115,79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0/ShcEAAADbAAAADwAAAGRycy9kb3ducmV2LnhtbERPzWoCMRC+C32HMAVvmq1/2K1RRCiI&#10;9aL2Aaab6e7iZrImU1379M2h4PHj+1+sOteoK4VYezbwMsxAERfe1lwa+Dy9D+agoiBbbDyTgTtF&#10;WC2fegvMrb/xga5HKVUK4ZijgUqkzbWORUUO49C3xIn79sGhJBhKbQPeUrhr9CjLZtphzamhwpY2&#10;FRXn448zcPnYb+P9qxnJbPq7O4f1/FXG0Zj+c7d+AyXUyUP8795aA5O0Pn1JP0A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DT9KFwQAAANsAAAAPAAAAAAAAAAAAAAAA&#10;AKECAABkcnMvZG93bnJldi54bWxQSwUGAAAAAAQABAD5AAAAjwMAAAAA&#10;" strokecolor="#4579b8 [3044]"/>
                  <v:line id="Straight Connector 41" o:spid="_x0000_s1032" style="position:absolute;rotation:90;visibility:visible;mso-wrap-style:square" from="6350,79058" to="164465,79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In/cYAAADbAAAADwAAAGRycy9kb3ducmV2LnhtbESPQWvCQBSE74L/YXlCL6VuUrQt0TXY&#10;UsGepOqhx+fuMwnJvo3ZrcZ/3xUKHoeZ+YaZ571txJk6XzlWkI4TEMTamYoLBfvd6ukNhA/IBhvH&#10;pOBKHvLFcDDHzLgLf9N5GwoRIewzVFCG0GZSel2SRT92LXH0jq6zGKLsCmk6vES4beRzkrxIixXH&#10;hRJb+ihJ19tfq6CuJ1/70y6Zrh5/3OakPw+1fn9V6mHUL2cgAvXhHv5vr42CSQq3L/EHyM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bSJ/3GAAAA2wAAAA8AAAAAAAAA&#10;AAAAAAAAoQIAAGRycy9kb3ducmV2LnhtbFBLBQYAAAAABAAEAPkAAACUAwAAAAA=&#10;" strokecolor="#4579b8 [3044]"/>
                </v:group>
                <v:group id="Group 47" o:spid="_x0000_s1033" style="position:absolute;left:30797;top:1206;width:1581;height:1041" coordsize="158115,1041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Wd1c8YAAADbAAAADwAAAGRycy9kb3ducmV2LnhtbESPW2vCQBSE3wv+h+UI&#10;faub2FYlZhURW/ogghcQ3w7Zkwtmz4bsNon/vlso9HGYmW+YdD2YWnTUusqygngSgSDOrK64UHA5&#10;f7wsQDiPrLG2TAoe5GC9Gj2lmGjb85G6ky9EgLBLUEHpfZNI6bKSDLqJbYiDl9vWoA+yLaRusQ9w&#10;U8tpFM2kwYrDQokNbUvK7qdvo+Czx37zGu+6/T3fPm7n98N1H5NSz+NhswThafD/4b/2l1bwNof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Z3VzxgAAANsA&#10;AAAPAAAAAAAAAAAAAAAAAKoCAABkcnMvZG93bnJldi54bWxQSwUGAAAAAAQABAD6AAAAnQMAAAAA&#10;">
                  <v:line id="Straight Connector 43" o:spid="_x0000_s1034" style="position:absolute;visibility:visible;mso-wrap-style:square" from="0,50800" to="158115,508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51M8sQAAADbAAAADwAAAGRycy9kb3ducmV2LnhtbESPzWoCQRCE74G8w9ABb3E2/qEbR5FA&#10;QEwuMT5Au9PuLu70bGY6uvr0mYDgsaiqr6j5snONOlGItWcDL/0MFHHhbc2lgd33+/MUVBRki41n&#10;MnChCMvF48Mcc+vP/EWnrZQqQTjmaKASaXOtY1GRw9j3LXHyDj44lCRDqW3Ac4K7Rg+ybKId1pwW&#10;KmzpraLiuP11Bn4+Ptfxsm8GMhlfN8ewms5kGI3pPXWrV1BCndzDt/baGhgN4f9L+gF68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nUzyxAAAANsAAAAPAAAAAAAAAAAA&#10;AAAAAKECAABkcnMvZG93bnJldi54bWxQSwUGAAAAAAQABAD5AAAAkgMAAAAA&#10;" strokecolor="#4579b8 [3044]"/>
                  <v:line id="Straight Connector 45" o:spid="_x0000_s1035" style="position:absolute;flip:x y;visibility:visible;mso-wrap-style:square" from="76200,0" to="158115,469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JaGsQAAADbAAAADwAAAGRycy9kb3ducmV2LnhtbESPQWvCQBSE74L/YXmCt7qpaJHoKlVU&#10;7KkYe+ntkX0mwezbuLvG2F/fLRQ8DjPzDbNYdaYWLTlfWVbwOkpAEOdWV1wo+DrtXmYgfEDWWFsm&#10;BQ/ysFr2ewtMtb3zkdosFCJC2KeooAyhSaX0eUkG/cg2xNE7W2cwROkKqR3eI9zUcpwkb9JgxXGh&#10;xIY2JeWX7GYU6O3Pvq2v+cXIj8d6+zmZolt/KzUcdO9zEIG68Az/tw9awWQKf1/iD5D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34loaxAAAANsAAAAPAAAAAAAAAAAA&#10;AAAAAKECAABkcnMvZG93bnJldi54bWxQSwUGAAAAAAQABAD5AAAAkgMAAAAA&#10;" strokecolor="#4579b8 [3044]"/>
                  <v:line id="Straight Connector 46" o:spid="_x0000_s1036" style="position:absolute;rotation:180;flip:x;visibility:visible;mso-wrap-style:square" from="76200,57150" to="158115,1041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Txj8QAAADbAAAADwAAAGRycy9kb3ducmV2LnhtbESPT2vCQBTE7wW/w/KE3ppNQ0hKdJUq&#10;FFrpxfTP+ZF9JsHs25BdTfTTuwWhx2FmfsMs15PpxJkG11pW8BzFIIgrq1uuFXx/vT29gHAeWWNn&#10;mRRcyMF6NXtYYqHtyHs6l74WAcKuQAWN930hpasaMugi2xMH72AHgz7IoZZ6wDHATSeTOM6kwZbD&#10;QoM9bRuqjuXJKIivnatOycduk+dtmaQ/7pcPn0o9zqfXBQhPk/8P39vvWkGawd+X8APk6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1PGPxAAAANsAAAAPAAAAAAAAAAAA&#10;AAAAAKECAABkcnMvZG93bnJldi54bWxQSwUGAAAAAAQABAD5AAAAkgMAAAAA&#10;" strokecolor="#4579b8 [3044]"/>
                </v:group>
                <v:shapetype id="_x0000_t202" coordsize="21600,21600" o:spt="202" path="m,l,21600r21600,l21600,xe">
                  <v:stroke joinstyle="miter"/>
                  <v:path gradientshapeok="t" o:connecttype="rect"/>
                </v:shapetype>
                <v:shape id="Text Box 1" o:spid="_x0000_s1037" type="#_x0000_t202" style="position:absolute;width:7810;height:3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YxY8UA&#10;AADbAAAADwAAAGRycy9kb3ducmV2LnhtbESPQWvCQBSE74X+h+UJvTUbhUqNriKFlLb2UqMHb8/s&#10;Mwlm34bdVaO/3i0Uehxm5htmtuhNK87kfGNZwTBJQRCXVjdcKdgU+fMrCB+QNbaWScGVPCzmjw8z&#10;zLS98A+d16ESEcI+QwV1CF0mpS9rMugT2xFH72CdwRClq6R2eIlw08pRmo6lwYbjQo0dvdVUHtcn&#10;oyD/uvF7MS6/t/1pstsWtHf550qpp0G/nIII1If/8F/7QysYvcDvl/gD5P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NjFjxQAAANsAAAAPAAAAAAAAAAAAAAAAAJgCAABkcnMv&#10;ZG93bnJldi54bWxQSwUGAAAAAAQABAD1AAAAigMAAAAA&#10;" fillcolor="white [3201]" strokeweight=".5pt">
                  <v:textbox inset="2mm,1mm,2mm,1mm">
                    <w:txbxContent>
                      <w:p w:rsidR="00496AF7" w:rsidRDefault="00764566">
                        <w:pPr>
                          <w:rPr>
                            <w:sz w:val="18"/>
                            <w:szCs w:val="18"/>
                          </w:rPr>
                        </w:pPr>
                        <w:r>
                          <w:rPr>
                            <w:sz w:val="18"/>
                            <w:szCs w:val="18"/>
                          </w:rPr>
                          <w:t>By-laws as published</w:t>
                        </w:r>
                      </w:p>
                    </w:txbxContent>
                  </v:textbox>
                </v:shape>
                <v:shape id="Text Box 32" o:spid="_x0000_s1038" type="#_x0000_t202" style="position:absolute;left:10096;width:7811;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Y/ysUA&#10;AADbAAAADwAAAGRycy9kb3ducmV2LnhtbESPQWvCQBSE74X+h+UJvTUbLUiNriKFlLb2UqMHb8/s&#10;Mwlm34bdVaO/3i0Uehxm5htmtuhNK87kfGNZwTBJQRCXVjdcKdgU+fMrCB+QNbaWScGVPCzmjw8z&#10;zLS98A+d16ESEcI+QwV1CF0mpS9rMugT2xFH72CdwRClq6R2eIlw08pRmo6lwYbjQo0dvdVUHtcn&#10;oyD/uvF7MS6/t/1pstsWtHf550qpp0G/nIII1If/8F/7Qyt4GcHvl/gD5P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Bj/KxQAAANsAAAAPAAAAAAAAAAAAAAAAAJgCAABkcnMv&#10;ZG93bnJldi54bWxQSwUGAAAAAAQABAD1AAAAigMAAAAA&#10;" fillcolor="white [3201]" strokeweight=".5pt">
                  <v:textbox inset="2mm,1mm,2mm,1mm">
                    <w:txbxContent>
                      <w:p w:rsidR="00496AF7" w:rsidRDefault="00764566">
                        <w:pPr>
                          <w:rPr>
                            <w:sz w:val="18"/>
                            <w:szCs w:val="18"/>
                          </w:rPr>
                        </w:pPr>
                        <w:r>
                          <w:rPr>
                            <w:sz w:val="18"/>
                            <w:szCs w:val="18"/>
                          </w:rPr>
                          <w:t>legislative amendments</w:t>
                        </w:r>
                      </w:p>
                    </w:txbxContent>
                  </v:textbox>
                </v:shape>
                <v:shape id="Text Box 33" o:spid="_x0000_s1039" type="#_x0000_t202" style="position:absolute;left:20193;width:10096;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qaUcUA&#10;AADbAAAADwAAAGRycy9kb3ducmV2LnhtbESPQWvCQBSE74L/YXkFb7qpgtjUVYoQUetFUw+9vWZf&#10;k9Ds27C7atpf3xUEj8PMfMPMl51pxIWcry0reB4lIIgLq2suFXzk2XAGwgdkjY1lUvBLHpaLfm+O&#10;qbZXPtDlGEoRIexTVFCF0KZS+qIig35kW+LofVtnMETpSqkdXiPcNHKcJFNpsOa4UGFLq4qKn+PZ&#10;KMh2f7zOp8X+1J1fPk85fbls+67U4Kl7ewURqAuP8L290QomE7h9iT9AL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SppRxQAAANsAAAAPAAAAAAAAAAAAAAAAAJgCAABkcnMv&#10;ZG93bnJldi54bWxQSwUGAAAAAAQABAD1AAAAigMAAAAA&#10;" fillcolor="white [3201]" strokeweight=".5pt">
                  <v:textbox inset="2mm,1mm,2mm,1mm">
                    <w:txbxContent>
                      <w:p w:rsidR="00496AF7" w:rsidRDefault="00764566">
                        <w:pPr>
                          <w:rPr>
                            <w:i/>
                            <w:sz w:val="18"/>
                            <w:szCs w:val="18"/>
                          </w:rPr>
                        </w:pPr>
                        <w:r>
                          <w:rPr>
                            <w:sz w:val="18"/>
                            <w:szCs w:val="18"/>
                          </w:rPr>
                          <w:t>changes under the</w:t>
                        </w:r>
                        <w:r>
                          <w:rPr>
                            <w:sz w:val="18"/>
                            <w:szCs w:val="18"/>
                          </w:rPr>
                          <w:br/>
                        </w:r>
                        <w:r>
                          <w:rPr>
                            <w:i/>
                            <w:sz w:val="18"/>
                            <w:szCs w:val="18"/>
                          </w:rPr>
                          <w:t>Reprints Act 1984</w:t>
                        </w:r>
                      </w:p>
                    </w:txbxContent>
                  </v:textbox>
                </v:shape>
                <v:shape id="Text Box 34" o:spid="_x0000_s1040" type="#_x0000_t202" style="position:absolute;left:32956;width:6922;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MCJcUA&#10;AADbAAAADwAAAGRycy9kb3ducmV2LnhtbESPQWvCQBSE70L/w/IK3nRTLdJGVylCxNZeavTg7Zl9&#10;TUKzb8Puqml/fVcQPA4z8w0zW3SmEWdyvras4GmYgCAurK65VLDLs8ELCB+QNTaWScEveVjMH3oz&#10;TLW98Bedt6EUEcI+RQVVCG0qpS8qMuiHtiWO3rd1BkOUrpTa4SXCTSNHSTKRBmuOCxW2tKyo+Nme&#10;jILs449X+aT43Hen18M+p6PL3jdK9R+7tymIQF24h2/ttVYwfobrl/gD5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owIlxQAAANsAAAAPAAAAAAAAAAAAAAAAAJgCAABkcnMv&#10;ZG93bnJldi54bWxQSwUGAAAAAAQABAD1AAAAigMAAAAA&#10;" fillcolor="white [3201]" strokeweight=".5pt">
                  <v:textbox inset="2mm,1mm,2mm,1mm">
                    <w:txbxContent>
                      <w:p w:rsidR="00496AF7" w:rsidRDefault="00764566">
                        <w:pPr>
                          <w:rPr>
                            <w:sz w:val="18"/>
                            <w:szCs w:val="18"/>
                          </w:rPr>
                        </w:pPr>
                        <w:r>
                          <w:rPr>
                            <w:sz w:val="18"/>
                            <w:szCs w:val="18"/>
                          </w:rPr>
                          <w:t>this reprint</w:t>
                        </w:r>
                      </w:p>
                    </w:txbxContent>
                  </v:textbox>
                </v:shape>
              </v:group>
            </w:pict>
          </mc:Fallback>
        </mc:AlternateContent>
      </w:r>
    </w:p>
    <w:p>
      <w:pPr>
        <w:tabs>
          <w:tab w:val="left" w:pos="567"/>
          <w:tab w:val="left" w:pos="851"/>
        </w:tabs>
        <w:spacing w:before="440"/>
        <w:ind w:left="851" w:hanging="851"/>
        <w:rPr>
          <w:b/>
          <w:i/>
          <w:sz w:val="20"/>
        </w:rPr>
      </w:pPr>
      <w:r>
        <w:rPr>
          <w:b/>
          <w:i/>
          <w:sz w:val="20"/>
        </w:rPr>
        <w:tab/>
      </w:r>
      <w:r>
        <w:rPr>
          <w:b/>
          <w:i/>
          <w:sz w:val="20"/>
        </w:rPr>
        <w:tab/>
        <w:t>Endnotes, Compilation table, and Table of provisions that have not come into operation</w:t>
      </w:r>
    </w:p>
    <w:p>
      <w:pPr>
        <w:tabs>
          <w:tab w:val="left" w:pos="567"/>
          <w:tab w:val="left" w:pos="851"/>
        </w:tabs>
        <w:ind w:left="851" w:hanging="851"/>
        <w:rPr>
          <w:sz w:val="20"/>
        </w:rPr>
      </w:pPr>
      <w:r>
        <w:rPr>
          <w:sz w:val="20"/>
        </w:rPr>
        <w:tab/>
        <w:t>1.</w:t>
      </w:r>
      <w:r>
        <w:rPr>
          <w:sz w:val="20"/>
        </w:rPr>
        <w:tab/>
        <w:t>Details about the original by-laws and legislation that has amended its text are shown in the Compilation table in endnote 1, at the back of the reprint.  The table also shows any previous reprint.</w:t>
      </w:r>
    </w:p>
    <w:p>
      <w:pPr>
        <w:tabs>
          <w:tab w:val="left" w:pos="567"/>
          <w:tab w:val="left" w:pos="851"/>
        </w:tabs>
        <w:spacing w:before="60"/>
        <w:ind w:left="851" w:hanging="851"/>
        <w:rPr>
          <w:sz w:val="20"/>
        </w:rPr>
      </w:pPr>
      <w:r>
        <w:rPr>
          <w:sz w:val="20"/>
        </w:rPr>
        <w:tab/>
        <w:t>2.</w:t>
      </w:r>
      <w:r>
        <w:rPr>
          <w:sz w:val="20"/>
        </w:rPr>
        <w:tab/>
        <w:t>Transitional, savings, modifying or other provisions identified in the Compilation table may be important.  The table may refer to another endnote setting out the text of these provisions in full.</w:t>
      </w:r>
    </w:p>
    <w:p>
      <w:pPr>
        <w:tabs>
          <w:tab w:val="left" w:pos="567"/>
          <w:tab w:val="left" w:pos="851"/>
        </w:tabs>
        <w:spacing w:before="60"/>
        <w:ind w:left="851" w:hanging="851"/>
        <w:rPr>
          <w:sz w:val="20"/>
        </w:rPr>
      </w:pPr>
      <w:r>
        <w:rPr>
          <w:sz w:val="20"/>
        </w:rPr>
        <w:tab/>
        <w:t>3.</w:t>
      </w:r>
      <w:r>
        <w:rPr>
          <w:sz w:val="20"/>
        </w:rPr>
        <w:tab/>
        <w:t>A table of provisions that have not come into operation, to be found in endnote 1a if it is needed, lists any provisions of the by-laws being reprinted that have not come into operation and any amendments that have not come into operation.  The full text is set out in another endnote that is referred to in the table.</w:t>
      </w:r>
    </w:p>
    <w:p>
      <w:pPr>
        <w:tabs>
          <w:tab w:val="left" w:pos="567"/>
          <w:tab w:val="left" w:pos="851"/>
        </w:tabs>
        <w:spacing w:before="120"/>
        <w:ind w:left="851" w:hanging="851"/>
        <w:rPr>
          <w:b/>
          <w:i/>
          <w:sz w:val="20"/>
        </w:rPr>
      </w:pPr>
      <w:r>
        <w:rPr>
          <w:b/>
          <w:sz w:val="20"/>
        </w:rPr>
        <w:tab/>
      </w:r>
      <w:r>
        <w:rPr>
          <w:b/>
          <w:sz w:val="20"/>
        </w:rPr>
        <w:tab/>
      </w:r>
      <w:r>
        <w:rPr>
          <w:b/>
          <w:i/>
          <w:sz w:val="20"/>
        </w:rPr>
        <w:t>Notes amongst text (italicised and within square brackets)</w:t>
      </w:r>
    </w:p>
    <w:p>
      <w:pPr>
        <w:tabs>
          <w:tab w:val="left" w:pos="567"/>
          <w:tab w:val="left" w:pos="851"/>
        </w:tabs>
        <w:ind w:left="851" w:hanging="851"/>
        <w:rPr>
          <w:sz w:val="20"/>
        </w:rPr>
      </w:pPr>
      <w:r>
        <w:rPr>
          <w:sz w:val="20"/>
        </w:rPr>
        <w:tab/>
        <w:t>1.</w:t>
      </w:r>
      <w:r>
        <w:rPr>
          <w:sz w:val="20"/>
        </w:rPr>
        <w:tab/>
        <w:t>If the reprint includes a by-law that was inserted, or has been amended, since the by-laws being reprinted were made, editorial notes at the foot of the by</w:t>
      </w:r>
      <w:r>
        <w:rPr>
          <w:sz w:val="20"/>
        </w:rPr>
        <w:noBreakHyphen/>
        <w:t>law give some history of how the by</w:t>
      </w:r>
      <w:r>
        <w:rPr>
          <w:sz w:val="20"/>
        </w:rPr>
        <w:noBreakHyphen/>
        <w:t>law came to be as it is.  If the by-law replaced an earlier by-law, no history of the earlier by-law is given (the full history of the by-laws is in the Compilation table).</w:t>
      </w:r>
    </w:p>
    <w:p>
      <w:pPr>
        <w:tabs>
          <w:tab w:val="left" w:pos="567"/>
          <w:tab w:val="left" w:pos="851"/>
        </w:tabs>
        <w:spacing w:before="60"/>
        <w:ind w:left="851" w:hanging="851"/>
        <w:rPr>
          <w:sz w:val="20"/>
        </w:rPr>
      </w:pPr>
      <w:r>
        <w:rPr>
          <w:sz w:val="20"/>
        </w:rPr>
        <w:tab/>
      </w:r>
      <w:r>
        <w:rPr>
          <w:sz w:val="20"/>
        </w:rPr>
        <w:tab/>
        <w:t>Notes of this kind may also be at the foot of Schedules or headings.</w:t>
      </w:r>
    </w:p>
    <w:p>
      <w:pPr>
        <w:tabs>
          <w:tab w:val="left" w:pos="567"/>
          <w:tab w:val="left" w:pos="851"/>
        </w:tabs>
        <w:spacing w:before="60"/>
        <w:ind w:left="851" w:hanging="851"/>
        <w:rPr>
          <w:sz w:val="20"/>
        </w:rPr>
      </w:pPr>
      <w:r>
        <w:rPr>
          <w:sz w:val="20"/>
        </w:rPr>
        <w:tab/>
        <w:t>2.</w:t>
      </w:r>
      <w:r>
        <w:rPr>
          <w:sz w:val="20"/>
        </w:rPr>
        <w:tab/>
        <w:t xml:space="preserve">The other kind of editorial note shows something has been — </w:t>
      </w:r>
    </w:p>
    <w:p>
      <w:pPr>
        <w:numPr>
          <w:ilvl w:val="0"/>
          <w:numId w:val="13"/>
        </w:numPr>
        <w:tabs>
          <w:tab w:val="num" w:pos="1197"/>
        </w:tabs>
        <w:ind w:left="1208" w:hanging="357"/>
        <w:rPr>
          <w:sz w:val="20"/>
        </w:rPr>
      </w:pPr>
      <w:r>
        <w:rPr>
          <w:sz w:val="20"/>
        </w:rPr>
        <w:t>removed (because it was repealed or deleted from the law); or</w:t>
      </w:r>
    </w:p>
    <w:p>
      <w:pPr>
        <w:numPr>
          <w:ilvl w:val="0"/>
          <w:numId w:val="13"/>
        </w:numPr>
        <w:tabs>
          <w:tab w:val="num" w:pos="1197"/>
        </w:tabs>
        <w:ind w:left="1208" w:hanging="357"/>
        <w:rPr>
          <w:sz w:val="20"/>
        </w:rPr>
      </w:pPr>
      <w:r>
        <w:rPr>
          <w:sz w:val="20"/>
        </w:rPr>
        <w:t xml:space="preserve">omitted under the </w:t>
      </w:r>
      <w:r>
        <w:rPr>
          <w:i/>
          <w:sz w:val="20"/>
        </w:rPr>
        <w:t>Reprints Act 1984</w:t>
      </w:r>
      <w:r>
        <w:rPr>
          <w:sz w:val="20"/>
        </w:rPr>
        <w:t xml:space="preserve"> s. 7(4) (because, although still technically part of the text, it no longer has any effect).</w:t>
      </w:r>
    </w:p>
    <w:p>
      <w:pPr>
        <w:spacing w:before="60"/>
        <w:ind w:left="851"/>
        <w:rPr>
          <w:sz w:val="20"/>
        </w:rPr>
      </w:pPr>
      <w:r>
        <w:rPr>
          <w:sz w:val="20"/>
        </w:rPr>
        <w:t>The text of anything removed or omitted can be found in an earlier reprint (if there is one) or one of the written laws identified in the Compilation table.</w:t>
      </w:r>
    </w:p>
    <w:p>
      <w:pPr>
        <w:tabs>
          <w:tab w:val="left" w:pos="567"/>
          <w:tab w:val="left" w:pos="851"/>
        </w:tabs>
        <w:spacing w:before="120"/>
        <w:ind w:left="851" w:hanging="851"/>
        <w:rPr>
          <w:b/>
          <w:i/>
          <w:sz w:val="20"/>
        </w:rPr>
      </w:pPr>
      <w:r>
        <w:rPr>
          <w:b/>
          <w:i/>
          <w:sz w:val="20"/>
        </w:rPr>
        <w:tab/>
      </w:r>
      <w:r>
        <w:rPr>
          <w:b/>
          <w:i/>
          <w:sz w:val="20"/>
        </w:rPr>
        <w:tab/>
        <w:t>Reprint numbering and date</w:t>
      </w:r>
    </w:p>
    <w:p>
      <w:pPr>
        <w:tabs>
          <w:tab w:val="left" w:pos="567"/>
          <w:tab w:val="left" w:pos="851"/>
        </w:tabs>
        <w:ind w:left="851" w:hanging="851"/>
        <w:rPr>
          <w:spacing w:val="-3"/>
          <w:sz w:val="20"/>
        </w:rPr>
      </w:pPr>
      <w:r>
        <w:rPr>
          <w:spacing w:val="-3"/>
          <w:sz w:val="20"/>
        </w:rPr>
        <w:tab/>
        <w:t>1.</w:t>
      </w:r>
      <w:r>
        <w:rPr>
          <w:spacing w:val="-3"/>
          <w:sz w:val="20"/>
        </w:rPr>
        <w:tab/>
        <w:t xml:space="preserve">The reprint number (in the footer of each page of the document) shows how many times the </w:t>
      </w:r>
      <w:r>
        <w:rPr>
          <w:sz w:val="20"/>
        </w:rPr>
        <w:t>by-laws</w:t>
      </w:r>
      <w:r>
        <w:rPr>
          <w:spacing w:val="-3"/>
          <w:sz w:val="20"/>
        </w:rPr>
        <w:t xml:space="preserve"> have been reprinted.  For example, numbering a reprint as “Reprint 3” would mean that the reprint was the 3</w:t>
      </w:r>
      <w:r>
        <w:rPr>
          <w:spacing w:val="-3"/>
          <w:sz w:val="20"/>
          <w:vertAlign w:val="superscript"/>
        </w:rPr>
        <w:t>rd</w:t>
      </w:r>
      <w:r>
        <w:rPr>
          <w:spacing w:val="-3"/>
          <w:sz w:val="20"/>
        </w:rPr>
        <w:t xml:space="preserve"> reprint since the </w:t>
      </w:r>
      <w:r>
        <w:rPr>
          <w:sz w:val="20"/>
        </w:rPr>
        <w:t>by-laws</w:t>
      </w:r>
      <w:r>
        <w:rPr>
          <w:spacing w:val="-3"/>
          <w:sz w:val="20"/>
        </w:rPr>
        <w:t xml:space="preserve"> were published.  Reprint numbering was implemented as from 1 January 2003.</w:t>
      </w:r>
    </w:p>
    <w:p>
      <w:pPr>
        <w:tabs>
          <w:tab w:val="left" w:pos="567"/>
        </w:tabs>
        <w:spacing w:before="60"/>
        <w:ind w:left="851" w:hanging="851"/>
        <w:rPr>
          <w:spacing w:val="-3"/>
          <w:sz w:val="20"/>
        </w:rPr>
      </w:pPr>
      <w:r>
        <w:rPr>
          <w:spacing w:val="-3"/>
          <w:sz w:val="20"/>
        </w:rPr>
        <w:tab/>
        <w:t>2.</w:t>
      </w:r>
      <w:r>
        <w:rPr>
          <w:spacing w:val="-3"/>
          <w:sz w:val="20"/>
        </w:rPr>
        <w:tab/>
        <w:t xml:space="preserve">The information in the reprint is current on the date shown as the date as at which the </w:t>
      </w:r>
      <w:r>
        <w:rPr>
          <w:sz w:val="20"/>
        </w:rPr>
        <w:t>by-laws</w:t>
      </w:r>
      <w:r>
        <w:rPr>
          <w:spacing w:val="-3"/>
          <w:sz w:val="20"/>
        </w:rPr>
        <w:t xml:space="preserve"> are reprinted.  That date is not the date when the reprint was published by the State Law Publisher and it is probably not the date when the most recent amendment had effect.</w:t>
      </w:r>
    </w:p>
    <w:p>
      <w:pPr>
        <w:jc w:val="center"/>
        <w:sectPr>
          <w:headerReference w:type="even" r:id="rId10"/>
          <w:headerReference w:type="default" r:id="rId11"/>
          <w:footerReference w:type="even" r:id="rId12"/>
          <w:footerReference w:type="default" r:id="rId13"/>
          <w:headerReference w:type="first" r:id="rId14"/>
          <w:footerReference w:type="first" r:id="rId15"/>
          <w:pgSz w:w="11907" w:h="16840" w:code="9"/>
          <w:pgMar w:top="2376" w:right="2405" w:bottom="3542" w:left="2405" w:header="706" w:footer="3542" w:gutter="0"/>
          <w:pgNumType w:fmt="lowerRoman" w:start="1"/>
          <w:cols w:space="720"/>
          <w:noEndnote/>
          <w:titlePg/>
          <w:docGrid w:linePitch="326"/>
        </w:sectPr>
      </w:pPr>
    </w:p>
    <w:tbl>
      <w:tblPr>
        <w:tblW w:w="0" w:type="auto"/>
        <w:tblLayout w:type="fixed"/>
        <w:tblLook w:val="0000" w:firstRow="0" w:lastRow="0" w:firstColumn="0" w:lastColumn="0" w:noHBand="0" w:noVBand="0"/>
      </w:tblPr>
      <w:tblGrid>
        <w:gridCol w:w="2434"/>
        <w:gridCol w:w="2434"/>
        <w:gridCol w:w="2434"/>
      </w:tblGrid>
      <w:tr>
        <w:trPr>
          <w:cantSplit/>
        </w:trPr>
        <w:tc>
          <w:tcPr>
            <w:tcW w:w="2434" w:type="dxa"/>
            <w:vMerge w:val="restart"/>
          </w:tcPr>
          <w:p/>
        </w:tc>
        <w:tc>
          <w:tcPr>
            <w:tcW w:w="2434" w:type="dxa"/>
            <w:vMerge w:val="restart"/>
          </w:tcPr>
          <w:p>
            <w:pPr>
              <w:jc w:val="center"/>
            </w:pPr>
          </w:p>
        </w:tc>
        <w:tc>
          <w:tcPr>
            <w:tcW w:w="2434" w:type="dxa"/>
          </w:tcPr>
          <w:p>
            <w:r>
              <w:rPr>
                <w:b/>
                <w:sz w:val="22"/>
              </w:rPr>
              <w:t xml:space="preserve">Reprinted under the </w:t>
            </w:r>
            <w:r>
              <w:rPr>
                <w:b/>
                <w:i/>
                <w:sz w:val="22"/>
              </w:rPr>
              <w:t>Reprints Act 1984</w:t>
            </w:r>
            <w:r>
              <w:rPr>
                <w:b/>
                <w:sz w:val="22"/>
              </w:rPr>
              <w:t xml:space="preserve"> as </w:t>
            </w:r>
          </w:p>
        </w:tc>
      </w:tr>
      <w:tr>
        <w:trPr>
          <w:cantSplit/>
        </w:trPr>
        <w:tc>
          <w:tcPr>
            <w:tcW w:w="2434" w:type="dxa"/>
            <w:vMerge/>
          </w:tcPr>
          <w:p/>
        </w:tc>
        <w:tc>
          <w:tcPr>
            <w:tcW w:w="2434" w:type="dxa"/>
            <w:vMerge/>
          </w:tcPr>
          <w:p>
            <w:pPr>
              <w:jc w:val="center"/>
            </w:pPr>
          </w:p>
        </w:tc>
        <w:tc>
          <w:tcPr>
            <w:tcW w:w="2434" w:type="dxa"/>
          </w:tcPr>
          <w:p>
            <w:pPr>
              <w:keepNext/>
              <w:rPr>
                <w:b/>
                <w:sz w:val="22"/>
              </w:rPr>
            </w:pPr>
            <w:r>
              <w:rPr>
                <w:b/>
                <w:sz w:val="22"/>
              </w:rPr>
              <w:t xml:space="preserve">at </w:t>
            </w:r>
            <w:r>
              <w:rPr>
                <w:b/>
                <w:sz w:val="22"/>
              </w:rPr>
              <w:fldChar w:fldCharType="begin"/>
            </w:r>
            <w:r>
              <w:rPr>
                <w:b/>
                <w:sz w:val="22"/>
              </w:rPr>
              <w:instrText xml:space="preserve"> DOCPROPERTY "ReprintedAsAt"  \@ "d MMMM yyyy" </w:instrText>
            </w:r>
            <w:r>
              <w:rPr>
                <w:b/>
                <w:sz w:val="22"/>
              </w:rPr>
              <w:fldChar w:fldCharType="separate"/>
            </w:r>
            <w:r>
              <w:rPr>
                <w:b/>
                <w:sz w:val="22"/>
              </w:rPr>
              <w:t>19 May 2017</w:t>
            </w:r>
            <w:r>
              <w:rPr>
                <w:b/>
                <w:sz w:val="22"/>
              </w:rPr>
              <w:fldChar w:fldCharType="end"/>
            </w:r>
          </w:p>
        </w:tc>
      </w:tr>
    </w:tbl>
    <w:p>
      <w:pPr>
        <w:pStyle w:val="WA"/>
        <w:spacing w:before="12"/>
      </w:pPr>
      <w:r>
        <w:t>Western Australia</w:t>
      </w:r>
    </w:p>
    <w:p>
      <w:pPr>
        <w:pStyle w:val="NameofActRegPage1"/>
      </w:pPr>
      <w:r>
        <w:fldChar w:fldCharType="begin"/>
      </w:r>
      <w:r>
        <w:instrText xml:space="preserve"> STYLEREF "Name Of Act/Reg"</w:instrText>
      </w:r>
      <w:r>
        <w:fldChar w:fldCharType="separate"/>
      </w:r>
      <w:r>
        <w:rPr>
          <w:noProof/>
        </w:rPr>
        <w:t>Country Areas Water Supply By-laws 1957</w:t>
      </w:r>
      <w:r>
        <w:fldChar w:fldCharType="end"/>
      </w:r>
    </w:p>
    <w:p>
      <w:pPr>
        <w:pStyle w:val="Arrangement"/>
      </w:pPr>
      <w:r>
        <w:t>Contents</w:t>
      </w:r>
    </w:p>
    <w:p>
      <w:pPr>
        <w:pStyle w:val="TOC4"/>
        <w:tabs>
          <w:tab w:val="right" w:leader="dot" w:pos="7077"/>
        </w:tabs>
        <w:rPr>
          <w:rFonts w:asciiTheme="minorHAnsi" w:eastAsiaTheme="minorEastAsia" w:hAnsiTheme="minorHAnsi" w:cstheme="minorBidi"/>
          <w:b w:val="0"/>
          <w:szCs w:val="22"/>
        </w:rPr>
      </w:pPr>
      <w:r>
        <w:fldChar w:fldCharType="begin"/>
      </w:r>
      <w:r>
        <w:instrText xml:space="preserve"> TOC \t "Heading 2,2,yScheduleHeading,2,yHeading 2,2,zHeading 2,3,zyScheduleHeading,3,zyHeading 2,3,Heading 3,4,yHeading 3,4,zHeading 3,5,zyHeading 3,5,Heading 4,6,yHeading 4,6,zHeading 4,7,zyHeading 4,7,Heading 5,8,yHeading 5,8,zHeading 5,9,zyHeading 5,9" \t "nHeading 2,2,nHeading 3,8" \n "2-7" \w \* MERGEFORMAT </w:instrText>
      </w:r>
      <w:r>
        <w:fldChar w:fldCharType="separate"/>
      </w:r>
      <w:r>
        <w:t>Division 1 — Preliminary</w:t>
      </w:r>
    </w:p>
    <w:p>
      <w:pPr>
        <w:pStyle w:val="TOC8"/>
        <w:rPr>
          <w:rFonts w:asciiTheme="minorHAnsi" w:eastAsiaTheme="minorEastAsia" w:hAnsiTheme="minorHAnsi" w:cstheme="minorBidi"/>
          <w:szCs w:val="22"/>
        </w:rPr>
      </w:pPr>
      <w:r>
        <w:t>1</w:t>
      </w:r>
      <w:r>
        <w:rPr>
          <w:snapToGrid w:val="0"/>
        </w:rPr>
        <w:t>.</w:t>
      </w:r>
      <w:r>
        <w:rPr>
          <w:snapToGrid w:val="0"/>
        </w:rPr>
        <w:tab/>
        <w:t>Citation, commencement and application</w:t>
      </w:r>
      <w:r>
        <w:tab/>
      </w:r>
      <w:r>
        <w:fldChar w:fldCharType="begin"/>
      </w:r>
      <w:r>
        <w:instrText xml:space="preserve"> PAGEREF _Toc483476819 \h </w:instrText>
      </w:r>
      <w:r>
        <w:fldChar w:fldCharType="separate"/>
      </w:r>
      <w:r>
        <w:t>1</w:t>
      </w:r>
      <w:r>
        <w:fldChar w:fldCharType="end"/>
      </w:r>
    </w:p>
    <w:p>
      <w:pPr>
        <w:pStyle w:val="TOC8"/>
        <w:rPr>
          <w:rFonts w:asciiTheme="minorHAnsi" w:eastAsiaTheme="minorEastAsia" w:hAnsiTheme="minorHAnsi" w:cstheme="minorBidi"/>
          <w:szCs w:val="22"/>
        </w:rPr>
      </w:pPr>
      <w:r>
        <w:t>1A</w:t>
      </w:r>
      <w:r>
        <w:rPr>
          <w:snapToGrid w:val="0"/>
        </w:rPr>
        <w:t>.</w:t>
      </w:r>
      <w:r>
        <w:rPr>
          <w:snapToGrid w:val="0"/>
        </w:rPr>
        <w:tab/>
        <w:t>Terms used</w:t>
      </w:r>
      <w:r>
        <w:tab/>
      </w:r>
      <w:r>
        <w:fldChar w:fldCharType="begin"/>
      </w:r>
      <w:r>
        <w:instrText xml:space="preserve"> PAGEREF _Toc483476820 \h </w:instrText>
      </w:r>
      <w:r>
        <w:fldChar w:fldCharType="separate"/>
      </w:r>
      <w:r>
        <w:t>2</w:t>
      </w:r>
      <w:r>
        <w:fldChar w:fldCharType="end"/>
      </w:r>
    </w:p>
    <w:p>
      <w:pPr>
        <w:pStyle w:val="TOC4"/>
        <w:tabs>
          <w:tab w:val="right" w:leader="dot" w:pos="7077"/>
        </w:tabs>
        <w:rPr>
          <w:rFonts w:asciiTheme="minorHAnsi" w:eastAsiaTheme="minorEastAsia" w:hAnsiTheme="minorHAnsi" w:cstheme="minorBidi"/>
          <w:b w:val="0"/>
          <w:szCs w:val="22"/>
        </w:rPr>
      </w:pPr>
      <w:r>
        <w:t>Division 2 — Prevention of pollution in water reserves and catchment areas</w:t>
      </w:r>
    </w:p>
    <w:p>
      <w:pPr>
        <w:pStyle w:val="TOC8"/>
        <w:rPr>
          <w:rFonts w:asciiTheme="minorHAnsi" w:eastAsiaTheme="minorEastAsia" w:hAnsiTheme="minorHAnsi" w:cstheme="minorBidi"/>
          <w:szCs w:val="22"/>
        </w:rPr>
      </w:pPr>
      <w:r>
        <w:t>2</w:t>
      </w:r>
      <w:r>
        <w:rPr>
          <w:snapToGrid w:val="0"/>
        </w:rPr>
        <w:t>.</w:t>
      </w:r>
      <w:r>
        <w:rPr>
          <w:snapToGrid w:val="0"/>
        </w:rPr>
        <w:tab/>
        <w:t>Application of Division</w:t>
      </w:r>
      <w:r>
        <w:tab/>
      </w:r>
      <w:r>
        <w:fldChar w:fldCharType="begin"/>
      </w:r>
      <w:r>
        <w:instrText xml:space="preserve"> PAGEREF _Toc483476822 \h </w:instrText>
      </w:r>
      <w:r>
        <w:fldChar w:fldCharType="separate"/>
      </w:r>
      <w:r>
        <w:t>3</w:t>
      </w:r>
      <w:r>
        <w:fldChar w:fldCharType="end"/>
      </w:r>
    </w:p>
    <w:p>
      <w:pPr>
        <w:pStyle w:val="TOC8"/>
        <w:rPr>
          <w:rFonts w:asciiTheme="minorHAnsi" w:eastAsiaTheme="minorEastAsia" w:hAnsiTheme="minorHAnsi" w:cstheme="minorBidi"/>
          <w:szCs w:val="22"/>
        </w:rPr>
      </w:pPr>
      <w:r>
        <w:t>3</w:t>
      </w:r>
      <w:r>
        <w:rPr>
          <w:snapToGrid w:val="0"/>
        </w:rPr>
        <w:t>.</w:t>
      </w:r>
      <w:r>
        <w:rPr>
          <w:snapToGrid w:val="0"/>
        </w:rPr>
        <w:tab/>
        <w:t>Cesspools to be filled in on notice from CEO</w:t>
      </w:r>
      <w:r>
        <w:tab/>
      </w:r>
      <w:r>
        <w:fldChar w:fldCharType="begin"/>
      </w:r>
      <w:r>
        <w:instrText xml:space="preserve"> PAGEREF _Toc483476823 \h </w:instrText>
      </w:r>
      <w:r>
        <w:fldChar w:fldCharType="separate"/>
      </w:r>
      <w:r>
        <w:t>4</w:t>
      </w:r>
      <w:r>
        <w:fldChar w:fldCharType="end"/>
      </w:r>
    </w:p>
    <w:p>
      <w:pPr>
        <w:pStyle w:val="TOC8"/>
        <w:rPr>
          <w:rFonts w:asciiTheme="minorHAnsi" w:eastAsiaTheme="minorEastAsia" w:hAnsiTheme="minorHAnsi" w:cstheme="minorBidi"/>
          <w:szCs w:val="22"/>
        </w:rPr>
      </w:pPr>
      <w:r>
        <w:t>4</w:t>
      </w:r>
      <w:r>
        <w:rPr>
          <w:snapToGrid w:val="0"/>
        </w:rPr>
        <w:t>.</w:t>
      </w:r>
      <w:r>
        <w:rPr>
          <w:snapToGrid w:val="0"/>
        </w:rPr>
        <w:tab/>
        <w:t>Closets, situation of, removal</w:t>
      </w:r>
      <w:r>
        <w:tab/>
      </w:r>
      <w:r>
        <w:fldChar w:fldCharType="begin"/>
      </w:r>
      <w:r>
        <w:instrText xml:space="preserve"> PAGEREF _Toc483476824 \h </w:instrText>
      </w:r>
      <w:r>
        <w:fldChar w:fldCharType="separate"/>
      </w:r>
      <w:r>
        <w:t>4</w:t>
      </w:r>
      <w:r>
        <w:fldChar w:fldCharType="end"/>
      </w:r>
    </w:p>
    <w:p>
      <w:pPr>
        <w:pStyle w:val="TOC8"/>
        <w:rPr>
          <w:rFonts w:asciiTheme="minorHAnsi" w:eastAsiaTheme="minorEastAsia" w:hAnsiTheme="minorHAnsi" w:cstheme="minorBidi"/>
          <w:szCs w:val="22"/>
        </w:rPr>
      </w:pPr>
      <w:r>
        <w:t>5</w:t>
      </w:r>
      <w:r>
        <w:rPr>
          <w:snapToGrid w:val="0"/>
        </w:rPr>
        <w:t>.</w:t>
      </w:r>
      <w:r>
        <w:rPr>
          <w:snapToGrid w:val="0"/>
        </w:rPr>
        <w:tab/>
        <w:t>Houses to have approved sanitary conveniences</w:t>
      </w:r>
      <w:r>
        <w:tab/>
      </w:r>
      <w:r>
        <w:fldChar w:fldCharType="begin"/>
      </w:r>
      <w:r>
        <w:instrText xml:space="preserve"> PAGEREF _Toc483476825 \h </w:instrText>
      </w:r>
      <w:r>
        <w:fldChar w:fldCharType="separate"/>
      </w:r>
      <w:r>
        <w:t>4</w:t>
      </w:r>
      <w:r>
        <w:fldChar w:fldCharType="end"/>
      </w:r>
    </w:p>
    <w:p>
      <w:pPr>
        <w:pStyle w:val="TOC8"/>
        <w:rPr>
          <w:rFonts w:asciiTheme="minorHAnsi" w:eastAsiaTheme="minorEastAsia" w:hAnsiTheme="minorHAnsi" w:cstheme="minorBidi"/>
          <w:szCs w:val="22"/>
        </w:rPr>
      </w:pPr>
      <w:r>
        <w:t>6</w:t>
      </w:r>
      <w:r>
        <w:rPr>
          <w:snapToGrid w:val="0"/>
        </w:rPr>
        <w:t>.</w:t>
      </w:r>
      <w:r>
        <w:rPr>
          <w:snapToGrid w:val="0"/>
        </w:rPr>
        <w:tab/>
        <w:t>Earth closets and privies, construction of</w:t>
      </w:r>
      <w:r>
        <w:tab/>
      </w:r>
      <w:r>
        <w:fldChar w:fldCharType="begin"/>
      </w:r>
      <w:r>
        <w:instrText xml:space="preserve"> PAGEREF _Toc483476826 \h </w:instrText>
      </w:r>
      <w:r>
        <w:fldChar w:fldCharType="separate"/>
      </w:r>
      <w:r>
        <w:t>5</w:t>
      </w:r>
      <w:r>
        <w:fldChar w:fldCharType="end"/>
      </w:r>
    </w:p>
    <w:p>
      <w:pPr>
        <w:pStyle w:val="TOC8"/>
        <w:rPr>
          <w:rFonts w:asciiTheme="minorHAnsi" w:eastAsiaTheme="minorEastAsia" w:hAnsiTheme="minorHAnsi" w:cstheme="minorBidi"/>
          <w:szCs w:val="22"/>
        </w:rPr>
      </w:pPr>
      <w:r>
        <w:t>6A</w:t>
      </w:r>
      <w:r>
        <w:rPr>
          <w:snapToGrid w:val="0"/>
        </w:rPr>
        <w:t>.</w:t>
      </w:r>
      <w:r>
        <w:rPr>
          <w:snapToGrid w:val="0"/>
        </w:rPr>
        <w:tab/>
        <w:t>Sanitary conveniences, number required in houses and other places</w:t>
      </w:r>
      <w:r>
        <w:tab/>
      </w:r>
      <w:r>
        <w:fldChar w:fldCharType="begin"/>
      </w:r>
      <w:r>
        <w:instrText xml:space="preserve"> PAGEREF _Toc483476827 \h </w:instrText>
      </w:r>
      <w:r>
        <w:fldChar w:fldCharType="separate"/>
      </w:r>
      <w:r>
        <w:t>6</w:t>
      </w:r>
      <w:r>
        <w:fldChar w:fldCharType="end"/>
      </w:r>
    </w:p>
    <w:p>
      <w:pPr>
        <w:pStyle w:val="TOC8"/>
        <w:rPr>
          <w:rFonts w:asciiTheme="minorHAnsi" w:eastAsiaTheme="minorEastAsia" w:hAnsiTheme="minorHAnsi" w:cstheme="minorBidi"/>
          <w:szCs w:val="22"/>
        </w:rPr>
      </w:pPr>
      <w:r>
        <w:t>6B</w:t>
      </w:r>
      <w:r>
        <w:rPr>
          <w:snapToGrid w:val="0"/>
        </w:rPr>
        <w:t>.</w:t>
      </w:r>
      <w:r>
        <w:rPr>
          <w:snapToGrid w:val="0"/>
        </w:rPr>
        <w:tab/>
        <w:t>Sanitary conveniences to be kept clean</w:t>
      </w:r>
      <w:r>
        <w:tab/>
      </w:r>
      <w:r>
        <w:fldChar w:fldCharType="begin"/>
      </w:r>
      <w:r>
        <w:instrText xml:space="preserve"> PAGEREF _Toc483476828 \h </w:instrText>
      </w:r>
      <w:r>
        <w:fldChar w:fldCharType="separate"/>
      </w:r>
      <w:r>
        <w:t>6</w:t>
      </w:r>
      <w:r>
        <w:fldChar w:fldCharType="end"/>
      </w:r>
    </w:p>
    <w:p>
      <w:pPr>
        <w:pStyle w:val="TOC8"/>
        <w:rPr>
          <w:rFonts w:asciiTheme="minorHAnsi" w:eastAsiaTheme="minorEastAsia" w:hAnsiTheme="minorHAnsi" w:cstheme="minorBidi"/>
          <w:szCs w:val="22"/>
        </w:rPr>
      </w:pPr>
      <w:r>
        <w:t>7</w:t>
      </w:r>
      <w:r>
        <w:rPr>
          <w:snapToGrid w:val="0"/>
        </w:rPr>
        <w:t>.</w:t>
      </w:r>
      <w:r>
        <w:rPr>
          <w:snapToGrid w:val="0"/>
        </w:rPr>
        <w:tab/>
        <w:t>Closets and urinals to be replaced</w:t>
      </w:r>
      <w:r>
        <w:tab/>
      </w:r>
      <w:r>
        <w:fldChar w:fldCharType="begin"/>
      </w:r>
      <w:r>
        <w:instrText xml:space="preserve"> PAGEREF _Toc483476829 \h </w:instrText>
      </w:r>
      <w:r>
        <w:fldChar w:fldCharType="separate"/>
      </w:r>
      <w:r>
        <w:t>7</w:t>
      </w:r>
      <w:r>
        <w:fldChar w:fldCharType="end"/>
      </w:r>
    </w:p>
    <w:p>
      <w:pPr>
        <w:pStyle w:val="TOC8"/>
        <w:rPr>
          <w:rFonts w:asciiTheme="minorHAnsi" w:eastAsiaTheme="minorEastAsia" w:hAnsiTheme="minorHAnsi" w:cstheme="minorBidi"/>
          <w:szCs w:val="22"/>
        </w:rPr>
      </w:pPr>
      <w:r>
        <w:t>8</w:t>
      </w:r>
      <w:r>
        <w:rPr>
          <w:snapToGrid w:val="0"/>
        </w:rPr>
        <w:t>.</w:t>
      </w:r>
      <w:r>
        <w:rPr>
          <w:snapToGrid w:val="0"/>
        </w:rPr>
        <w:tab/>
        <w:t>Closets not to cause nuisances</w:t>
      </w:r>
      <w:r>
        <w:tab/>
      </w:r>
      <w:r>
        <w:fldChar w:fldCharType="begin"/>
      </w:r>
      <w:r>
        <w:instrText xml:space="preserve"> PAGEREF _Toc483476830 \h </w:instrText>
      </w:r>
      <w:r>
        <w:fldChar w:fldCharType="separate"/>
      </w:r>
      <w:r>
        <w:t>7</w:t>
      </w:r>
      <w:r>
        <w:fldChar w:fldCharType="end"/>
      </w:r>
    </w:p>
    <w:p>
      <w:pPr>
        <w:pStyle w:val="TOC8"/>
        <w:rPr>
          <w:rFonts w:asciiTheme="minorHAnsi" w:eastAsiaTheme="minorEastAsia" w:hAnsiTheme="minorHAnsi" w:cstheme="minorBidi"/>
          <w:szCs w:val="22"/>
        </w:rPr>
      </w:pPr>
      <w:r>
        <w:t>9</w:t>
      </w:r>
      <w:r>
        <w:rPr>
          <w:snapToGrid w:val="0"/>
        </w:rPr>
        <w:t>.</w:t>
      </w:r>
      <w:r>
        <w:rPr>
          <w:snapToGrid w:val="0"/>
        </w:rPr>
        <w:tab/>
        <w:t>Nightsoil etc., disposal of</w:t>
      </w:r>
      <w:r>
        <w:tab/>
      </w:r>
      <w:r>
        <w:fldChar w:fldCharType="begin"/>
      </w:r>
      <w:r>
        <w:instrText xml:space="preserve"> PAGEREF _Toc483476831 \h </w:instrText>
      </w:r>
      <w:r>
        <w:fldChar w:fldCharType="separate"/>
      </w:r>
      <w:r>
        <w:t>7</w:t>
      </w:r>
      <w:r>
        <w:fldChar w:fldCharType="end"/>
      </w:r>
    </w:p>
    <w:p>
      <w:pPr>
        <w:pStyle w:val="TOC8"/>
        <w:rPr>
          <w:rFonts w:asciiTheme="minorHAnsi" w:eastAsiaTheme="minorEastAsia" w:hAnsiTheme="minorHAnsi" w:cstheme="minorBidi"/>
          <w:szCs w:val="22"/>
        </w:rPr>
      </w:pPr>
      <w:r>
        <w:t>10</w:t>
      </w:r>
      <w:r>
        <w:rPr>
          <w:snapToGrid w:val="0"/>
        </w:rPr>
        <w:t>.</w:t>
      </w:r>
      <w:r>
        <w:rPr>
          <w:snapToGrid w:val="0"/>
        </w:rPr>
        <w:tab/>
        <w:t>Manure etc., disposal of near water</w:t>
      </w:r>
      <w:r>
        <w:tab/>
      </w:r>
      <w:r>
        <w:fldChar w:fldCharType="begin"/>
      </w:r>
      <w:r>
        <w:instrText xml:space="preserve"> PAGEREF _Toc483476832 \h </w:instrText>
      </w:r>
      <w:r>
        <w:fldChar w:fldCharType="separate"/>
      </w:r>
      <w:r>
        <w:t>8</w:t>
      </w:r>
      <w:r>
        <w:fldChar w:fldCharType="end"/>
      </w:r>
    </w:p>
    <w:p>
      <w:pPr>
        <w:pStyle w:val="TOC8"/>
        <w:rPr>
          <w:rFonts w:asciiTheme="minorHAnsi" w:eastAsiaTheme="minorEastAsia" w:hAnsiTheme="minorHAnsi" w:cstheme="minorBidi"/>
          <w:szCs w:val="22"/>
        </w:rPr>
      </w:pPr>
      <w:r>
        <w:t>11</w:t>
      </w:r>
      <w:r>
        <w:rPr>
          <w:snapToGrid w:val="0"/>
        </w:rPr>
        <w:t>.</w:t>
      </w:r>
      <w:r>
        <w:rPr>
          <w:snapToGrid w:val="0"/>
        </w:rPr>
        <w:tab/>
        <w:t>Fertiliser and poisons, use of</w:t>
      </w:r>
      <w:r>
        <w:tab/>
      </w:r>
      <w:r>
        <w:fldChar w:fldCharType="begin"/>
      </w:r>
      <w:r>
        <w:instrText xml:space="preserve"> PAGEREF _Toc483476833 \h </w:instrText>
      </w:r>
      <w:r>
        <w:fldChar w:fldCharType="separate"/>
      </w:r>
      <w:r>
        <w:t>8</w:t>
      </w:r>
      <w:r>
        <w:fldChar w:fldCharType="end"/>
      </w:r>
    </w:p>
    <w:p>
      <w:pPr>
        <w:pStyle w:val="TOC8"/>
        <w:rPr>
          <w:rFonts w:asciiTheme="minorHAnsi" w:eastAsiaTheme="minorEastAsia" w:hAnsiTheme="minorHAnsi" w:cstheme="minorBidi"/>
          <w:szCs w:val="22"/>
        </w:rPr>
      </w:pPr>
      <w:r>
        <w:t>12</w:t>
      </w:r>
      <w:r>
        <w:rPr>
          <w:snapToGrid w:val="0"/>
        </w:rPr>
        <w:t>.</w:t>
      </w:r>
      <w:r>
        <w:rPr>
          <w:snapToGrid w:val="0"/>
        </w:rPr>
        <w:tab/>
        <w:t>Stables etc., construction of near water</w:t>
      </w:r>
      <w:r>
        <w:tab/>
      </w:r>
      <w:r>
        <w:fldChar w:fldCharType="begin"/>
      </w:r>
      <w:r>
        <w:instrText xml:space="preserve"> PAGEREF _Toc483476834 \h </w:instrText>
      </w:r>
      <w:r>
        <w:fldChar w:fldCharType="separate"/>
      </w:r>
      <w:r>
        <w:t>9</w:t>
      </w:r>
      <w:r>
        <w:fldChar w:fldCharType="end"/>
      </w:r>
    </w:p>
    <w:p>
      <w:pPr>
        <w:pStyle w:val="TOC8"/>
        <w:rPr>
          <w:rFonts w:asciiTheme="minorHAnsi" w:eastAsiaTheme="minorEastAsia" w:hAnsiTheme="minorHAnsi" w:cstheme="minorBidi"/>
          <w:szCs w:val="22"/>
        </w:rPr>
      </w:pPr>
      <w:r>
        <w:t>13</w:t>
      </w:r>
      <w:r>
        <w:rPr>
          <w:snapToGrid w:val="0"/>
        </w:rPr>
        <w:t>.</w:t>
      </w:r>
      <w:r>
        <w:rPr>
          <w:snapToGrid w:val="0"/>
        </w:rPr>
        <w:tab/>
        <w:t>Stables etc. to be kept clean</w:t>
      </w:r>
      <w:r>
        <w:tab/>
      </w:r>
      <w:r>
        <w:fldChar w:fldCharType="begin"/>
      </w:r>
      <w:r>
        <w:instrText xml:space="preserve"> PAGEREF _Toc483476835 \h </w:instrText>
      </w:r>
      <w:r>
        <w:fldChar w:fldCharType="separate"/>
      </w:r>
      <w:r>
        <w:t>9</w:t>
      </w:r>
      <w:r>
        <w:fldChar w:fldCharType="end"/>
      </w:r>
    </w:p>
    <w:p>
      <w:pPr>
        <w:pStyle w:val="TOC8"/>
        <w:rPr>
          <w:rFonts w:asciiTheme="minorHAnsi" w:eastAsiaTheme="minorEastAsia" w:hAnsiTheme="minorHAnsi" w:cstheme="minorBidi"/>
          <w:szCs w:val="22"/>
        </w:rPr>
      </w:pPr>
      <w:r>
        <w:t>14</w:t>
      </w:r>
      <w:r>
        <w:rPr>
          <w:snapToGrid w:val="0"/>
        </w:rPr>
        <w:t>.</w:t>
      </w:r>
      <w:r>
        <w:rPr>
          <w:snapToGrid w:val="0"/>
        </w:rPr>
        <w:tab/>
        <w:t>Closets to be disinfected</w:t>
      </w:r>
      <w:r>
        <w:tab/>
      </w:r>
      <w:r>
        <w:fldChar w:fldCharType="begin"/>
      </w:r>
      <w:r>
        <w:instrText xml:space="preserve"> PAGEREF _Toc483476836 \h </w:instrText>
      </w:r>
      <w:r>
        <w:fldChar w:fldCharType="separate"/>
      </w:r>
      <w:r>
        <w:t>10</w:t>
      </w:r>
      <w:r>
        <w:fldChar w:fldCharType="end"/>
      </w:r>
    </w:p>
    <w:p>
      <w:pPr>
        <w:pStyle w:val="TOC8"/>
        <w:rPr>
          <w:rFonts w:asciiTheme="minorHAnsi" w:eastAsiaTheme="minorEastAsia" w:hAnsiTheme="minorHAnsi" w:cstheme="minorBidi"/>
          <w:szCs w:val="22"/>
        </w:rPr>
      </w:pPr>
      <w:r>
        <w:t>15</w:t>
      </w:r>
      <w:r>
        <w:rPr>
          <w:snapToGrid w:val="0"/>
        </w:rPr>
        <w:t>.</w:t>
      </w:r>
      <w:r>
        <w:rPr>
          <w:snapToGrid w:val="0"/>
        </w:rPr>
        <w:tab/>
        <w:t>Nightsoil to be treated</w:t>
      </w:r>
      <w:r>
        <w:tab/>
      </w:r>
      <w:r>
        <w:fldChar w:fldCharType="begin"/>
      </w:r>
      <w:r>
        <w:instrText xml:space="preserve"> PAGEREF _Toc483476837 \h </w:instrText>
      </w:r>
      <w:r>
        <w:fldChar w:fldCharType="separate"/>
      </w:r>
      <w:r>
        <w:t>10</w:t>
      </w:r>
      <w:r>
        <w:fldChar w:fldCharType="end"/>
      </w:r>
    </w:p>
    <w:p>
      <w:pPr>
        <w:pStyle w:val="TOC8"/>
        <w:rPr>
          <w:rFonts w:asciiTheme="minorHAnsi" w:eastAsiaTheme="minorEastAsia" w:hAnsiTheme="minorHAnsi" w:cstheme="minorBidi"/>
          <w:szCs w:val="22"/>
        </w:rPr>
      </w:pPr>
      <w:r>
        <w:t>16</w:t>
      </w:r>
      <w:r>
        <w:rPr>
          <w:snapToGrid w:val="0"/>
        </w:rPr>
        <w:t>.</w:t>
      </w:r>
      <w:r>
        <w:rPr>
          <w:snapToGrid w:val="0"/>
        </w:rPr>
        <w:tab/>
        <w:t>Closet pans, procedure for removing and cleaning</w:t>
      </w:r>
      <w:r>
        <w:tab/>
      </w:r>
      <w:r>
        <w:fldChar w:fldCharType="begin"/>
      </w:r>
      <w:r>
        <w:instrText xml:space="preserve"> PAGEREF _Toc483476838 \h </w:instrText>
      </w:r>
      <w:r>
        <w:fldChar w:fldCharType="separate"/>
      </w:r>
      <w:r>
        <w:t>10</w:t>
      </w:r>
      <w:r>
        <w:fldChar w:fldCharType="end"/>
      </w:r>
    </w:p>
    <w:p>
      <w:pPr>
        <w:pStyle w:val="TOC8"/>
        <w:rPr>
          <w:rFonts w:asciiTheme="minorHAnsi" w:eastAsiaTheme="minorEastAsia" w:hAnsiTheme="minorHAnsi" w:cstheme="minorBidi"/>
          <w:szCs w:val="22"/>
        </w:rPr>
      </w:pPr>
      <w:r>
        <w:t>17</w:t>
      </w:r>
      <w:r>
        <w:rPr>
          <w:snapToGrid w:val="0"/>
        </w:rPr>
        <w:t>.</w:t>
      </w:r>
      <w:r>
        <w:rPr>
          <w:snapToGrid w:val="0"/>
        </w:rPr>
        <w:tab/>
        <w:t>Nightsoil, charges for removal of</w:t>
      </w:r>
      <w:r>
        <w:tab/>
      </w:r>
      <w:r>
        <w:fldChar w:fldCharType="begin"/>
      </w:r>
      <w:r>
        <w:instrText xml:space="preserve"> PAGEREF _Toc483476839 \h </w:instrText>
      </w:r>
      <w:r>
        <w:fldChar w:fldCharType="separate"/>
      </w:r>
      <w:r>
        <w:t>11</w:t>
      </w:r>
      <w:r>
        <w:fldChar w:fldCharType="end"/>
      </w:r>
    </w:p>
    <w:p>
      <w:pPr>
        <w:pStyle w:val="TOC8"/>
        <w:rPr>
          <w:rFonts w:asciiTheme="minorHAnsi" w:eastAsiaTheme="minorEastAsia" w:hAnsiTheme="minorHAnsi" w:cstheme="minorBidi"/>
          <w:szCs w:val="22"/>
        </w:rPr>
      </w:pPr>
      <w:r>
        <w:t>19A</w:t>
      </w:r>
      <w:r>
        <w:rPr>
          <w:snapToGrid w:val="0"/>
        </w:rPr>
        <w:t>.</w:t>
      </w:r>
      <w:r>
        <w:rPr>
          <w:snapToGrid w:val="0"/>
        </w:rPr>
        <w:tab/>
        <w:t>Pigs, keeping of</w:t>
      </w:r>
      <w:r>
        <w:tab/>
      </w:r>
      <w:r>
        <w:fldChar w:fldCharType="begin"/>
      </w:r>
      <w:r>
        <w:instrText xml:space="preserve"> PAGEREF _Toc483476840 \h </w:instrText>
      </w:r>
      <w:r>
        <w:fldChar w:fldCharType="separate"/>
      </w:r>
      <w:r>
        <w:t>12</w:t>
      </w:r>
      <w:r>
        <w:fldChar w:fldCharType="end"/>
      </w:r>
    </w:p>
    <w:p>
      <w:pPr>
        <w:pStyle w:val="TOC8"/>
        <w:rPr>
          <w:rFonts w:asciiTheme="minorHAnsi" w:eastAsiaTheme="minorEastAsia" w:hAnsiTheme="minorHAnsi" w:cstheme="minorBidi"/>
          <w:szCs w:val="22"/>
        </w:rPr>
      </w:pPr>
      <w:r>
        <w:t>20</w:t>
      </w:r>
      <w:r>
        <w:rPr>
          <w:snapToGrid w:val="0"/>
        </w:rPr>
        <w:t>.</w:t>
      </w:r>
      <w:r>
        <w:rPr>
          <w:snapToGrid w:val="0"/>
        </w:rPr>
        <w:tab/>
        <w:t>Animals not to be allowed to stray over certain catchment areas</w:t>
      </w:r>
      <w:r>
        <w:tab/>
      </w:r>
      <w:r>
        <w:fldChar w:fldCharType="begin"/>
      </w:r>
      <w:r>
        <w:instrText xml:space="preserve"> PAGEREF _Toc483476841 \h </w:instrText>
      </w:r>
      <w:r>
        <w:fldChar w:fldCharType="separate"/>
      </w:r>
      <w:r>
        <w:t>12</w:t>
      </w:r>
      <w:r>
        <w:fldChar w:fldCharType="end"/>
      </w:r>
    </w:p>
    <w:p>
      <w:pPr>
        <w:pStyle w:val="TOC8"/>
        <w:rPr>
          <w:rFonts w:asciiTheme="minorHAnsi" w:eastAsiaTheme="minorEastAsia" w:hAnsiTheme="minorHAnsi" w:cstheme="minorBidi"/>
          <w:szCs w:val="22"/>
        </w:rPr>
      </w:pPr>
      <w:r>
        <w:t>21</w:t>
      </w:r>
      <w:r>
        <w:rPr>
          <w:snapToGrid w:val="0"/>
        </w:rPr>
        <w:t>.</w:t>
      </w:r>
      <w:r>
        <w:rPr>
          <w:snapToGrid w:val="0"/>
        </w:rPr>
        <w:tab/>
        <w:t>Abattoirs etc., establishment of</w:t>
      </w:r>
      <w:r>
        <w:tab/>
      </w:r>
      <w:r>
        <w:fldChar w:fldCharType="begin"/>
      </w:r>
      <w:r>
        <w:instrText xml:space="preserve"> PAGEREF _Toc483476842 \h </w:instrText>
      </w:r>
      <w:r>
        <w:fldChar w:fldCharType="separate"/>
      </w:r>
      <w:r>
        <w:t>12</w:t>
      </w:r>
      <w:r>
        <w:fldChar w:fldCharType="end"/>
      </w:r>
    </w:p>
    <w:p>
      <w:pPr>
        <w:pStyle w:val="TOC8"/>
        <w:rPr>
          <w:rFonts w:asciiTheme="minorHAnsi" w:eastAsiaTheme="minorEastAsia" w:hAnsiTheme="minorHAnsi" w:cstheme="minorBidi"/>
          <w:szCs w:val="22"/>
        </w:rPr>
      </w:pPr>
      <w:r>
        <w:t>22</w:t>
      </w:r>
      <w:r>
        <w:rPr>
          <w:snapToGrid w:val="0"/>
        </w:rPr>
        <w:t>.</w:t>
      </w:r>
      <w:r>
        <w:rPr>
          <w:snapToGrid w:val="0"/>
        </w:rPr>
        <w:tab/>
        <w:t>Carcasses to be removed from near water</w:t>
      </w:r>
      <w:r>
        <w:tab/>
      </w:r>
      <w:r>
        <w:fldChar w:fldCharType="begin"/>
      </w:r>
      <w:r>
        <w:instrText xml:space="preserve"> PAGEREF _Toc483476843 \h </w:instrText>
      </w:r>
      <w:r>
        <w:fldChar w:fldCharType="separate"/>
      </w:r>
      <w:r>
        <w:t>13</w:t>
      </w:r>
      <w:r>
        <w:fldChar w:fldCharType="end"/>
      </w:r>
    </w:p>
    <w:p>
      <w:pPr>
        <w:pStyle w:val="TOC8"/>
        <w:rPr>
          <w:rFonts w:asciiTheme="minorHAnsi" w:eastAsiaTheme="minorEastAsia" w:hAnsiTheme="minorHAnsi" w:cstheme="minorBidi"/>
          <w:szCs w:val="22"/>
        </w:rPr>
      </w:pPr>
      <w:r>
        <w:t>23</w:t>
      </w:r>
      <w:r>
        <w:rPr>
          <w:snapToGrid w:val="0"/>
        </w:rPr>
        <w:t>.</w:t>
      </w:r>
      <w:r>
        <w:rPr>
          <w:snapToGrid w:val="0"/>
        </w:rPr>
        <w:tab/>
        <w:t>Human burials to be in approved places</w:t>
      </w:r>
      <w:r>
        <w:tab/>
      </w:r>
      <w:r>
        <w:fldChar w:fldCharType="begin"/>
      </w:r>
      <w:r>
        <w:instrText xml:space="preserve"> PAGEREF _Toc483476844 \h </w:instrText>
      </w:r>
      <w:r>
        <w:fldChar w:fldCharType="separate"/>
      </w:r>
      <w:r>
        <w:t>13</w:t>
      </w:r>
      <w:r>
        <w:fldChar w:fldCharType="end"/>
      </w:r>
    </w:p>
    <w:p>
      <w:pPr>
        <w:pStyle w:val="TOC8"/>
        <w:rPr>
          <w:rFonts w:asciiTheme="minorHAnsi" w:eastAsiaTheme="minorEastAsia" w:hAnsiTheme="minorHAnsi" w:cstheme="minorBidi"/>
          <w:szCs w:val="22"/>
        </w:rPr>
      </w:pPr>
      <w:r>
        <w:t>24</w:t>
      </w:r>
      <w:r>
        <w:rPr>
          <w:snapToGrid w:val="0"/>
        </w:rPr>
        <w:t>.</w:t>
      </w:r>
      <w:r>
        <w:rPr>
          <w:snapToGrid w:val="0"/>
        </w:rPr>
        <w:tab/>
        <w:t>Household refuse, receptacles for</w:t>
      </w:r>
      <w:r>
        <w:tab/>
      </w:r>
      <w:r>
        <w:fldChar w:fldCharType="begin"/>
      </w:r>
      <w:r>
        <w:instrText xml:space="preserve"> PAGEREF _Toc483476845 \h </w:instrText>
      </w:r>
      <w:r>
        <w:fldChar w:fldCharType="separate"/>
      </w:r>
      <w:r>
        <w:t>13</w:t>
      </w:r>
      <w:r>
        <w:fldChar w:fldCharType="end"/>
      </w:r>
    </w:p>
    <w:p>
      <w:pPr>
        <w:pStyle w:val="TOC8"/>
        <w:rPr>
          <w:rFonts w:asciiTheme="minorHAnsi" w:eastAsiaTheme="minorEastAsia" w:hAnsiTheme="minorHAnsi" w:cstheme="minorBidi"/>
          <w:szCs w:val="22"/>
        </w:rPr>
      </w:pPr>
      <w:r>
        <w:t>25</w:t>
      </w:r>
      <w:r>
        <w:rPr>
          <w:snapToGrid w:val="0"/>
        </w:rPr>
        <w:t>.</w:t>
      </w:r>
      <w:r>
        <w:rPr>
          <w:snapToGrid w:val="0"/>
        </w:rPr>
        <w:tab/>
        <w:t>Household refuse, disposal of</w:t>
      </w:r>
      <w:r>
        <w:tab/>
      </w:r>
      <w:r>
        <w:fldChar w:fldCharType="begin"/>
      </w:r>
      <w:r>
        <w:instrText xml:space="preserve"> PAGEREF _Toc483476846 \h </w:instrText>
      </w:r>
      <w:r>
        <w:fldChar w:fldCharType="separate"/>
      </w:r>
      <w:r>
        <w:t>14</w:t>
      </w:r>
      <w:r>
        <w:fldChar w:fldCharType="end"/>
      </w:r>
    </w:p>
    <w:p>
      <w:pPr>
        <w:pStyle w:val="TOC8"/>
        <w:rPr>
          <w:rFonts w:asciiTheme="minorHAnsi" w:eastAsiaTheme="minorEastAsia" w:hAnsiTheme="minorHAnsi" w:cstheme="minorBidi"/>
          <w:szCs w:val="22"/>
        </w:rPr>
      </w:pPr>
      <w:r>
        <w:t>26</w:t>
      </w:r>
      <w:r>
        <w:rPr>
          <w:snapToGrid w:val="0"/>
        </w:rPr>
        <w:t>.</w:t>
      </w:r>
      <w:r>
        <w:rPr>
          <w:snapToGrid w:val="0"/>
        </w:rPr>
        <w:tab/>
        <w:t>Refuse etc. not to be deposited in catchment area</w:t>
      </w:r>
      <w:r>
        <w:tab/>
      </w:r>
      <w:r>
        <w:fldChar w:fldCharType="begin"/>
      </w:r>
      <w:r>
        <w:instrText xml:space="preserve"> PAGEREF _Toc483476847 \h </w:instrText>
      </w:r>
      <w:r>
        <w:fldChar w:fldCharType="separate"/>
      </w:r>
      <w:r>
        <w:t>14</w:t>
      </w:r>
      <w:r>
        <w:fldChar w:fldCharType="end"/>
      </w:r>
    </w:p>
    <w:p>
      <w:pPr>
        <w:pStyle w:val="TOC8"/>
        <w:rPr>
          <w:rFonts w:asciiTheme="minorHAnsi" w:eastAsiaTheme="minorEastAsia" w:hAnsiTheme="minorHAnsi" w:cstheme="minorBidi"/>
          <w:szCs w:val="22"/>
        </w:rPr>
      </w:pPr>
      <w:r>
        <w:t>27</w:t>
      </w:r>
      <w:r>
        <w:rPr>
          <w:snapToGrid w:val="0"/>
        </w:rPr>
        <w:t>.</w:t>
      </w:r>
      <w:r>
        <w:rPr>
          <w:snapToGrid w:val="0"/>
        </w:rPr>
        <w:tab/>
        <w:t>Refuse bins etc., position and cleaning of</w:t>
      </w:r>
      <w:r>
        <w:tab/>
      </w:r>
      <w:r>
        <w:fldChar w:fldCharType="begin"/>
      </w:r>
      <w:r>
        <w:instrText xml:space="preserve"> PAGEREF _Toc483476848 \h </w:instrText>
      </w:r>
      <w:r>
        <w:fldChar w:fldCharType="separate"/>
      </w:r>
      <w:r>
        <w:t>14</w:t>
      </w:r>
      <w:r>
        <w:fldChar w:fldCharType="end"/>
      </w:r>
    </w:p>
    <w:p>
      <w:pPr>
        <w:pStyle w:val="TOC8"/>
        <w:rPr>
          <w:rFonts w:asciiTheme="minorHAnsi" w:eastAsiaTheme="minorEastAsia" w:hAnsiTheme="minorHAnsi" w:cstheme="minorBidi"/>
          <w:szCs w:val="22"/>
        </w:rPr>
      </w:pPr>
      <w:r>
        <w:t>28</w:t>
      </w:r>
      <w:r>
        <w:rPr>
          <w:snapToGrid w:val="0"/>
        </w:rPr>
        <w:t>.</w:t>
      </w:r>
      <w:r>
        <w:rPr>
          <w:snapToGrid w:val="0"/>
        </w:rPr>
        <w:tab/>
        <w:t>Refuse etc. to be deposited only at approved sites</w:t>
      </w:r>
      <w:r>
        <w:tab/>
      </w:r>
      <w:r>
        <w:fldChar w:fldCharType="begin"/>
      </w:r>
      <w:r>
        <w:instrText xml:space="preserve"> PAGEREF _Toc483476849 \h </w:instrText>
      </w:r>
      <w:r>
        <w:fldChar w:fldCharType="separate"/>
      </w:r>
      <w:r>
        <w:t>15</w:t>
      </w:r>
      <w:r>
        <w:fldChar w:fldCharType="end"/>
      </w:r>
    </w:p>
    <w:p>
      <w:pPr>
        <w:pStyle w:val="TOC8"/>
        <w:rPr>
          <w:rFonts w:asciiTheme="minorHAnsi" w:eastAsiaTheme="minorEastAsia" w:hAnsiTheme="minorHAnsi" w:cstheme="minorBidi"/>
          <w:szCs w:val="22"/>
        </w:rPr>
      </w:pPr>
      <w:r>
        <w:t>29</w:t>
      </w:r>
      <w:r>
        <w:rPr>
          <w:snapToGrid w:val="0"/>
        </w:rPr>
        <w:t>.</w:t>
      </w:r>
      <w:r>
        <w:rPr>
          <w:snapToGrid w:val="0"/>
        </w:rPr>
        <w:tab/>
        <w:t>Industrial wastes, discharge of</w:t>
      </w:r>
      <w:r>
        <w:tab/>
      </w:r>
      <w:r>
        <w:fldChar w:fldCharType="begin"/>
      </w:r>
      <w:r>
        <w:instrText xml:space="preserve"> PAGEREF _Toc483476850 \h </w:instrText>
      </w:r>
      <w:r>
        <w:fldChar w:fldCharType="separate"/>
      </w:r>
      <w:r>
        <w:t>15</w:t>
      </w:r>
      <w:r>
        <w:fldChar w:fldCharType="end"/>
      </w:r>
    </w:p>
    <w:p>
      <w:pPr>
        <w:pStyle w:val="TOC8"/>
        <w:rPr>
          <w:rFonts w:asciiTheme="minorHAnsi" w:eastAsiaTheme="minorEastAsia" w:hAnsiTheme="minorHAnsi" w:cstheme="minorBidi"/>
          <w:szCs w:val="22"/>
        </w:rPr>
      </w:pPr>
      <w:r>
        <w:t>30</w:t>
      </w:r>
      <w:r>
        <w:rPr>
          <w:snapToGrid w:val="0"/>
        </w:rPr>
        <w:t>.</w:t>
      </w:r>
      <w:r>
        <w:rPr>
          <w:snapToGrid w:val="0"/>
        </w:rPr>
        <w:tab/>
        <w:t>Polluting activities prohibited</w:t>
      </w:r>
      <w:r>
        <w:tab/>
      </w:r>
      <w:r>
        <w:fldChar w:fldCharType="begin"/>
      </w:r>
      <w:r>
        <w:instrText xml:space="preserve"> PAGEREF _Toc483476851 \h </w:instrText>
      </w:r>
      <w:r>
        <w:fldChar w:fldCharType="separate"/>
      </w:r>
      <w:r>
        <w:t>15</w:t>
      </w:r>
      <w:r>
        <w:fldChar w:fldCharType="end"/>
      </w:r>
    </w:p>
    <w:p>
      <w:pPr>
        <w:pStyle w:val="TOC8"/>
        <w:rPr>
          <w:rFonts w:asciiTheme="minorHAnsi" w:eastAsiaTheme="minorEastAsia" w:hAnsiTheme="minorHAnsi" w:cstheme="minorBidi"/>
          <w:szCs w:val="22"/>
        </w:rPr>
      </w:pPr>
      <w:r>
        <w:t>31</w:t>
      </w:r>
      <w:r>
        <w:rPr>
          <w:snapToGrid w:val="0"/>
        </w:rPr>
        <w:t>.</w:t>
      </w:r>
      <w:r>
        <w:rPr>
          <w:snapToGrid w:val="0"/>
        </w:rPr>
        <w:tab/>
        <w:t>Bathing prohibited except in approved places</w:t>
      </w:r>
      <w:r>
        <w:tab/>
      </w:r>
      <w:r>
        <w:fldChar w:fldCharType="begin"/>
      </w:r>
      <w:r>
        <w:instrText xml:space="preserve"> PAGEREF _Toc483476852 \h </w:instrText>
      </w:r>
      <w:r>
        <w:fldChar w:fldCharType="separate"/>
      </w:r>
      <w:r>
        <w:t>16</w:t>
      </w:r>
      <w:r>
        <w:fldChar w:fldCharType="end"/>
      </w:r>
    </w:p>
    <w:p>
      <w:pPr>
        <w:pStyle w:val="TOC8"/>
        <w:rPr>
          <w:rFonts w:asciiTheme="minorHAnsi" w:eastAsiaTheme="minorEastAsia" w:hAnsiTheme="minorHAnsi" w:cstheme="minorBidi"/>
          <w:szCs w:val="22"/>
        </w:rPr>
      </w:pPr>
      <w:r>
        <w:t>32</w:t>
      </w:r>
      <w:r>
        <w:rPr>
          <w:snapToGrid w:val="0"/>
        </w:rPr>
        <w:t>.</w:t>
      </w:r>
      <w:r>
        <w:rPr>
          <w:snapToGrid w:val="0"/>
        </w:rPr>
        <w:tab/>
        <w:t>Powers of entry</w:t>
      </w:r>
      <w:r>
        <w:tab/>
      </w:r>
      <w:r>
        <w:fldChar w:fldCharType="begin"/>
      </w:r>
      <w:r>
        <w:instrText xml:space="preserve"> PAGEREF _Toc483476853 \h </w:instrText>
      </w:r>
      <w:r>
        <w:fldChar w:fldCharType="separate"/>
      </w:r>
      <w:r>
        <w:t>16</w:t>
      </w:r>
      <w:r>
        <w:fldChar w:fldCharType="end"/>
      </w:r>
    </w:p>
    <w:p>
      <w:pPr>
        <w:pStyle w:val="TOC8"/>
        <w:rPr>
          <w:rFonts w:asciiTheme="minorHAnsi" w:eastAsiaTheme="minorEastAsia" w:hAnsiTheme="minorHAnsi" w:cstheme="minorBidi"/>
          <w:szCs w:val="22"/>
        </w:rPr>
      </w:pPr>
      <w:r>
        <w:t>33</w:t>
      </w:r>
      <w:r>
        <w:rPr>
          <w:snapToGrid w:val="0"/>
        </w:rPr>
        <w:t>.</w:t>
      </w:r>
      <w:r>
        <w:rPr>
          <w:snapToGrid w:val="0"/>
        </w:rPr>
        <w:tab/>
        <w:t xml:space="preserve">Compliance, </w:t>
      </w:r>
      <w:r>
        <w:t>CEO</w:t>
      </w:r>
      <w:r>
        <w:rPr>
          <w:snapToGrid w:val="0"/>
        </w:rPr>
        <w:t xml:space="preserve"> to fix time for</w:t>
      </w:r>
      <w:r>
        <w:tab/>
      </w:r>
      <w:r>
        <w:fldChar w:fldCharType="begin"/>
      </w:r>
      <w:r>
        <w:instrText xml:space="preserve"> PAGEREF _Toc483476854 \h </w:instrText>
      </w:r>
      <w:r>
        <w:fldChar w:fldCharType="separate"/>
      </w:r>
      <w:r>
        <w:t>16</w:t>
      </w:r>
      <w:r>
        <w:fldChar w:fldCharType="end"/>
      </w:r>
    </w:p>
    <w:p>
      <w:pPr>
        <w:pStyle w:val="TOC8"/>
        <w:rPr>
          <w:rFonts w:asciiTheme="minorHAnsi" w:eastAsiaTheme="minorEastAsia" w:hAnsiTheme="minorHAnsi" w:cstheme="minorBidi"/>
          <w:szCs w:val="22"/>
        </w:rPr>
      </w:pPr>
      <w:r>
        <w:t>34</w:t>
      </w:r>
      <w:r>
        <w:rPr>
          <w:snapToGrid w:val="0"/>
        </w:rPr>
        <w:t>.</w:t>
      </w:r>
      <w:r>
        <w:rPr>
          <w:snapToGrid w:val="0"/>
        </w:rPr>
        <w:tab/>
        <w:t>Timber cutting and clearing without permission</w:t>
      </w:r>
      <w:r>
        <w:tab/>
      </w:r>
      <w:r>
        <w:fldChar w:fldCharType="begin"/>
      </w:r>
      <w:r>
        <w:instrText xml:space="preserve"> PAGEREF _Toc483476855 \h </w:instrText>
      </w:r>
      <w:r>
        <w:fldChar w:fldCharType="separate"/>
      </w:r>
      <w:r>
        <w:t>17</w:t>
      </w:r>
      <w:r>
        <w:fldChar w:fldCharType="end"/>
      </w:r>
    </w:p>
    <w:p>
      <w:pPr>
        <w:pStyle w:val="TOC8"/>
        <w:rPr>
          <w:rFonts w:asciiTheme="minorHAnsi" w:eastAsiaTheme="minorEastAsia" w:hAnsiTheme="minorHAnsi" w:cstheme="minorBidi"/>
          <w:szCs w:val="22"/>
        </w:rPr>
      </w:pPr>
      <w:r>
        <w:t>35</w:t>
      </w:r>
      <w:r>
        <w:rPr>
          <w:snapToGrid w:val="0"/>
        </w:rPr>
        <w:t>.</w:t>
      </w:r>
      <w:r>
        <w:rPr>
          <w:snapToGrid w:val="0"/>
        </w:rPr>
        <w:tab/>
        <w:t xml:space="preserve">Hunting, shooting and fishing, </w:t>
      </w:r>
      <w:r>
        <w:t>CEO</w:t>
      </w:r>
      <w:r>
        <w:rPr>
          <w:snapToGrid w:val="0"/>
        </w:rPr>
        <w:t xml:space="preserve"> may restrict</w:t>
      </w:r>
      <w:r>
        <w:tab/>
      </w:r>
      <w:r>
        <w:fldChar w:fldCharType="begin"/>
      </w:r>
      <w:r>
        <w:instrText xml:space="preserve"> PAGEREF _Toc483476856 \h </w:instrText>
      </w:r>
      <w:r>
        <w:fldChar w:fldCharType="separate"/>
      </w:r>
      <w:r>
        <w:t>17</w:t>
      </w:r>
      <w:r>
        <w:fldChar w:fldCharType="end"/>
      </w:r>
    </w:p>
    <w:p>
      <w:pPr>
        <w:pStyle w:val="TOC8"/>
        <w:rPr>
          <w:rFonts w:asciiTheme="minorHAnsi" w:eastAsiaTheme="minorEastAsia" w:hAnsiTheme="minorHAnsi" w:cstheme="minorBidi"/>
          <w:szCs w:val="22"/>
        </w:rPr>
      </w:pPr>
      <w:r>
        <w:t>36</w:t>
      </w:r>
      <w:r>
        <w:rPr>
          <w:snapToGrid w:val="0"/>
        </w:rPr>
        <w:t>.</w:t>
      </w:r>
      <w:r>
        <w:rPr>
          <w:snapToGrid w:val="0"/>
        </w:rPr>
        <w:tab/>
        <w:t>Camping and picnicking restricted</w:t>
      </w:r>
      <w:r>
        <w:tab/>
      </w:r>
      <w:r>
        <w:fldChar w:fldCharType="begin"/>
      </w:r>
      <w:r>
        <w:instrText xml:space="preserve"> PAGEREF _Toc483476857 \h </w:instrText>
      </w:r>
      <w:r>
        <w:fldChar w:fldCharType="separate"/>
      </w:r>
      <w:r>
        <w:t>18</w:t>
      </w:r>
      <w:r>
        <w:fldChar w:fldCharType="end"/>
      </w:r>
    </w:p>
    <w:p>
      <w:pPr>
        <w:pStyle w:val="TOC4"/>
        <w:tabs>
          <w:tab w:val="right" w:leader="dot" w:pos="7077"/>
        </w:tabs>
        <w:rPr>
          <w:rFonts w:asciiTheme="minorHAnsi" w:eastAsiaTheme="minorEastAsia" w:hAnsiTheme="minorHAnsi" w:cstheme="minorBidi"/>
          <w:b w:val="0"/>
          <w:szCs w:val="22"/>
        </w:rPr>
      </w:pPr>
      <w:r>
        <w:t>Division 3 — Protection of water supplies and Minister and Corporation property</w:t>
      </w:r>
    </w:p>
    <w:p>
      <w:pPr>
        <w:pStyle w:val="TOC8"/>
        <w:rPr>
          <w:rFonts w:asciiTheme="minorHAnsi" w:eastAsiaTheme="minorEastAsia" w:hAnsiTheme="minorHAnsi" w:cstheme="minorBidi"/>
          <w:szCs w:val="22"/>
        </w:rPr>
      </w:pPr>
      <w:r>
        <w:t>40</w:t>
      </w:r>
      <w:r>
        <w:rPr>
          <w:snapToGrid w:val="0"/>
        </w:rPr>
        <w:t>.</w:t>
      </w:r>
      <w:r>
        <w:rPr>
          <w:snapToGrid w:val="0"/>
        </w:rPr>
        <w:tab/>
        <w:t>Flora protected</w:t>
      </w:r>
      <w:r>
        <w:tab/>
      </w:r>
      <w:r>
        <w:fldChar w:fldCharType="begin"/>
      </w:r>
      <w:r>
        <w:instrText xml:space="preserve"> PAGEREF _Toc483476859 \h </w:instrText>
      </w:r>
      <w:r>
        <w:fldChar w:fldCharType="separate"/>
      </w:r>
      <w:r>
        <w:t>18</w:t>
      </w:r>
      <w:r>
        <w:fldChar w:fldCharType="end"/>
      </w:r>
    </w:p>
    <w:p>
      <w:pPr>
        <w:pStyle w:val="TOC4"/>
        <w:tabs>
          <w:tab w:val="right" w:leader="dot" w:pos="7077"/>
        </w:tabs>
        <w:rPr>
          <w:rFonts w:asciiTheme="minorHAnsi" w:eastAsiaTheme="minorEastAsia" w:hAnsiTheme="minorHAnsi" w:cstheme="minorBidi"/>
          <w:b w:val="0"/>
          <w:szCs w:val="22"/>
        </w:rPr>
      </w:pPr>
      <w:r>
        <w:t>Division 7 — Miscellaneous</w:t>
      </w:r>
    </w:p>
    <w:p>
      <w:pPr>
        <w:pStyle w:val="TOC8"/>
        <w:rPr>
          <w:rFonts w:asciiTheme="minorHAnsi" w:eastAsiaTheme="minorEastAsia" w:hAnsiTheme="minorHAnsi" w:cstheme="minorBidi"/>
          <w:szCs w:val="22"/>
        </w:rPr>
      </w:pPr>
      <w:r>
        <w:t>105</w:t>
      </w:r>
      <w:r>
        <w:rPr>
          <w:snapToGrid w:val="0"/>
        </w:rPr>
        <w:t>.</w:t>
      </w:r>
      <w:r>
        <w:rPr>
          <w:snapToGrid w:val="0"/>
        </w:rPr>
        <w:tab/>
        <w:t>Penalties</w:t>
      </w:r>
      <w:r>
        <w:tab/>
      </w:r>
      <w:r>
        <w:fldChar w:fldCharType="begin"/>
      </w:r>
      <w:r>
        <w:instrText xml:space="preserve"> PAGEREF _Toc483476861 \h </w:instrText>
      </w:r>
      <w:r>
        <w:fldChar w:fldCharType="separate"/>
      </w:r>
      <w:r>
        <w:t>20</w:t>
      </w:r>
      <w:r>
        <w:fldChar w:fldCharType="end"/>
      </w:r>
    </w:p>
    <w:p>
      <w:pPr>
        <w:pStyle w:val="TOC2"/>
        <w:keepNext w:val="0"/>
        <w:tabs>
          <w:tab w:val="right" w:leader="dot" w:pos="7077"/>
        </w:tabs>
        <w:rPr>
          <w:rFonts w:asciiTheme="minorHAnsi" w:eastAsiaTheme="minorEastAsia" w:hAnsiTheme="minorHAnsi" w:cstheme="minorBidi"/>
          <w:b w:val="0"/>
          <w:sz w:val="22"/>
          <w:szCs w:val="22"/>
        </w:rPr>
      </w:pPr>
      <w:r>
        <w:t>Schedule 1 — Description of South West Settlement Area</w:t>
      </w:r>
    </w:p>
    <w:p>
      <w:pPr>
        <w:pStyle w:val="TOC2"/>
        <w:keepNext w:val="0"/>
        <w:tabs>
          <w:tab w:val="right" w:leader="dot" w:pos="7077"/>
        </w:tabs>
        <w:rPr>
          <w:rFonts w:asciiTheme="minorHAnsi" w:eastAsiaTheme="minorEastAsia" w:hAnsiTheme="minorHAnsi" w:cstheme="minorBidi"/>
          <w:b w:val="0"/>
          <w:sz w:val="22"/>
          <w:szCs w:val="22"/>
        </w:rPr>
      </w:pPr>
      <w:r>
        <w:t>Schedule 2 — Map of South West Settlement Area</w:t>
      </w:r>
    </w:p>
    <w:p>
      <w:pPr>
        <w:pStyle w:val="TOC2"/>
        <w:keepNext w:val="0"/>
        <w:tabs>
          <w:tab w:val="right" w:leader="dot" w:pos="7077"/>
        </w:tabs>
        <w:rPr>
          <w:rFonts w:asciiTheme="minorHAnsi" w:eastAsiaTheme="minorEastAsia" w:hAnsiTheme="minorHAnsi" w:cstheme="minorBidi"/>
          <w:b w:val="0"/>
          <w:sz w:val="22"/>
          <w:szCs w:val="22"/>
        </w:rPr>
      </w:pPr>
      <w:r>
        <w:t>Schedule 4 — Mungalup Dam Catchment</w:t>
      </w:r>
    </w:p>
    <w:p>
      <w:pPr>
        <w:pStyle w:val="TOC4"/>
        <w:keepNext w:val="0"/>
        <w:tabs>
          <w:tab w:val="right" w:leader="dot" w:pos="7077"/>
        </w:tabs>
        <w:rPr>
          <w:rFonts w:asciiTheme="minorHAnsi" w:eastAsiaTheme="minorEastAsia" w:hAnsiTheme="minorHAnsi" w:cstheme="minorBidi"/>
          <w:b w:val="0"/>
          <w:szCs w:val="22"/>
        </w:rPr>
      </w:pPr>
      <w:r>
        <w:t>Map of Wellington Dam Catchment Area showing Mungalup Dam Catchment</w:t>
      </w:r>
    </w:p>
    <w:p>
      <w:pPr>
        <w:pStyle w:val="TOC4"/>
        <w:keepNext w:val="0"/>
        <w:tabs>
          <w:tab w:val="right" w:leader="dot" w:pos="7077"/>
        </w:tabs>
        <w:rPr>
          <w:rFonts w:asciiTheme="minorHAnsi" w:eastAsiaTheme="minorEastAsia" w:hAnsiTheme="minorHAnsi" w:cstheme="minorBidi"/>
          <w:b w:val="0"/>
          <w:szCs w:val="22"/>
        </w:rPr>
      </w:pPr>
      <w:r>
        <w:t>Map of Mungalup Dam Catchment</w:t>
      </w:r>
    </w:p>
    <w:p>
      <w:pPr>
        <w:pStyle w:val="TOC2"/>
        <w:tabs>
          <w:tab w:val="right" w:leader="dot" w:pos="7077"/>
        </w:tabs>
        <w:rPr>
          <w:rFonts w:asciiTheme="minorHAnsi" w:eastAsiaTheme="minorEastAsia" w:hAnsiTheme="minorHAnsi" w:cstheme="minorBidi"/>
          <w:b w:val="0"/>
          <w:sz w:val="22"/>
          <w:szCs w:val="22"/>
        </w:rPr>
      </w:pPr>
      <w:r>
        <w:t>Notes</w:t>
      </w:r>
    </w:p>
    <w:p>
      <w:pPr>
        <w:pStyle w:val="TOC8"/>
        <w:keepNext/>
        <w:rPr>
          <w:rFonts w:asciiTheme="minorHAnsi" w:eastAsiaTheme="minorEastAsia" w:hAnsiTheme="minorHAnsi" w:cstheme="minorBidi"/>
          <w:szCs w:val="22"/>
        </w:rPr>
      </w:pPr>
      <w:r>
        <w:tab/>
        <w:t>Compilation table</w:t>
      </w:r>
      <w:r>
        <w:tab/>
      </w:r>
      <w:r>
        <w:fldChar w:fldCharType="begin"/>
      </w:r>
      <w:r>
        <w:instrText xml:space="preserve"> PAGEREF _Toc483476868 \h </w:instrText>
      </w:r>
      <w:r>
        <w:fldChar w:fldCharType="separate"/>
      </w:r>
      <w:r>
        <w:t>28</w:t>
      </w:r>
      <w:r>
        <w:fldChar w:fldCharType="end"/>
      </w:r>
    </w:p>
    <w:p>
      <w:pPr>
        <w:pStyle w:val="TOC2"/>
        <w:tabs>
          <w:tab w:val="right" w:leader="dot" w:pos="7077"/>
        </w:tabs>
        <w:rPr>
          <w:rFonts w:asciiTheme="minorHAnsi" w:eastAsiaTheme="minorEastAsia" w:hAnsiTheme="minorHAnsi" w:cstheme="minorBidi"/>
          <w:b w:val="0"/>
          <w:sz w:val="22"/>
          <w:szCs w:val="22"/>
        </w:rPr>
      </w:pPr>
      <w:r>
        <w:t>Defined terms</w:t>
      </w:r>
    </w:p>
    <w:p>
      <w:pPr>
        <w:pStyle w:val="NoteHeading"/>
      </w:pPr>
      <w:r>
        <w:fldChar w:fldCharType="end"/>
      </w:r>
      <w:r>
        <w:rPr>
          <w:rStyle w:val="CharPartNo"/>
        </w:rPr>
        <w:t xml:space="preserve"> </w:t>
      </w:r>
      <w:r>
        <w:rPr>
          <w:rStyle w:val="CharPartText"/>
        </w:rPr>
        <w:t xml:space="preserve"> </w:t>
      </w:r>
      <w:r>
        <w:rPr>
          <w:rStyle w:val="CharDivNo"/>
        </w:rPr>
        <w:t xml:space="preserve"> </w:t>
      </w:r>
      <w:r>
        <w:rPr>
          <w:rStyle w:val="CharDivText"/>
        </w:rPr>
        <w:t xml:space="preserve"> </w:t>
      </w:r>
      <w:r>
        <w:rPr>
          <w:rStyle w:val="CharSchNo"/>
        </w:rPr>
        <w:t xml:space="preserve"> </w:t>
      </w:r>
      <w:r>
        <w:rPr>
          <w:rStyle w:val="CharSchText"/>
        </w:rPr>
        <w:t xml:space="preserve"> </w:t>
      </w:r>
      <w:r>
        <w:rPr>
          <w:rStyle w:val="CharSDivNo"/>
        </w:rPr>
        <w:t xml:space="preserve"> </w:t>
      </w:r>
      <w:r>
        <w:rPr>
          <w:rStyle w:val="CharSDivText"/>
        </w:rPr>
        <w:t xml:space="preserve"> </w:t>
      </w:r>
      <w:r>
        <w:t xml:space="preserve"> </w:t>
      </w:r>
    </w:p>
    <w:p>
      <w:pPr>
        <w:pStyle w:val="NoteHeading"/>
        <w:sectPr>
          <w:headerReference w:type="even" r:id="rId16"/>
          <w:headerReference w:type="default" r:id="rId17"/>
          <w:footerReference w:type="even" r:id="rId18"/>
          <w:footerReference w:type="default" r:id="rId19"/>
          <w:headerReference w:type="first" r:id="rId20"/>
          <w:footerReference w:type="first" r:id="rId21"/>
          <w:type w:val="oddPage"/>
          <w:pgSz w:w="11907" w:h="16840" w:code="9"/>
          <w:pgMar w:top="2381" w:right="2410" w:bottom="3544" w:left="2410" w:header="720" w:footer="3544" w:gutter="0"/>
          <w:pgNumType w:fmt="lowerRoman" w:start="1"/>
          <w:cols w:space="720"/>
          <w:noEndnote/>
          <w:titlePg/>
        </w:sectPr>
      </w:pPr>
    </w:p>
    <w:tbl>
      <w:tblPr>
        <w:tblW w:w="0" w:type="auto"/>
        <w:tblLayout w:type="fixed"/>
        <w:tblLook w:val="0000" w:firstRow="0" w:lastRow="0" w:firstColumn="0" w:lastColumn="0" w:noHBand="0" w:noVBand="0"/>
      </w:tblPr>
      <w:tblGrid>
        <w:gridCol w:w="2434"/>
        <w:gridCol w:w="2434"/>
        <w:gridCol w:w="2434"/>
      </w:tblGrid>
      <w:tr>
        <w:trPr>
          <w:cantSplit/>
        </w:trPr>
        <w:tc>
          <w:tcPr>
            <w:tcW w:w="2434" w:type="dxa"/>
            <w:vMerge w:val="restart"/>
          </w:tcPr>
          <w:p/>
        </w:tc>
        <w:tc>
          <w:tcPr>
            <w:tcW w:w="2434" w:type="dxa"/>
            <w:vMerge w:val="restart"/>
          </w:tcPr>
          <w:p>
            <w:pPr>
              <w:jc w:val="center"/>
            </w:pPr>
            <w:r>
              <w:rPr>
                <w:noProof/>
              </w:rPr>
              <w:drawing>
                <wp:inline distT="0" distB="0" distL="0" distR="0">
                  <wp:extent cx="533400" cy="476250"/>
                  <wp:effectExtent l="0" t="0" r="0" b="0"/>
                  <wp:docPr id="65" name="Picture 65" descr="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rest"/>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33400" cy="476250"/>
                          </a:xfrm>
                          <a:prstGeom prst="rect">
                            <a:avLst/>
                          </a:prstGeom>
                          <a:noFill/>
                          <a:ln>
                            <a:noFill/>
                          </a:ln>
                        </pic:spPr>
                      </pic:pic>
                    </a:graphicData>
                  </a:graphic>
                </wp:inline>
              </w:drawing>
            </w:r>
          </w:p>
        </w:tc>
        <w:tc>
          <w:tcPr>
            <w:tcW w:w="2434" w:type="dxa"/>
          </w:tcPr>
          <w:p>
            <w:r>
              <w:rPr>
                <w:b/>
                <w:sz w:val="22"/>
              </w:rPr>
              <w:t xml:space="preserve">Reprinted under the </w:t>
            </w:r>
            <w:r>
              <w:rPr>
                <w:b/>
                <w:i/>
                <w:sz w:val="22"/>
              </w:rPr>
              <w:t>Reprints Act 1984</w:t>
            </w:r>
            <w:r>
              <w:rPr>
                <w:b/>
                <w:sz w:val="22"/>
              </w:rPr>
              <w:t xml:space="preserve"> as</w:t>
            </w:r>
          </w:p>
        </w:tc>
      </w:tr>
      <w:tr>
        <w:trPr>
          <w:cantSplit/>
        </w:trPr>
        <w:tc>
          <w:tcPr>
            <w:tcW w:w="2434" w:type="dxa"/>
            <w:vMerge/>
          </w:tcPr>
          <w:p/>
        </w:tc>
        <w:tc>
          <w:tcPr>
            <w:tcW w:w="2434" w:type="dxa"/>
            <w:vMerge/>
          </w:tcPr>
          <w:p>
            <w:pPr>
              <w:jc w:val="center"/>
            </w:pPr>
          </w:p>
        </w:tc>
        <w:tc>
          <w:tcPr>
            <w:tcW w:w="2434" w:type="dxa"/>
          </w:tcPr>
          <w:p>
            <w:pPr>
              <w:keepNext/>
              <w:rPr>
                <w:b/>
                <w:sz w:val="22"/>
              </w:rPr>
            </w:pPr>
            <w:r>
              <w:rPr>
                <w:b/>
                <w:sz w:val="22"/>
              </w:rPr>
              <w:t xml:space="preserve">at </w:t>
            </w:r>
            <w:r>
              <w:rPr>
                <w:b/>
                <w:sz w:val="22"/>
              </w:rPr>
              <w:fldChar w:fldCharType="begin"/>
            </w:r>
            <w:r>
              <w:rPr>
                <w:b/>
                <w:sz w:val="22"/>
              </w:rPr>
              <w:instrText xml:space="preserve"> DOCPROPERTY "ReprintedAsAt"  \@ "d MMMM yyyy" </w:instrText>
            </w:r>
            <w:r>
              <w:rPr>
                <w:b/>
                <w:sz w:val="22"/>
              </w:rPr>
              <w:fldChar w:fldCharType="separate"/>
            </w:r>
            <w:r>
              <w:rPr>
                <w:b/>
                <w:sz w:val="22"/>
              </w:rPr>
              <w:t>19 May 2017</w:t>
            </w:r>
            <w:r>
              <w:rPr>
                <w:b/>
                <w:sz w:val="22"/>
              </w:rPr>
              <w:fldChar w:fldCharType="end"/>
            </w:r>
          </w:p>
        </w:tc>
      </w:tr>
    </w:tbl>
    <w:p>
      <w:pPr>
        <w:pStyle w:val="WA"/>
        <w:spacing w:before="12"/>
      </w:pPr>
      <w:r>
        <w:t>Western Australia</w:t>
      </w:r>
    </w:p>
    <w:p>
      <w:pPr>
        <w:pStyle w:val="PrincipalActReg"/>
        <w:rPr>
          <w:vertAlign w:val="superscript"/>
        </w:rPr>
      </w:pPr>
      <w:r>
        <w:t>Country Areas Water Supply Act 1947 </w:t>
      </w:r>
      <w:r>
        <w:rPr>
          <w:vertAlign w:val="superscript"/>
        </w:rPr>
        <w:t>2</w:t>
      </w:r>
    </w:p>
    <w:p>
      <w:pPr>
        <w:pStyle w:val="NameofActReg"/>
        <w:spacing w:after="800"/>
      </w:pPr>
      <w:r>
        <w:t>Country Areas Water Supply By</w:t>
      </w:r>
      <w:r>
        <w:noBreakHyphen/>
        <w:t>laws 1957</w:t>
      </w:r>
    </w:p>
    <w:p>
      <w:pPr>
        <w:pStyle w:val="Heading3"/>
        <w:spacing w:before="120"/>
      </w:pPr>
      <w:bookmarkStart w:id="3" w:name="_Toc478720738"/>
      <w:bookmarkStart w:id="4" w:name="_Toc483215298"/>
      <w:bookmarkStart w:id="5" w:name="_Toc483383649"/>
      <w:bookmarkStart w:id="6" w:name="_Toc483476818"/>
      <w:r>
        <w:rPr>
          <w:rStyle w:val="CharPartNo"/>
        </w:rPr>
        <w:t>Division 1</w:t>
      </w:r>
      <w:r>
        <w:rPr>
          <w:rStyle w:val="CharDivNo"/>
        </w:rPr>
        <w:t> </w:t>
      </w:r>
      <w:r>
        <w:t>—</w:t>
      </w:r>
      <w:r>
        <w:rPr>
          <w:rStyle w:val="CharDivText"/>
        </w:rPr>
        <w:t> </w:t>
      </w:r>
      <w:r>
        <w:rPr>
          <w:rStyle w:val="CharPartText"/>
        </w:rPr>
        <w:t>Preliminary</w:t>
      </w:r>
      <w:bookmarkEnd w:id="3"/>
      <w:bookmarkEnd w:id="4"/>
      <w:bookmarkEnd w:id="5"/>
      <w:bookmarkEnd w:id="6"/>
    </w:p>
    <w:p>
      <w:pPr>
        <w:pStyle w:val="Footnoteheading"/>
        <w:rPr>
          <w:snapToGrid w:val="0"/>
        </w:rPr>
      </w:pPr>
      <w:r>
        <w:rPr>
          <w:snapToGrid w:val="0"/>
        </w:rPr>
        <w:tab/>
        <w:t>[Heading inserted in Gazette 29 May 2001 p. 2707.]</w:t>
      </w:r>
    </w:p>
    <w:p>
      <w:pPr>
        <w:pStyle w:val="Heading5"/>
        <w:rPr>
          <w:snapToGrid w:val="0"/>
        </w:rPr>
      </w:pPr>
      <w:bookmarkStart w:id="7" w:name="_Toc483476819"/>
      <w:r>
        <w:rPr>
          <w:rStyle w:val="CharSectno"/>
        </w:rPr>
        <w:t>1</w:t>
      </w:r>
      <w:r>
        <w:rPr>
          <w:snapToGrid w:val="0"/>
        </w:rPr>
        <w:t>.</w:t>
      </w:r>
      <w:r>
        <w:rPr>
          <w:snapToGrid w:val="0"/>
        </w:rPr>
        <w:tab/>
        <w:t>Citation, commencement and application</w:t>
      </w:r>
      <w:bookmarkEnd w:id="7"/>
    </w:p>
    <w:p>
      <w:pPr>
        <w:pStyle w:val="Subsection"/>
        <w:rPr>
          <w:snapToGrid w:val="0"/>
        </w:rPr>
      </w:pPr>
      <w:r>
        <w:rPr>
          <w:snapToGrid w:val="0"/>
        </w:rPr>
        <w:tab/>
        <w:t>(1a)</w:t>
      </w:r>
      <w:r>
        <w:rPr>
          <w:snapToGrid w:val="0"/>
        </w:rPr>
        <w:tab/>
        <w:t>These by</w:t>
      </w:r>
      <w:r>
        <w:rPr>
          <w:snapToGrid w:val="0"/>
        </w:rPr>
        <w:noBreakHyphen/>
        <w:t xml:space="preserve">laws may be cited as the </w:t>
      </w:r>
      <w:r>
        <w:rPr>
          <w:i/>
          <w:snapToGrid w:val="0"/>
        </w:rPr>
        <w:t>Country Areas Water Supply By</w:t>
      </w:r>
      <w:r>
        <w:rPr>
          <w:i/>
          <w:snapToGrid w:val="0"/>
        </w:rPr>
        <w:noBreakHyphen/>
        <w:t>laws 1957</w:t>
      </w:r>
      <w:r>
        <w:rPr>
          <w:snapToGrid w:val="0"/>
        </w:rPr>
        <w:t> </w:t>
      </w:r>
      <w:r>
        <w:rPr>
          <w:snapToGrid w:val="0"/>
          <w:vertAlign w:val="superscript"/>
        </w:rPr>
        <w:t>1</w:t>
      </w:r>
      <w:r>
        <w:rPr>
          <w:snapToGrid w:val="0"/>
        </w:rPr>
        <w:t>.</w:t>
      </w:r>
    </w:p>
    <w:p>
      <w:pPr>
        <w:pStyle w:val="Subsection"/>
        <w:rPr>
          <w:snapToGrid w:val="0"/>
        </w:rPr>
      </w:pPr>
      <w:r>
        <w:rPr>
          <w:snapToGrid w:val="0"/>
        </w:rPr>
        <w:tab/>
        <w:t>(1)</w:t>
      </w:r>
      <w:r>
        <w:rPr>
          <w:snapToGrid w:val="0"/>
        </w:rPr>
        <w:tab/>
        <w:t>These by</w:t>
      </w:r>
      <w:r>
        <w:rPr>
          <w:snapToGrid w:val="0"/>
        </w:rPr>
        <w:noBreakHyphen/>
        <w:t xml:space="preserve">laws shall take effect and have the force of law on and after 1 July 1957, in every catchment area and water reserve constituted under </w:t>
      </w:r>
      <w:r>
        <w:t xml:space="preserve">section 9 </w:t>
      </w:r>
      <w:r>
        <w:rPr>
          <w:snapToGrid w:val="0"/>
        </w:rPr>
        <w:t>of the principal Act.</w:t>
      </w:r>
    </w:p>
    <w:p>
      <w:pPr>
        <w:pStyle w:val="Subsection"/>
      </w:pPr>
      <w:r>
        <w:tab/>
        <w:t>(2)</w:t>
      </w:r>
      <w:r>
        <w:tab/>
        <w:t>Despite sub</w:t>
      </w:r>
      <w:r>
        <w:noBreakHyphen/>
        <w:t>bylaw (1), these by</w:t>
      </w:r>
      <w:r>
        <w:noBreakHyphen/>
        <w:t xml:space="preserve">laws do not apply to — </w:t>
      </w:r>
    </w:p>
    <w:p>
      <w:pPr>
        <w:pStyle w:val="Indenta"/>
      </w:pPr>
      <w:r>
        <w:tab/>
        <w:t>(a)</w:t>
      </w:r>
      <w:r>
        <w:tab/>
        <w:t>the Wellington Dam Catchment Area, except for the Mungalup Dam Catchment; or</w:t>
      </w:r>
    </w:p>
    <w:p>
      <w:pPr>
        <w:pStyle w:val="Indenta"/>
      </w:pPr>
      <w:r>
        <w:tab/>
        <w:t>(b)</w:t>
      </w:r>
      <w:r>
        <w:tab/>
        <w:t>the Kent River Water Reserve; or</w:t>
      </w:r>
    </w:p>
    <w:p>
      <w:pPr>
        <w:pStyle w:val="Indenta"/>
      </w:pPr>
      <w:r>
        <w:tab/>
        <w:t>(c)</w:t>
      </w:r>
      <w:r>
        <w:tab/>
        <w:t>the Warren River Water Reserve, except for those parts of the reserve that are also catchment areas.</w:t>
      </w:r>
    </w:p>
    <w:p>
      <w:pPr>
        <w:pStyle w:val="Subsection"/>
      </w:pPr>
      <w:r>
        <w:tab/>
        <w:t>(3)</w:t>
      </w:r>
      <w:r>
        <w:tab/>
        <w:t>The boundaries of the Mungalup Dam Catchment are, for the purposes of sub</w:t>
      </w:r>
      <w:r>
        <w:noBreakHyphen/>
        <w:t xml:space="preserve">bylaw (2) — </w:t>
      </w:r>
    </w:p>
    <w:p>
      <w:pPr>
        <w:pStyle w:val="Indenta"/>
      </w:pPr>
      <w:r>
        <w:tab/>
        <w:t>(a)</w:t>
      </w:r>
      <w:r>
        <w:tab/>
        <w:t>defined by reference to the coordinates annexed to the Department of Water Plan WT 6564 titled “Mungalup Dam Catchment” and dated 3/09/2013; and</w:t>
      </w:r>
    </w:p>
    <w:p>
      <w:pPr>
        <w:pStyle w:val="Indenta"/>
      </w:pPr>
      <w:r>
        <w:tab/>
        <w:t>(b)</w:t>
      </w:r>
      <w:r>
        <w:tab/>
        <w:t>shown, for information, on the maps in Schedule 4.</w:t>
      </w:r>
    </w:p>
    <w:p>
      <w:pPr>
        <w:pStyle w:val="PermNoteHeading"/>
      </w:pPr>
      <w:r>
        <w:tab/>
        <w:t>Note for this sub</w:t>
      </w:r>
      <w:r>
        <w:noBreakHyphen/>
        <w:t>bylaw:</w:t>
      </w:r>
    </w:p>
    <w:p>
      <w:pPr>
        <w:pStyle w:val="PermNoteText"/>
      </w:pPr>
      <w:r>
        <w:tab/>
      </w:r>
      <w:r>
        <w:tab/>
        <w:t>The map referred to in sub</w:t>
      </w:r>
      <w:r>
        <w:noBreakHyphen/>
        <w:t>bylaw (3)(a) is available for inspection at the Head Office of the Department of Water and on the Department’s website.</w:t>
      </w:r>
    </w:p>
    <w:p>
      <w:pPr>
        <w:pStyle w:val="Subsection"/>
      </w:pPr>
      <w:r>
        <w:tab/>
        <w:t>(4)</w:t>
      </w:r>
      <w:r>
        <w:tab/>
        <w:t>In sub</w:t>
      </w:r>
      <w:r>
        <w:noBreakHyphen/>
        <w:t xml:space="preserve">bylaw (3) — </w:t>
      </w:r>
    </w:p>
    <w:p>
      <w:pPr>
        <w:pStyle w:val="Defstart"/>
      </w:pPr>
      <w:r>
        <w:tab/>
      </w:r>
      <w:r>
        <w:rPr>
          <w:rStyle w:val="CharDefText"/>
        </w:rPr>
        <w:t>coordinates</w:t>
      </w:r>
      <w:r>
        <w:t xml:space="preserve"> means Map Grid of Australia 1994 grid coordinates in Zone 50 of the Universal Transverse Mercator Grid System based on the Geocentric Datum of Australia.</w:t>
      </w:r>
    </w:p>
    <w:p>
      <w:pPr>
        <w:pStyle w:val="Footnotesection"/>
      </w:pPr>
      <w:r>
        <w:tab/>
        <w:t>[By</w:t>
      </w:r>
      <w:r>
        <w:noBreakHyphen/>
        <w:t>law 1 amended in Gazette 11 Nov 1983 p. 4525; 14 Nov 2013 p. 5033; 15 Nov 2013 p. 5267-8; 8 May 2015 p. 1622.]</w:t>
      </w:r>
    </w:p>
    <w:p>
      <w:pPr>
        <w:pStyle w:val="Heading5"/>
        <w:rPr>
          <w:snapToGrid w:val="0"/>
        </w:rPr>
      </w:pPr>
      <w:bookmarkStart w:id="8" w:name="_Toc483476820"/>
      <w:r>
        <w:rPr>
          <w:rStyle w:val="CharSectno"/>
        </w:rPr>
        <w:t>1A</w:t>
      </w:r>
      <w:r>
        <w:rPr>
          <w:snapToGrid w:val="0"/>
        </w:rPr>
        <w:t>.</w:t>
      </w:r>
      <w:r>
        <w:rPr>
          <w:snapToGrid w:val="0"/>
        </w:rPr>
        <w:tab/>
        <w:t>Terms used</w:t>
      </w:r>
      <w:bookmarkEnd w:id="8"/>
    </w:p>
    <w:p>
      <w:pPr>
        <w:pStyle w:val="Subsection"/>
        <w:keepNext/>
        <w:keepLines/>
        <w:rPr>
          <w:snapToGrid w:val="0"/>
        </w:rPr>
      </w:pPr>
      <w:r>
        <w:rPr>
          <w:snapToGrid w:val="0"/>
        </w:rPr>
        <w:tab/>
        <w:t>(1)</w:t>
      </w:r>
      <w:r>
        <w:rPr>
          <w:snapToGrid w:val="0"/>
        </w:rPr>
        <w:tab/>
      </w:r>
      <w:r>
        <w:t>In these by</w:t>
      </w:r>
      <w:r>
        <w:noBreakHyphen/>
        <w:t>laws, unless the context otherwise requires —</w:t>
      </w:r>
    </w:p>
    <w:p>
      <w:pPr>
        <w:pStyle w:val="Defstart"/>
      </w:pPr>
      <w:r>
        <w:tab/>
      </w:r>
      <w:r>
        <w:rPr>
          <w:rStyle w:val="CharDefText"/>
        </w:rPr>
        <w:t>Aboriginal customary purpose</w:t>
      </w:r>
      <w:r>
        <w:t xml:space="preserve"> means — </w:t>
      </w:r>
    </w:p>
    <w:p>
      <w:pPr>
        <w:pStyle w:val="Defpara"/>
      </w:pPr>
      <w:r>
        <w:tab/>
        <w:t>(a)</w:t>
      </w:r>
      <w:r>
        <w:tab/>
        <w:t>preparing or consuming food customarily eaten by Aboriginal persons; or</w:t>
      </w:r>
    </w:p>
    <w:p>
      <w:pPr>
        <w:pStyle w:val="Defpara"/>
      </w:pPr>
      <w:r>
        <w:tab/>
        <w:t>(b)</w:t>
      </w:r>
      <w:r>
        <w:tab/>
        <w:t>preparing or using medicine customarily used by Aboriginal persons; or</w:t>
      </w:r>
    </w:p>
    <w:p>
      <w:pPr>
        <w:pStyle w:val="Indenta"/>
      </w:pPr>
      <w:r>
        <w:tab/>
        <w:t>(c)</w:t>
      </w:r>
      <w:r>
        <w:tab/>
        <w:t>engaging in artistic, ceremonial or other cultural activities customarily engaged in by Aboriginal persons; or</w:t>
      </w:r>
    </w:p>
    <w:p>
      <w:pPr>
        <w:pStyle w:val="Defpara"/>
      </w:pPr>
      <w:r>
        <w:tab/>
        <w:t>(d)</w:t>
      </w:r>
      <w:r>
        <w:tab/>
        <w:t>engaging in activities incidental to a purpose stated in paragraph (a), (b) or (c);</w:t>
      </w:r>
    </w:p>
    <w:p>
      <w:pPr>
        <w:pStyle w:val="Defstart"/>
      </w:pPr>
      <w:r>
        <w:rPr>
          <w:b/>
        </w:rPr>
        <w:tab/>
      </w:r>
      <w:r>
        <w:rPr>
          <w:rStyle w:val="CharDefText"/>
        </w:rPr>
        <w:t>feeder</w:t>
      </w:r>
      <w:r>
        <w:t xml:space="preserve"> means a watercourse, creek, stream or other channel with permanent or intermittent flow whereby water is or can be conveyed to a reservoir;</w:t>
      </w:r>
    </w:p>
    <w:p>
      <w:pPr>
        <w:pStyle w:val="Defstart"/>
      </w:pPr>
      <w:r>
        <w:rPr>
          <w:b/>
        </w:rPr>
        <w:tab/>
      </w:r>
      <w:r>
        <w:rPr>
          <w:rStyle w:val="CharDefText"/>
        </w:rPr>
        <w:t>inspector</w:t>
      </w:r>
      <w:r>
        <w:t xml:space="preserve"> means an inspector appointed by the Corporation or the CEO for the purposes of these by</w:t>
      </w:r>
      <w:r>
        <w:noBreakHyphen/>
        <w:t>laws;</w:t>
      </w:r>
    </w:p>
    <w:p>
      <w:pPr>
        <w:pStyle w:val="Defstart"/>
      </w:pPr>
      <w:r>
        <w:tab/>
      </w:r>
      <w:r>
        <w:rPr>
          <w:rStyle w:val="CharDefText"/>
        </w:rPr>
        <w:t>liquid waste</w:t>
      </w:r>
      <w:r>
        <w:t xml:space="preserve"> means liquid wastes as defined in the </w:t>
      </w:r>
      <w:r>
        <w:rPr>
          <w:i/>
        </w:rPr>
        <w:t>Health (Treatment of Sewage and Disposal of Effluent and Liquid Waste) Regulations 1974</w:t>
      </w:r>
      <w:r>
        <w:t xml:space="preserve"> regulation 3;</w:t>
      </w:r>
    </w:p>
    <w:p>
      <w:pPr>
        <w:pStyle w:val="Defstart"/>
      </w:pPr>
      <w:r>
        <w:tab/>
      </w:r>
      <w:r>
        <w:rPr>
          <w:rStyle w:val="CharDefText"/>
        </w:rPr>
        <w:t>Noongar people</w:t>
      </w:r>
      <w:r>
        <w:t xml:space="preserve"> means the traditional owners of the lands in the South West Settlement Area;</w:t>
      </w:r>
    </w:p>
    <w:p>
      <w:pPr>
        <w:pStyle w:val="Defstart"/>
      </w:pPr>
      <w:r>
        <w:rPr>
          <w:b/>
        </w:rPr>
        <w:tab/>
      </w:r>
      <w:r>
        <w:rPr>
          <w:rStyle w:val="CharDefText"/>
        </w:rPr>
        <w:t>principal Act</w:t>
      </w:r>
      <w:r>
        <w:t xml:space="preserve"> means the </w:t>
      </w:r>
      <w:r>
        <w:rPr>
          <w:i/>
        </w:rPr>
        <w:t>Country Areas Water Supply Act 1947</w:t>
      </w:r>
      <w:r>
        <w:t>, as amended;</w:t>
      </w:r>
    </w:p>
    <w:p>
      <w:pPr>
        <w:pStyle w:val="Defstart"/>
      </w:pPr>
      <w:r>
        <w:tab/>
      </w:r>
      <w:r>
        <w:rPr>
          <w:rStyle w:val="CharDefText"/>
        </w:rPr>
        <w:t>South West Settlement Area</w:t>
      </w:r>
      <w:r>
        <w:t xml:space="preserve"> means the area of lands described in Schedule 1 and shown, for information purposes, on the map in Schedule 2;</w:t>
      </w:r>
    </w:p>
    <w:p>
      <w:pPr>
        <w:pStyle w:val="Defstart"/>
      </w:pPr>
      <w:r>
        <w:tab/>
      </w:r>
      <w:r>
        <w:rPr>
          <w:rStyle w:val="CharDefText"/>
        </w:rPr>
        <w:t>special provision catchment area</w:t>
      </w:r>
      <w:r>
        <w:t xml:space="preserve"> means a catchment area within the South West Settlement Area.</w:t>
      </w:r>
    </w:p>
    <w:p>
      <w:pPr>
        <w:pStyle w:val="Subsection"/>
      </w:pPr>
      <w:r>
        <w:tab/>
        <w:t>(2)</w:t>
      </w:r>
      <w:r>
        <w:tab/>
        <w:t>In these by</w:t>
      </w:r>
      <w:r>
        <w:noBreakHyphen/>
        <w:t>laws, unless the context otherwise requires, words and expressions have the same meanings as in the principal Act.</w:t>
      </w:r>
    </w:p>
    <w:p>
      <w:pPr>
        <w:pStyle w:val="Subsection"/>
      </w:pPr>
      <w:r>
        <w:tab/>
        <w:t>(3)</w:t>
      </w:r>
      <w:r>
        <w:tab/>
        <w:t>In these by</w:t>
      </w:r>
      <w:r>
        <w:noBreakHyphen/>
        <w:t xml:space="preserve">laws, unless the context otherwise requires, </w:t>
      </w:r>
      <w:r>
        <w:rPr>
          <w:rStyle w:val="CharDefText"/>
        </w:rPr>
        <w:t>cesspool</w:t>
      </w:r>
      <w:r>
        <w:t>,</w:t>
      </w:r>
      <w:r>
        <w:rPr>
          <w:b/>
        </w:rPr>
        <w:t xml:space="preserve"> </w:t>
      </w:r>
      <w:r>
        <w:rPr>
          <w:rStyle w:val="CharDefText"/>
        </w:rPr>
        <w:t>drain</w:t>
      </w:r>
      <w:r>
        <w:t>,</w:t>
      </w:r>
      <w:r>
        <w:rPr>
          <w:b/>
        </w:rPr>
        <w:t xml:space="preserve"> </w:t>
      </w:r>
      <w:r>
        <w:rPr>
          <w:rStyle w:val="CharDefText"/>
        </w:rPr>
        <w:t>house</w:t>
      </w:r>
      <w:r>
        <w:t>,</w:t>
      </w:r>
      <w:r>
        <w:rPr>
          <w:b/>
        </w:rPr>
        <w:t xml:space="preserve"> </w:t>
      </w:r>
      <w:r>
        <w:rPr>
          <w:rStyle w:val="CharDefText"/>
        </w:rPr>
        <w:t>land</w:t>
      </w:r>
      <w:r>
        <w:t>,</w:t>
      </w:r>
      <w:r>
        <w:rPr>
          <w:b/>
        </w:rPr>
        <w:t xml:space="preserve"> </w:t>
      </w:r>
      <w:r>
        <w:rPr>
          <w:rStyle w:val="CharDefText"/>
        </w:rPr>
        <w:t>owner</w:t>
      </w:r>
      <w:r>
        <w:t xml:space="preserve"> have the same meanings as they have in section 3 of the </w:t>
      </w:r>
      <w:r>
        <w:rPr>
          <w:i/>
        </w:rPr>
        <w:t>Health (Miscellaneous Provisions) Act 1911</w:t>
      </w:r>
      <w:r>
        <w:t>.</w:t>
      </w:r>
    </w:p>
    <w:p>
      <w:pPr>
        <w:pStyle w:val="Footnotesection"/>
      </w:pPr>
      <w:r>
        <w:tab/>
        <w:t>[By</w:t>
      </w:r>
      <w:r>
        <w:noBreakHyphen/>
        <w:t>law 1A amended in Gazette 22 Dec 1964 p. 4067</w:t>
      </w:r>
      <w:r>
        <w:noBreakHyphen/>
        <w:t>8; 15 Dec 1966 p. 3305; 30 Jun 1967 p. 1718; 24 Jul 1968 p. 2111; 8 Nov 1974 p. 5012; 17 Nov 1978 p. 4310</w:t>
      </w:r>
      <w:r>
        <w:noBreakHyphen/>
        <w:t>1; 26 Jun 1981 p. 2318; 7 Sep 1984 p. 2873; 22 Nov 1985 p. 4413; 14 Jul 1987 p. 2649; 22 Dec 1989 p. 4627; 29 Dec 1995 p. 6306, 6308</w:t>
      </w:r>
      <w:r>
        <w:noBreakHyphen/>
        <w:t>9 and 6310; 25 Aug 1998 p. 4735</w:t>
      </w:r>
      <w:r>
        <w:noBreakHyphen/>
        <w:t>6; 16 Jun 2000 p. 2961; 29 May 2001 p. 2705</w:t>
      </w:r>
      <w:r>
        <w:noBreakHyphen/>
        <w:t>6; 28 Jun 2004 p. 2390; 23 May 2008 p. 2006; 21 Apr 2011 p. 1472; 14 Nov 2013 p. 5034; 7 Jun 2016 p. 1777</w:t>
      </w:r>
      <w:r>
        <w:noBreakHyphen/>
        <w:t>8; 10 Jan 2017 p. 234.]</w:t>
      </w:r>
    </w:p>
    <w:p>
      <w:pPr>
        <w:pStyle w:val="Heading3"/>
      </w:pPr>
      <w:bookmarkStart w:id="9" w:name="_Toc478720741"/>
      <w:bookmarkStart w:id="10" w:name="_Toc483215301"/>
      <w:bookmarkStart w:id="11" w:name="_Toc483383652"/>
      <w:bookmarkStart w:id="12" w:name="_Toc483476821"/>
      <w:r>
        <w:rPr>
          <w:rStyle w:val="CharPartNo"/>
        </w:rPr>
        <w:t>Division 2</w:t>
      </w:r>
      <w:r>
        <w:rPr>
          <w:rStyle w:val="CharDivNo"/>
        </w:rPr>
        <w:t> </w:t>
      </w:r>
      <w:r>
        <w:t>—</w:t>
      </w:r>
      <w:r>
        <w:rPr>
          <w:rStyle w:val="CharDivText"/>
        </w:rPr>
        <w:t> </w:t>
      </w:r>
      <w:r>
        <w:rPr>
          <w:rStyle w:val="CharPartText"/>
        </w:rPr>
        <w:t>Prevention of pollution in water reserves and catchment areas</w:t>
      </w:r>
      <w:bookmarkEnd w:id="9"/>
      <w:bookmarkEnd w:id="10"/>
      <w:bookmarkEnd w:id="11"/>
      <w:bookmarkEnd w:id="12"/>
    </w:p>
    <w:p>
      <w:pPr>
        <w:pStyle w:val="Footnoteheading"/>
        <w:keepNext/>
        <w:keepLines/>
        <w:spacing w:before="100"/>
      </w:pPr>
      <w:r>
        <w:tab/>
        <w:t>[Heading inserted in Gazette 29 May 2001 p. 2707.]</w:t>
      </w:r>
    </w:p>
    <w:p>
      <w:pPr>
        <w:pStyle w:val="Heading5"/>
        <w:rPr>
          <w:snapToGrid w:val="0"/>
        </w:rPr>
      </w:pPr>
      <w:bookmarkStart w:id="13" w:name="_Toc483476822"/>
      <w:r>
        <w:rPr>
          <w:rStyle w:val="CharSectno"/>
        </w:rPr>
        <w:t>2</w:t>
      </w:r>
      <w:r>
        <w:rPr>
          <w:snapToGrid w:val="0"/>
        </w:rPr>
        <w:t>.</w:t>
      </w:r>
      <w:r>
        <w:rPr>
          <w:snapToGrid w:val="0"/>
        </w:rPr>
        <w:tab/>
        <w:t>Application of Division</w:t>
      </w:r>
      <w:bookmarkEnd w:id="13"/>
    </w:p>
    <w:p>
      <w:pPr>
        <w:pStyle w:val="Subsection"/>
        <w:spacing w:before="100"/>
        <w:rPr>
          <w:snapToGrid w:val="0"/>
        </w:rPr>
      </w:pPr>
      <w:r>
        <w:rPr>
          <w:snapToGrid w:val="0"/>
        </w:rPr>
        <w:tab/>
      </w:r>
      <w:r>
        <w:rPr>
          <w:snapToGrid w:val="0"/>
        </w:rPr>
        <w:tab/>
        <w:t>Subject</w:t>
      </w:r>
      <w:r>
        <w:t xml:space="preserve"> to by</w:t>
      </w:r>
      <w:r>
        <w:noBreakHyphen/>
        <w:t>law 1(2), the by</w:t>
      </w:r>
      <w:r>
        <w:noBreakHyphen/>
        <w:t>laws</w:t>
      </w:r>
      <w:r>
        <w:rPr>
          <w:snapToGrid w:val="0"/>
        </w:rPr>
        <w:t xml:space="preserve"> in this Division apply to all water reserves and catchment areas constituted for the purpose of the principal or any amending Act.</w:t>
      </w:r>
    </w:p>
    <w:p>
      <w:pPr>
        <w:pStyle w:val="Footnotesection"/>
      </w:pPr>
      <w:r>
        <w:tab/>
        <w:t>[By</w:t>
      </w:r>
      <w:r>
        <w:noBreakHyphen/>
        <w:t>law 2 amended in Gazette 15 Nov 2013 p. 5268.]</w:t>
      </w:r>
    </w:p>
    <w:p>
      <w:pPr>
        <w:pStyle w:val="Heading5"/>
        <w:rPr>
          <w:snapToGrid w:val="0"/>
        </w:rPr>
      </w:pPr>
      <w:bookmarkStart w:id="14" w:name="_Toc483476823"/>
      <w:r>
        <w:rPr>
          <w:rStyle w:val="CharSectno"/>
        </w:rPr>
        <w:t>3</w:t>
      </w:r>
      <w:r>
        <w:rPr>
          <w:snapToGrid w:val="0"/>
        </w:rPr>
        <w:t>.</w:t>
      </w:r>
      <w:r>
        <w:rPr>
          <w:snapToGrid w:val="0"/>
        </w:rPr>
        <w:tab/>
        <w:t>Cesspools to be filled in on notice from CEO</w:t>
      </w:r>
      <w:bookmarkEnd w:id="14"/>
    </w:p>
    <w:p>
      <w:pPr>
        <w:pStyle w:val="Subsection"/>
        <w:spacing w:before="100"/>
        <w:rPr>
          <w:snapToGrid w:val="0"/>
        </w:rPr>
      </w:pPr>
      <w:r>
        <w:rPr>
          <w:snapToGrid w:val="0"/>
        </w:rPr>
        <w:tab/>
      </w:r>
      <w:r>
        <w:rPr>
          <w:snapToGrid w:val="0"/>
        </w:rPr>
        <w:tab/>
        <w:t xml:space="preserve">All existing cesspools, within the catchment areas shall be cleansed and filled up to the satisfaction of an inspector, within one calendar month after notice, in writing, to that effect has been given by or with the authority of the </w:t>
      </w:r>
      <w:r>
        <w:t>CEO</w:t>
      </w:r>
      <w:r>
        <w:rPr>
          <w:snapToGrid w:val="0"/>
        </w:rPr>
        <w:t xml:space="preserve"> to the occupier or owner of the premises concerned.</w:t>
      </w:r>
    </w:p>
    <w:p>
      <w:pPr>
        <w:pStyle w:val="Footnotesection"/>
        <w:spacing w:before="100"/>
        <w:ind w:left="890" w:hanging="890"/>
      </w:pPr>
      <w:r>
        <w:tab/>
        <w:t>[By</w:t>
      </w:r>
      <w:r>
        <w:noBreakHyphen/>
        <w:t>law 3 amended in Gazette 29 Dec 1995 p. 6309; 21 Apr 2011 p. 1472.]</w:t>
      </w:r>
    </w:p>
    <w:p>
      <w:pPr>
        <w:pStyle w:val="Heading5"/>
        <w:spacing w:before="180"/>
        <w:rPr>
          <w:snapToGrid w:val="0"/>
        </w:rPr>
      </w:pPr>
      <w:bookmarkStart w:id="15" w:name="_Toc483476824"/>
      <w:r>
        <w:rPr>
          <w:rStyle w:val="CharSectno"/>
        </w:rPr>
        <w:t>4</w:t>
      </w:r>
      <w:r>
        <w:rPr>
          <w:snapToGrid w:val="0"/>
        </w:rPr>
        <w:t>.</w:t>
      </w:r>
      <w:r>
        <w:rPr>
          <w:snapToGrid w:val="0"/>
        </w:rPr>
        <w:tab/>
        <w:t>Closets, situation of, removal</w:t>
      </w:r>
      <w:bookmarkEnd w:id="15"/>
    </w:p>
    <w:p>
      <w:pPr>
        <w:pStyle w:val="Subsection"/>
        <w:spacing w:before="100"/>
        <w:rPr>
          <w:snapToGrid w:val="0"/>
        </w:rPr>
      </w:pPr>
      <w:r>
        <w:rPr>
          <w:snapToGrid w:val="0"/>
        </w:rPr>
        <w:tab/>
      </w:r>
      <w:r>
        <w:rPr>
          <w:snapToGrid w:val="0"/>
        </w:rPr>
        <w:tab/>
        <w:t>Closets shall not be constructed within 50 m of high</w:t>
      </w:r>
      <w:r>
        <w:rPr>
          <w:snapToGrid w:val="0"/>
        </w:rPr>
        <w:noBreakHyphen/>
        <w:t>water mark, or of any well or bore, and any closet situated within 50 m of high</w:t>
      </w:r>
      <w:r>
        <w:rPr>
          <w:snapToGrid w:val="0"/>
        </w:rPr>
        <w:noBreakHyphen/>
        <w:t xml:space="preserve">water mark, or of any well or bore, shall within one calendar month of notice to that effect being given to the owner or occupier by the </w:t>
      </w:r>
      <w:r>
        <w:t>CEO</w:t>
      </w:r>
      <w:r>
        <w:rPr>
          <w:snapToGrid w:val="0"/>
        </w:rPr>
        <w:t xml:space="preserve"> or by an inspector, be taken down and the cesspool, if it exists, cleansed and a fire made therein, after which the cesspool shall be filled up to the satisfaction of the inspector by the owner or occupier of the house to which the closet or cesspool is appurtenant.</w:t>
      </w:r>
    </w:p>
    <w:p>
      <w:pPr>
        <w:pStyle w:val="Footnotesection"/>
        <w:spacing w:before="100"/>
        <w:ind w:left="890" w:hanging="890"/>
      </w:pPr>
      <w:r>
        <w:tab/>
        <w:t>[By</w:t>
      </w:r>
      <w:r>
        <w:noBreakHyphen/>
        <w:t>law 4 amended in Gazette 29 Dec 1995 p. 6309; 29 May 2001 p. 2706; 21 Apr 2011 p. 1472.]</w:t>
      </w:r>
    </w:p>
    <w:p>
      <w:pPr>
        <w:pStyle w:val="Heading5"/>
        <w:spacing w:before="180"/>
        <w:rPr>
          <w:snapToGrid w:val="0"/>
        </w:rPr>
      </w:pPr>
      <w:bookmarkStart w:id="16" w:name="_Toc483476825"/>
      <w:r>
        <w:rPr>
          <w:rStyle w:val="CharSectno"/>
        </w:rPr>
        <w:t>5</w:t>
      </w:r>
      <w:r>
        <w:rPr>
          <w:snapToGrid w:val="0"/>
        </w:rPr>
        <w:t>.</w:t>
      </w:r>
      <w:r>
        <w:rPr>
          <w:snapToGrid w:val="0"/>
        </w:rPr>
        <w:tab/>
        <w:t>Houses to have approved sanitary conveniences</w:t>
      </w:r>
      <w:bookmarkEnd w:id="16"/>
    </w:p>
    <w:p>
      <w:pPr>
        <w:pStyle w:val="Subsection"/>
        <w:keepNext/>
        <w:spacing w:before="120"/>
        <w:rPr>
          <w:snapToGrid w:val="0"/>
        </w:rPr>
      </w:pPr>
      <w:r>
        <w:rPr>
          <w:snapToGrid w:val="0"/>
        </w:rPr>
        <w:tab/>
        <w:t>(1)</w:t>
      </w:r>
      <w:r>
        <w:rPr>
          <w:snapToGrid w:val="0"/>
        </w:rPr>
        <w:tab/>
        <w:t>The owner and occupier of every house within the catchment area shall provide for the use of the occupants of the house —</w:t>
      </w:r>
    </w:p>
    <w:p>
      <w:pPr>
        <w:pStyle w:val="Indenta"/>
        <w:rPr>
          <w:snapToGrid w:val="0"/>
        </w:rPr>
      </w:pPr>
      <w:r>
        <w:rPr>
          <w:snapToGrid w:val="0"/>
        </w:rPr>
        <w:tab/>
        <w:t>(a)</w:t>
      </w:r>
      <w:r>
        <w:rPr>
          <w:snapToGrid w:val="0"/>
        </w:rPr>
        <w:tab/>
        <w:t>an earth closet with a sufficient number of pans approved by an inspector; or</w:t>
      </w:r>
    </w:p>
    <w:p>
      <w:pPr>
        <w:pStyle w:val="Indenta"/>
        <w:rPr>
          <w:snapToGrid w:val="0"/>
        </w:rPr>
      </w:pPr>
      <w:r>
        <w:rPr>
          <w:snapToGrid w:val="0"/>
        </w:rPr>
        <w:tab/>
        <w:t>(b)</w:t>
      </w:r>
      <w:r>
        <w:rPr>
          <w:snapToGrid w:val="0"/>
        </w:rPr>
        <w:tab/>
        <w:t xml:space="preserve">septic tanks or other apparatus as may be required or authorised by the </w:t>
      </w:r>
      <w:r>
        <w:t>CEO</w:t>
      </w:r>
      <w:r>
        <w:rPr>
          <w:snapToGrid w:val="0"/>
        </w:rPr>
        <w:t>.</w:t>
      </w:r>
    </w:p>
    <w:p>
      <w:pPr>
        <w:pStyle w:val="Subsection"/>
        <w:spacing w:before="120"/>
        <w:rPr>
          <w:snapToGrid w:val="0"/>
        </w:rPr>
      </w:pPr>
      <w:r>
        <w:rPr>
          <w:snapToGrid w:val="0"/>
        </w:rPr>
        <w:tab/>
        <w:t>(2)</w:t>
      </w:r>
      <w:r>
        <w:rPr>
          <w:snapToGrid w:val="0"/>
        </w:rPr>
        <w:tab/>
        <w:t>The closet, septic tanks or authorised apparatus shall be erected in a position as directed by an inspector.</w:t>
      </w:r>
    </w:p>
    <w:p>
      <w:pPr>
        <w:pStyle w:val="Footnotesection"/>
        <w:spacing w:before="80"/>
        <w:ind w:left="890" w:hanging="890"/>
      </w:pPr>
      <w:r>
        <w:tab/>
        <w:t>[By</w:t>
      </w:r>
      <w:r>
        <w:noBreakHyphen/>
        <w:t>law 5 amended in Gazette 27 Jul 1990 p. 3617; 29 Dec 1995 p. 6309; 21 Apr 2011 p. 1472.]</w:t>
      </w:r>
    </w:p>
    <w:p>
      <w:pPr>
        <w:pStyle w:val="Ednotesection"/>
      </w:pPr>
      <w:r>
        <w:t>[</w:t>
      </w:r>
      <w:r>
        <w:rPr>
          <w:b/>
        </w:rPr>
        <w:t>5A.</w:t>
      </w:r>
      <w:r>
        <w:tab/>
        <w:t>Deleted in Gazette 28 Jun 2004 p. 2391.]</w:t>
      </w:r>
    </w:p>
    <w:p>
      <w:pPr>
        <w:pStyle w:val="Heading5"/>
        <w:rPr>
          <w:snapToGrid w:val="0"/>
        </w:rPr>
      </w:pPr>
      <w:bookmarkStart w:id="17" w:name="_Toc483476826"/>
      <w:r>
        <w:rPr>
          <w:rStyle w:val="CharSectno"/>
        </w:rPr>
        <w:t>6</w:t>
      </w:r>
      <w:r>
        <w:rPr>
          <w:snapToGrid w:val="0"/>
        </w:rPr>
        <w:t>.</w:t>
      </w:r>
      <w:r>
        <w:rPr>
          <w:snapToGrid w:val="0"/>
        </w:rPr>
        <w:tab/>
        <w:t>Earth closets and privies, construction of</w:t>
      </w:r>
      <w:bookmarkEnd w:id="17"/>
    </w:p>
    <w:p>
      <w:pPr>
        <w:pStyle w:val="Subsection"/>
        <w:rPr>
          <w:snapToGrid w:val="0"/>
        </w:rPr>
      </w:pPr>
      <w:r>
        <w:rPr>
          <w:snapToGrid w:val="0"/>
        </w:rPr>
        <w:tab/>
      </w:r>
      <w:r>
        <w:rPr>
          <w:snapToGrid w:val="0"/>
        </w:rPr>
        <w:tab/>
        <w:t>No person shall construct or cause to be constructed any earth closet or privy which does not comply with the following conditions:</w:t>
      </w:r>
    </w:p>
    <w:p>
      <w:pPr>
        <w:pStyle w:val="Indenta"/>
        <w:rPr>
          <w:snapToGrid w:val="0"/>
        </w:rPr>
      </w:pPr>
      <w:r>
        <w:rPr>
          <w:snapToGrid w:val="0"/>
        </w:rPr>
        <w:tab/>
        <w:t>(a)</w:t>
      </w:r>
      <w:r>
        <w:rPr>
          <w:snapToGrid w:val="0"/>
        </w:rPr>
        <w:tab/>
        <w:t>It shall not be less than —</w:t>
      </w:r>
    </w:p>
    <w:p>
      <w:pPr>
        <w:pStyle w:val="Indenta"/>
        <w:rPr>
          <w:snapToGrid w:val="0"/>
        </w:rPr>
      </w:pPr>
      <w:r>
        <w:rPr>
          <w:snapToGrid w:val="0"/>
        </w:rPr>
        <w:tab/>
      </w:r>
      <w:r>
        <w:rPr>
          <w:snapToGrid w:val="0"/>
        </w:rPr>
        <w:tab/>
        <w:t>1.5 m in length, or</w:t>
      </w:r>
    </w:p>
    <w:p>
      <w:pPr>
        <w:pStyle w:val="Indenta"/>
        <w:rPr>
          <w:snapToGrid w:val="0"/>
        </w:rPr>
      </w:pPr>
      <w:r>
        <w:rPr>
          <w:snapToGrid w:val="0"/>
        </w:rPr>
        <w:tab/>
      </w:r>
      <w:r>
        <w:rPr>
          <w:snapToGrid w:val="0"/>
        </w:rPr>
        <w:tab/>
        <w:t>1 m in width, or</w:t>
      </w:r>
    </w:p>
    <w:p>
      <w:pPr>
        <w:pStyle w:val="Indenta"/>
        <w:rPr>
          <w:snapToGrid w:val="0"/>
        </w:rPr>
      </w:pPr>
      <w:r>
        <w:rPr>
          <w:snapToGrid w:val="0"/>
        </w:rPr>
        <w:tab/>
      </w:r>
      <w:r>
        <w:rPr>
          <w:snapToGrid w:val="0"/>
        </w:rPr>
        <w:tab/>
        <w:t>2 m in height.</w:t>
      </w:r>
    </w:p>
    <w:p>
      <w:pPr>
        <w:pStyle w:val="Indenta"/>
        <w:rPr>
          <w:snapToGrid w:val="0"/>
        </w:rPr>
      </w:pPr>
      <w:r>
        <w:rPr>
          <w:snapToGrid w:val="0"/>
        </w:rPr>
        <w:tab/>
        <w:t>(b)</w:t>
      </w:r>
      <w:r>
        <w:rPr>
          <w:snapToGrid w:val="0"/>
        </w:rPr>
        <w:tab/>
        <w:t>It shall not be within 6 m of any house or tank, nor within 15 m of any other water supply, nor within 15 m of the milking shed or milk room of any dairy, and shall be so constructed that the pan may be withdrawn from the rear of the convenience.</w:t>
      </w:r>
    </w:p>
    <w:p>
      <w:pPr>
        <w:pStyle w:val="Indenta"/>
        <w:rPr>
          <w:snapToGrid w:val="0"/>
        </w:rPr>
      </w:pPr>
      <w:r>
        <w:rPr>
          <w:snapToGrid w:val="0"/>
        </w:rPr>
        <w:tab/>
        <w:t>(c)</w:t>
      </w:r>
      <w:r>
        <w:rPr>
          <w:snapToGrid w:val="0"/>
        </w:rPr>
        <w:tab/>
        <w:t xml:space="preserve">The walls shall be of stone, brick, or other material approved by the </w:t>
      </w:r>
      <w:r>
        <w:t>CEO</w:t>
      </w:r>
      <w:r>
        <w:rPr>
          <w:snapToGrid w:val="0"/>
        </w:rPr>
        <w:t>.</w:t>
      </w:r>
    </w:p>
    <w:p>
      <w:pPr>
        <w:pStyle w:val="Indenta"/>
        <w:rPr>
          <w:snapToGrid w:val="0"/>
        </w:rPr>
      </w:pPr>
      <w:r>
        <w:rPr>
          <w:snapToGrid w:val="0"/>
        </w:rPr>
        <w:tab/>
        <w:t>(d)</w:t>
      </w:r>
      <w:r>
        <w:rPr>
          <w:snapToGrid w:val="0"/>
        </w:rPr>
        <w:tab/>
        <w:t>There shall be at least 2 ventilating openings, of 325 cm</w:t>
      </w:r>
      <w:r>
        <w:rPr>
          <w:snapToGrid w:val="0"/>
          <w:vertAlign w:val="superscript"/>
        </w:rPr>
        <w:t>2</w:t>
      </w:r>
      <w:r>
        <w:rPr>
          <w:snapToGrid w:val="0"/>
        </w:rPr>
        <w:t>, in area, one in each of 2 opposite walls, and situated 1.8 m above the floor level.</w:t>
      </w:r>
    </w:p>
    <w:p>
      <w:pPr>
        <w:pStyle w:val="Indenta"/>
        <w:rPr>
          <w:snapToGrid w:val="0"/>
        </w:rPr>
      </w:pPr>
      <w:r>
        <w:rPr>
          <w:snapToGrid w:val="0"/>
        </w:rPr>
        <w:tab/>
        <w:t>(e)</w:t>
      </w:r>
      <w:r>
        <w:rPr>
          <w:snapToGrid w:val="0"/>
        </w:rPr>
        <w:tab/>
        <w:t>The roof shall be of galvanised iron, or other impervious material.</w:t>
      </w:r>
    </w:p>
    <w:p>
      <w:pPr>
        <w:pStyle w:val="Indenta"/>
        <w:rPr>
          <w:snapToGrid w:val="0"/>
        </w:rPr>
      </w:pPr>
      <w:r>
        <w:rPr>
          <w:snapToGrid w:val="0"/>
        </w:rPr>
        <w:tab/>
        <w:t>(f)</w:t>
      </w:r>
      <w:r>
        <w:rPr>
          <w:snapToGrid w:val="0"/>
        </w:rPr>
        <w:tab/>
        <w:t>The door shall be hung so that there is, when the door is closed, a clear space of at least 8 cm above and below it.</w:t>
      </w:r>
    </w:p>
    <w:p>
      <w:pPr>
        <w:pStyle w:val="Indenta"/>
        <w:rPr>
          <w:snapToGrid w:val="0"/>
        </w:rPr>
      </w:pPr>
      <w:r>
        <w:rPr>
          <w:snapToGrid w:val="0"/>
        </w:rPr>
        <w:tab/>
        <w:t>(g)</w:t>
      </w:r>
      <w:r>
        <w:rPr>
          <w:snapToGrid w:val="0"/>
        </w:rPr>
        <w:tab/>
        <w:t>The floor shall be of approved impervious material, and shall have a uniform fall of 1 in 30 from back to front and its upper surface shall be not less than 15 cm above the level of the ground adjoining.</w:t>
      </w:r>
    </w:p>
    <w:p>
      <w:pPr>
        <w:pStyle w:val="Indenta"/>
        <w:rPr>
          <w:snapToGrid w:val="0"/>
        </w:rPr>
      </w:pPr>
      <w:r>
        <w:rPr>
          <w:snapToGrid w:val="0"/>
        </w:rPr>
        <w:tab/>
        <w:t>(h)</w:t>
      </w:r>
      <w:r>
        <w:rPr>
          <w:snapToGrid w:val="0"/>
        </w:rPr>
        <w:tab/>
        <w:t>The panstead shall measure 50 cm long by 40 cm wide. It shall be totally enclosed and constructed in a manner to exclude flies.</w:t>
      </w:r>
    </w:p>
    <w:p>
      <w:pPr>
        <w:pStyle w:val="Indenta"/>
        <w:rPr>
          <w:snapToGrid w:val="0"/>
        </w:rPr>
      </w:pPr>
      <w:r>
        <w:rPr>
          <w:snapToGrid w:val="0"/>
        </w:rPr>
        <w:tab/>
        <w:t>(i)</w:t>
      </w:r>
      <w:r>
        <w:rPr>
          <w:snapToGrid w:val="0"/>
        </w:rPr>
        <w:tab/>
        <w:t>The under surface of the seat shall be 40 cm above the floor.</w:t>
      </w:r>
    </w:p>
    <w:p>
      <w:pPr>
        <w:pStyle w:val="Indenta"/>
        <w:rPr>
          <w:snapToGrid w:val="0"/>
        </w:rPr>
      </w:pPr>
      <w:r>
        <w:rPr>
          <w:snapToGrid w:val="0"/>
        </w:rPr>
        <w:tab/>
        <w:t>(j)</w:t>
      </w:r>
      <w:r>
        <w:rPr>
          <w:snapToGrid w:val="0"/>
        </w:rPr>
        <w:tab/>
        <w:t>A hinged aperture cover shall be provided to the seat.</w:t>
      </w:r>
    </w:p>
    <w:p>
      <w:pPr>
        <w:pStyle w:val="Indenta"/>
        <w:rPr>
          <w:snapToGrid w:val="0"/>
        </w:rPr>
      </w:pPr>
      <w:r>
        <w:rPr>
          <w:snapToGrid w:val="0"/>
        </w:rPr>
        <w:tab/>
        <w:t>(k)</w:t>
      </w:r>
      <w:r>
        <w:rPr>
          <w:snapToGrid w:val="0"/>
        </w:rPr>
        <w:tab/>
        <w:t>A service door shall be provided in the rear wall of the convenience through which the pan must be withdrawn.</w:t>
      </w:r>
    </w:p>
    <w:p>
      <w:pPr>
        <w:pStyle w:val="Footnotesection"/>
      </w:pPr>
      <w:r>
        <w:tab/>
        <w:t>[By</w:t>
      </w:r>
      <w:r>
        <w:noBreakHyphen/>
        <w:t>law 6 amended in Gazette 29 Dec 1995 p. 6309; 29 May 2001 p. 2706</w:t>
      </w:r>
      <w:r>
        <w:noBreakHyphen/>
        <w:t>7; 21 Apr 2011 p. 1472.]</w:t>
      </w:r>
    </w:p>
    <w:p>
      <w:pPr>
        <w:pStyle w:val="Heading5"/>
        <w:rPr>
          <w:snapToGrid w:val="0"/>
        </w:rPr>
      </w:pPr>
      <w:bookmarkStart w:id="18" w:name="_Toc483476827"/>
      <w:r>
        <w:rPr>
          <w:rStyle w:val="CharSectno"/>
        </w:rPr>
        <w:t>6A</w:t>
      </w:r>
      <w:r>
        <w:rPr>
          <w:snapToGrid w:val="0"/>
        </w:rPr>
        <w:t>.</w:t>
      </w:r>
      <w:r>
        <w:rPr>
          <w:snapToGrid w:val="0"/>
        </w:rPr>
        <w:tab/>
        <w:t>Sanitary conveniences, number required in houses and other places</w:t>
      </w:r>
      <w:bookmarkEnd w:id="18"/>
    </w:p>
    <w:p>
      <w:pPr>
        <w:pStyle w:val="Subsection"/>
        <w:rPr>
          <w:snapToGrid w:val="0"/>
        </w:rPr>
      </w:pPr>
      <w:r>
        <w:rPr>
          <w:snapToGrid w:val="0"/>
        </w:rPr>
        <w:tab/>
      </w:r>
      <w:r>
        <w:rPr>
          <w:snapToGrid w:val="0"/>
        </w:rPr>
        <w:tab/>
        <w:t>In relation to sanitary conveniences to be provided in connection with houses and public and private places, the following provisions shall apply, that is to say:</w:t>
      </w:r>
    </w:p>
    <w:p>
      <w:pPr>
        <w:pStyle w:val="Indenta"/>
        <w:rPr>
          <w:snapToGrid w:val="0"/>
        </w:rPr>
      </w:pPr>
      <w:r>
        <w:rPr>
          <w:snapToGrid w:val="0"/>
        </w:rPr>
        <w:tab/>
        <w:t>(1)</w:t>
      </w:r>
      <w:r>
        <w:rPr>
          <w:snapToGrid w:val="0"/>
        </w:rPr>
        <w:tab/>
        <w:t>Every house, and every public place and every private place shall be provided with not less than one sanitary convenience.</w:t>
      </w:r>
    </w:p>
    <w:p>
      <w:pPr>
        <w:pStyle w:val="Indenta"/>
        <w:rPr>
          <w:snapToGrid w:val="0"/>
        </w:rPr>
      </w:pPr>
      <w:r>
        <w:rPr>
          <w:snapToGrid w:val="0"/>
        </w:rPr>
        <w:tab/>
        <w:t>(2)</w:t>
      </w:r>
      <w:r>
        <w:rPr>
          <w:snapToGrid w:val="0"/>
        </w:rPr>
        <w:tab/>
        <w:t xml:space="preserve">In the case of any house, or public or private place in respect of which the requirements of more than 20 persons have to be provided for, there shall be additional sanitary conveniences in the proportion of one for every 20 persons, or portion of 20: Provided that this requirement shall not apply to public buildings under Part VI of the </w:t>
      </w:r>
      <w:r>
        <w:rPr>
          <w:i/>
        </w:rPr>
        <w:t>Health (Miscellaneous Provisions) Act 1911</w:t>
      </w:r>
      <w:r>
        <w:t xml:space="preserve">, </w:t>
      </w:r>
      <w:r>
        <w:rPr>
          <w:snapToGrid w:val="0"/>
        </w:rPr>
        <w:t xml:space="preserve">nor to licensed premises under the provisions of the </w:t>
      </w:r>
      <w:r>
        <w:rPr>
          <w:i/>
          <w:snapToGrid w:val="0"/>
        </w:rPr>
        <w:t>Licensing Act 1911 </w:t>
      </w:r>
      <w:r>
        <w:rPr>
          <w:snapToGrid w:val="0"/>
          <w:vertAlign w:val="superscript"/>
        </w:rPr>
        <w:t>3</w:t>
      </w:r>
      <w:r>
        <w:rPr>
          <w:snapToGrid w:val="0"/>
        </w:rPr>
        <w:t xml:space="preserve">, nor to factories under the provisions of the </w:t>
      </w:r>
      <w:r>
        <w:rPr>
          <w:i/>
          <w:snapToGrid w:val="0"/>
        </w:rPr>
        <w:t>Factories and Shops Act 1920 </w:t>
      </w:r>
      <w:r>
        <w:rPr>
          <w:snapToGrid w:val="0"/>
          <w:vertAlign w:val="superscript"/>
        </w:rPr>
        <w:t>4</w:t>
      </w:r>
      <w:r>
        <w:rPr>
          <w:snapToGrid w:val="0"/>
        </w:rPr>
        <w:t>.</w:t>
      </w:r>
    </w:p>
    <w:p>
      <w:pPr>
        <w:pStyle w:val="Footnotesection"/>
      </w:pPr>
      <w:r>
        <w:tab/>
        <w:t>[By</w:t>
      </w:r>
      <w:r>
        <w:noBreakHyphen/>
        <w:t>law 6A amended in Gazette 10 Jan 2017 p. 234.]</w:t>
      </w:r>
    </w:p>
    <w:p>
      <w:pPr>
        <w:pStyle w:val="Heading5"/>
        <w:rPr>
          <w:snapToGrid w:val="0"/>
        </w:rPr>
      </w:pPr>
      <w:bookmarkStart w:id="19" w:name="_Toc483476828"/>
      <w:r>
        <w:rPr>
          <w:rStyle w:val="CharSectno"/>
        </w:rPr>
        <w:t>6B</w:t>
      </w:r>
      <w:r>
        <w:rPr>
          <w:snapToGrid w:val="0"/>
        </w:rPr>
        <w:t>.</w:t>
      </w:r>
      <w:r>
        <w:rPr>
          <w:snapToGrid w:val="0"/>
        </w:rPr>
        <w:tab/>
        <w:t>Sanitary conveniences to be kept clean</w:t>
      </w:r>
      <w:bookmarkEnd w:id="19"/>
    </w:p>
    <w:p>
      <w:pPr>
        <w:pStyle w:val="Subsection"/>
        <w:spacing w:before="100"/>
        <w:rPr>
          <w:snapToGrid w:val="0"/>
        </w:rPr>
      </w:pPr>
      <w:r>
        <w:rPr>
          <w:snapToGrid w:val="0"/>
        </w:rPr>
        <w:tab/>
        <w:t>(1)</w:t>
      </w:r>
      <w:r>
        <w:rPr>
          <w:snapToGrid w:val="0"/>
        </w:rPr>
        <w:tab/>
        <w:t>The occupier of any premises whereon there is a sanitary convenience shall maintain the convenience in a cleanly condition.</w:t>
      </w:r>
    </w:p>
    <w:p>
      <w:pPr>
        <w:pStyle w:val="Subsection"/>
        <w:spacing w:before="100"/>
        <w:rPr>
          <w:snapToGrid w:val="0"/>
        </w:rPr>
      </w:pPr>
      <w:r>
        <w:rPr>
          <w:snapToGrid w:val="0"/>
        </w:rPr>
        <w:tab/>
        <w:t>(2)</w:t>
      </w:r>
      <w:r>
        <w:rPr>
          <w:snapToGrid w:val="0"/>
        </w:rPr>
        <w:tab/>
        <w:t>The owner of any premises whereon there is a sanitary convenience shall maintain the convenience in accordance with these by</w:t>
      </w:r>
      <w:r>
        <w:rPr>
          <w:snapToGrid w:val="0"/>
        </w:rPr>
        <w:noBreakHyphen/>
        <w:t>laws.</w:t>
      </w:r>
    </w:p>
    <w:p>
      <w:pPr>
        <w:pStyle w:val="Subsection"/>
        <w:spacing w:before="100"/>
        <w:rPr>
          <w:snapToGrid w:val="0"/>
        </w:rPr>
      </w:pPr>
      <w:r>
        <w:rPr>
          <w:snapToGrid w:val="0"/>
        </w:rPr>
        <w:tab/>
        <w:t>(3)</w:t>
      </w:r>
      <w:r>
        <w:rPr>
          <w:snapToGrid w:val="0"/>
        </w:rPr>
        <w:tab/>
        <w:t>Every closet shall be supplied with a sufficient number of receptacles which shall be interchangeable with others in the same district and which shall be of approved size, shape and style, and every pan shall be emptied and cleansed at least once every week or as often as may be required by an inspector.</w:t>
      </w:r>
    </w:p>
    <w:p>
      <w:pPr>
        <w:pStyle w:val="Heading5"/>
        <w:rPr>
          <w:snapToGrid w:val="0"/>
        </w:rPr>
      </w:pPr>
      <w:bookmarkStart w:id="20" w:name="_Toc483476829"/>
      <w:r>
        <w:rPr>
          <w:rStyle w:val="CharSectno"/>
        </w:rPr>
        <w:t>7</w:t>
      </w:r>
      <w:r>
        <w:rPr>
          <w:snapToGrid w:val="0"/>
        </w:rPr>
        <w:t>.</w:t>
      </w:r>
      <w:r>
        <w:rPr>
          <w:snapToGrid w:val="0"/>
        </w:rPr>
        <w:tab/>
        <w:t>Closets and urinals to be replaced</w:t>
      </w:r>
      <w:bookmarkEnd w:id="20"/>
    </w:p>
    <w:p>
      <w:pPr>
        <w:pStyle w:val="Subsection"/>
        <w:spacing w:before="100"/>
        <w:rPr>
          <w:snapToGrid w:val="0"/>
        </w:rPr>
      </w:pPr>
      <w:r>
        <w:rPr>
          <w:snapToGrid w:val="0"/>
        </w:rPr>
        <w:tab/>
      </w:r>
      <w:r>
        <w:rPr>
          <w:snapToGrid w:val="0"/>
        </w:rPr>
        <w:tab/>
        <w:t>Closets or urinals already in existence shall, whenever considered necessary by an inspector be removed where directed by the inspector, and the removal or re</w:t>
      </w:r>
      <w:r>
        <w:rPr>
          <w:snapToGrid w:val="0"/>
        </w:rPr>
        <w:noBreakHyphen/>
        <w:t>erection shall be at the cost of the owner, who shall have the work completed within one calendar month from delivery by the inspector of written notice to the owner requiring this to be done.</w:t>
      </w:r>
    </w:p>
    <w:p>
      <w:pPr>
        <w:pStyle w:val="Heading5"/>
        <w:rPr>
          <w:snapToGrid w:val="0"/>
        </w:rPr>
      </w:pPr>
      <w:bookmarkStart w:id="21" w:name="_Toc483476830"/>
      <w:r>
        <w:rPr>
          <w:rStyle w:val="CharSectno"/>
        </w:rPr>
        <w:t>8</w:t>
      </w:r>
      <w:r>
        <w:rPr>
          <w:snapToGrid w:val="0"/>
        </w:rPr>
        <w:t>.</w:t>
      </w:r>
      <w:r>
        <w:rPr>
          <w:snapToGrid w:val="0"/>
        </w:rPr>
        <w:tab/>
        <w:t>Closets not to cause nuisances</w:t>
      </w:r>
      <w:bookmarkEnd w:id="21"/>
    </w:p>
    <w:p>
      <w:pPr>
        <w:pStyle w:val="Subsection"/>
        <w:spacing w:before="100"/>
        <w:rPr>
          <w:snapToGrid w:val="0"/>
        </w:rPr>
      </w:pPr>
      <w:r>
        <w:rPr>
          <w:snapToGrid w:val="0"/>
        </w:rPr>
        <w:tab/>
        <w:t>(1)</w:t>
      </w:r>
      <w:r>
        <w:rPr>
          <w:snapToGrid w:val="0"/>
        </w:rPr>
        <w:tab/>
        <w:t>The owner or occupier of any house within a catchment area shall not permit the contents of any pan used in any closet or urinal to overflow from any cause whatever.</w:t>
      </w:r>
    </w:p>
    <w:p>
      <w:pPr>
        <w:pStyle w:val="Subsection"/>
        <w:rPr>
          <w:snapToGrid w:val="0"/>
        </w:rPr>
      </w:pPr>
      <w:r>
        <w:rPr>
          <w:snapToGrid w:val="0"/>
        </w:rPr>
        <w:tab/>
        <w:t>(2)</w:t>
      </w:r>
      <w:r>
        <w:rPr>
          <w:snapToGrid w:val="0"/>
        </w:rPr>
        <w:tab/>
        <w:t>The owner or occupier of any house within the catchment area shall not permit any closet or urinal, or pan appertaining thereto, or used by the occupants of such house to become offensive or a nuisance, and every such owner or occupier, whenever directed, either verbally or in writing by an inspector, shall properly and effectively empty and cleanse the closet, urinal or pan, to the satisfaction of the inspector.</w:t>
      </w:r>
    </w:p>
    <w:p>
      <w:pPr>
        <w:pStyle w:val="Heading5"/>
        <w:rPr>
          <w:snapToGrid w:val="0"/>
        </w:rPr>
      </w:pPr>
      <w:bookmarkStart w:id="22" w:name="_Toc483476831"/>
      <w:r>
        <w:rPr>
          <w:rStyle w:val="CharSectno"/>
        </w:rPr>
        <w:t>9</w:t>
      </w:r>
      <w:r>
        <w:rPr>
          <w:snapToGrid w:val="0"/>
        </w:rPr>
        <w:t>.</w:t>
      </w:r>
      <w:r>
        <w:rPr>
          <w:snapToGrid w:val="0"/>
        </w:rPr>
        <w:tab/>
        <w:t>Nightsoil etc., disposal of</w:t>
      </w:r>
      <w:bookmarkEnd w:id="22"/>
    </w:p>
    <w:p>
      <w:pPr>
        <w:pStyle w:val="Subsection"/>
        <w:rPr>
          <w:snapToGrid w:val="0"/>
        </w:rPr>
      </w:pPr>
      <w:r>
        <w:rPr>
          <w:snapToGrid w:val="0"/>
        </w:rPr>
        <w:tab/>
        <w:t>(1)</w:t>
      </w:r>
      <w:r>
        <w:rPr>
          <w:snapToGrid w:val="0"/>
        </w:rPr>
        <w:tab/>
        <w:t xml:space="preserve">Nightsoil, refuse and garbage shall be disposed of from time to time as the </w:t>
      </w:r>
      <w:r>
        <w:t>CEO</w:t>
      </w:r>
      <w:r>
        <w:rPr>
          <w:snapToGrid w:val="0"/>
        </w:rPr>
        <w:t xml:space="preserve"> or an inspector may direct.</w:t>
      </w:r>
    </w:p>
    <w:p>
      <w:pPr>
        <w:pStyle w:val="Subsection"/>
        <w:rPr>
          <w:snapToGrid w:val="0"/>
        </w:rPr>
      </w:pPr>
      <w:r>
        <w:rPr>
          <w:snapToGrid w:val="0"/>
        </w:rPr>
        <w:tab/>
        <w:t>(2)</w:t>
      </w:r>
      <w:r>
        <w:rPr>
          <w:snapToGrid w:val="0"/>
        </w:rPr>
        <w:tab/>
        <w:t xml:space="preserve">Nightsoil, faecal matter or refuse shall not be buried within the catchment area unless written consent thereto has been obtained from the </w:t>
      </w:r>
      <w:r>
        <w:t>CEO</w:t>
      </w:r>
      <w:r>
        <w:rPr>
          <w:snapToGrid w:val="0"/>
        </w:rPr>
        <w:t>.</w:t>
      </w:r>
    </w:p>
    <w:p>
      <w:pPr>
        <w:pStyle w:val="Subsection"/>
        <w:rPr>
          <w:snapToGrid w:val="0"/>
        </w:rPr>
      </w:pPr>
      <w:r>
        <w:rPr>
          <w:snapToGrid w:val="0"/>
        </w:rPr>
        <w:tab/>
        <w:t>(3)</w:t>
      </w:r>
      <w:r>
        <w:rPr>
          <w:snapToGrid w:val="0"/>
        </w:rPr>
        <w:tab/>
        <w:t xml:space="preserve">Nightsoil, faecal matter or human urine, whether mixed with any other substance or not, or any solution thereof, unless the same has been thoroughly deodorised and disinfected to the satisfaction of an inspector, shall not be placed, deposited, spread or permitted to be placed, deposited or spread in or upon any land or garden within a catchment area, unless written consent thereto has been obtained from the </w:t>
      </w:r>
      <w:r>
        <w:t>CEO</w:t>
      </w:r>
      <w:r>
        <w:rPr>
          <w:snapToGrid w:val="0"/>
        </w:rPr>
        <w:t>.</w:t>
      </w:r>
    </w:p>
    <w:p>
      <w:pPr>
        <w:pStyle w:val="Footnotesection"/>
      </w:pPr>
      <w:r>
        <w:tab/>
        <w:t>[By</w:t>
      </w:r>
      <w:r>
        <w:noBreakHyphen/>
        <w:t>law 9 amended in Gazette 29 Dec 1995 p. 6309; 29 May 2001 p. 2706; 21 Apr 2011 p. 1472.]</w:t>
      </w:r>
    </w:p>
    <w:p>
      <w:pPr>
        <w:pStyle w:val="Heading5"/>
        <w:rPr>
          <w:snapToGrid w:val="0"/>
        </w:rPr>
      </w:pPr>
      <w:bookmarkStart w:id="23" w:name="_Toc483476832"/>
      <w:r>
        <w:rPr>
          <w:rStyle w:val="CharSectno"/>
        </w:rPr>
        <w:t>10</w:t>
      </w:r>
      <w:r>
        <w:rPr>
          <w:snapToGrid w:val="0"/>
        </w:rPr>
        <w:t>.</w:t>
      </w:r>
      <w:r>
        <w:rPr>
          <w:snapToGrid w:val="0"/>
        </w:rPr>
        <w:tab/>
        <w:t>Manure etc., disposal of near water</w:t>
      </w:r>
      <w:bookmarkEnd w:id="23"/>
    </w:p>
    <w:p>
      <w:pPr>
        <w:pStyle w:val="Subsection"/>
        <w:rPr>
          <w:snapToGrid w:val="0"/>
        </w:rPr>
      </w:pPr>
      <w:r>
        <w:rPr>
          <w:snapToGrid w:val="0"/>
        </w:rPr>
        <w:tab/>
      </w:r>
      <w:r>
        <w:rPr>
          <w:snapToGrid w:val="0"/>
        </w:rPr>
        <w:tab/>
        <w:t>Refuse, dung, manure or other offensive matter shall not be deposited or be permitted to be deposited within 300 m of high</w:t>
      </w:r>
      <w:r>
        <w:rPr>
          <w:snapToGrid w:val="0"/>
        </w:rPr>
        <w:noBreakHyphen/>
        <w:t>water mark or of any well or bore.</w:t>
      </w:r>
    </w:p>
    <w:p>
      <w:pPr>
        <w:pStyle w:val="Footnotesection"/>
      </w:pPr>
      <w:r>
        <w:tab/>
        <w:t>[By</w:t>
      </w:r>
      <w:r>
        <w:noBreakHyphen/>
        <w:t>law 10 amended in Gazette 29 May 2001 p. 2707.]</w:t>
      </w:r>
    </w:p>
    <w:p>
      <w:pPr>
        <w:pStyle w:val="Heading5"/>
        <w:rPr>
          <w:snapToGrid w:val="0"/>
        </w:rPr>
      </w:pPr>
      <w:bookmarkStart w:id="24" w:name="_Toc483476833"/>
      <w:r>
        <w:rPr>
          <w:rStyle w:val="CharSectno"/>
        </w:rPr>
        <w:t>11</w:t>
      </w:r>
      <w:r>
        <w:rPr>
          <w:snapToGrid w:val="0"/>
        </w:rPr>
        <w:t>.</w:t>
      </w:r>
      <w:r>
        <w:rPr>
          <w:snapToGrid w:val="0"/>
        </w:rPr>
        <w:tab/>
        <w:t>Fertiliser and poisons, use of</w:t>
      </w:r>
      <w:bookmarkEnd w:id="24"/>
    </w:p>
    <w:p>
      <w:pPr>
        <w:pStyle w:val="Subsection"/>
        <w:rPr>
          <w:snapToGrid w:val="0"/>
        </w:rPr>
      </w:pPr>
      <w:r>
        <w:rPr>
          <w:snapToGrid w:val="0"/>
        </w:rPr>
        <w:tab/>
        <w:t>(1)</w:t>
      </w:r>
      <w:r>
        <w:rPr>
          <w:snapToGrid w:val="0"/>
        </w:rPr>
        <w:tab/>
        <w:t xml:space="preserve">The owner or occupier of any house, land or premises situated within a catchment area shall not use without the approval of the </w:t>
      </w:r>
      <w:r>
        <w:t>CEO</w:t>
      </w:r>
      <w:r>
        <w:rPr>
          <w:snapToGrid w:val="0"/>
        </w:rPr>
        <w:t> —</w:t>
      </w:r>
    </w:p>
    <w:p>
      <w:pPr>
        <w:pStyle w:val="Indenta"/>
        <w:rPr>
          <w:snapToGrid w:val="0"/>
        </w:rPr>
      </w:pPr>
      <w:r>
        <w:rPr>
          <w:snapToGrid w:val="0"/>
        </w:rPr>
        <w:tab/>
        <w:t>(a)</w:t>
      </w:r>
      <w:r>
        <w:rPr>
          <w:snapToGrid w:val="0"/>
        </w:rPr>
        <w:tab/>
        <w:t>any artificial manure for agricultural, horticultural, pastoral and sylvicultural purposes; or</w:t>
      </w:r>
    </w:p>
    <w:p>
      <w:pPr>
        <w:pStyle w:val="Indenta"/>
        <w:rPr>
          <w:snapToGrid w:val="0"/>
        </w:rPr>
      </w:pPr>
      <w:r>
        <w:rPr>
          <w:snapToGrid w:val="0"/>
        </w:rPr>
        <w:tab/>
        <w:t>(b)</w:t>
      </w:r>
      <w:r>
        <w:rPr>
          <w:snapToGrid w:val="0"/>
        </w:rPr>
        <w:tab/>
        <w:t>any weed killer or any other toxic substance; or</w:t>
      </w:r>
    </w:p>
    <w:p>
      <w:pPr>
        <w:pStyle w:val="Indenta"/>
        <w:rPr>
          <w:snapToGrid w:val="0"/>
        </w:rPr>
      </w:pPr>
      <w:r>
        <w:rPr>
          <w:snapToGrid w:val="0"/>
        </w:rPr>
        <w:tab/>
        <w:t>(c)</w:t>
      </w:r>
      <w:r>
        <w:rPr>
          <w:snapToGrid w:val="0"/>
        </w:rPr>
        <w:tab/>
        <w:t>any poison for the destruction of rabbits, dogs, foxes, possums, rats, mice or other vermin.</w:t>
      </w:r>
    </w:p>
    <w:p>
      <w:pPr>
        <w:pStyle w:val="Subsection"/>
        <w:rPr>
          <w:snapToGrid w:val="0"/>
        </w:rPr>
      </w:pPr>
      <w:r>
        <w:rPr>
          <w:snapToGrid w:val="0"/>
        </w:rPr>
        <w:tab/>
        <w:t>(2)</w:t>
      </w:r>
      <w:r>
        <w:rPr>
          <w:snapToGrid w:val="0"/>
        </w:rPr>
        <w:tab/>
        <w:t xml:space="preserve">The CEO may from time to time by notice published in the </w:t>
      </w:r>
      <w:r>
        <w:rPr>
          <w:i/>
          <w:snapToGrid w:val="0"/>
        </w:rPr>
        <w:t>Government Gazette </w:t>
      </w:r>
      <w:r>
        <w:rPr>
          <w:snapToGrid w:val="0"/>
        </w:rPr>
        <w:t>—</w:t>
      </w:r>
    </w:p>
    <w:p>
      <w:pPr>
        <w:pStyle w:val="Indenta"/>
        <w:rPr>
          <w:snapToGrid w:val="0"/>
        </w:rPr>
      </w:pPr>
      <w:r>
        <w:rPr>
          <w:snapToGrid w:val="0"/>
        </w:rPr>
        <w:tab/>
        <w:t>(a)</w:t>
      </w:r>
      <w:r>
        <w:rPr>
          <w:snapToGrid w:val="0"/>
        </w:rPr>
        <w:tab/>
        <w:t>specify substances that may be used within a catchment area without the CEO’s prior approval; or</w:t>
      </w:r>
    </w:p>
    <w:p>
      <w:pPr>
        <w:pStyle w:val="Indenta"/>
        <w:rPr>
          <w:snapToGrid w:val="0"/>
        </w:rPr>
      </w:pPr>
      <w:r>
        <w:rPr>
          <w:snapToGrid w:val="0"/>
        </w:rPr>
        <w:tab/>
        <w:t>(b)</w:t>
      </w:r>
      <w:r>
        <w:rPr>
          <w:snapToGrid w:val="0"/>
        </w:rPr>
        <w:tab/>
        <w:t>permit the use within a catchment area of any specified substance or substances in a specified manner or in accordance with a specified method.</w:t>
      </w:r>
    </w:p>
    <w:p>
      <w:pPr>
        <w:pStyle w:val="Subsection"/>
        <w:rPr>
          <w:snapToGrid w:val="0"/>
        </w:rPr>
      </w:pPr>
      <w:r>
        <w:rPr>
          <w:snapToGrid w:val="0"/>
        </w:rPr>
        <w:tab/>
        <w:t>(3)(a)</w:t>
      </w:r>
      <w:r>
        <w:rPr>
          <w:snapToGrid w:val="0"/>
        </w:rPr>
        <w:tab/>
        <w:t xml:space="preserve">Where a notice specifies a substance that may be used without </w:t>
      </w:r>
      <w:r>
        <w:t>the CEO’s</w:t>
      </w:r>
      <w:r>
        <w:rPr>
          <w:snapToGrid w:val="0"/>
        </w:rPr>
        <w:t xml:space="preserve"> prior approval in accordance with sub</w:t>
      </w:r>
      <w:r>
        <w:rPr>
          <w:snapToGrid w:val="0"/>
        </w:rPr>
        <w:noBreakHyphen/>
        <w:t>bylaw (2)(a) that substance may be used within the catchment area in question without the approval referred to in sub</w:t>
      </w:r>
      <w:r>
        <w:rPr>
          <w:snapToGrid w:val="0"/>
        </w:rPr>
        <w:noBreakHyphen/>
        <w:t>bylaw (1).</w:t>
      </w:r>
    </w:p>
    <w:p>
      <w:pPr>
        <w:pStyle w:val="Subsection"/>
        <w:rPr>
          <w:snapToGrid w:val="0"/>
        </w:rPr>
      </w:pPr>
      <w:r>
        <w:rPr>
          <w:snapToGrid w:val="0"/>
        </w:rPr>
        <w:tab/>
        <w:t>(b)</w:t>
      </w:r>
      <w:r>
        <w:rPr>
          <w:snapToGrid w:val="0"/>
        </w:rPr>
        <w:tab/>
        <w:t>Where a notice permits the use of any substance in a specified manner or in accordance with a specified method no person shall without the approval of the CEO use the substance within the catchment area in question except in that manner or in accordance with that method.</w:t>
      </w:r>
    </w:p>
    <w:p>
      <w:pPr>
        <w:pStyle w:val="Footnotesection"/>
      </w:pPr>
      <w:r>
        <w:tab/>
        <w:t>[By</w:t>
      </w:r>
      <w:r>
        <w:noBreakHyphen/>
        <w:t>law 11 amended in Gazette 11 Dec 1959 p. 3026; 29 Dec 1995 p. 6306 and 6309; 29 May 2001 p. 2706; 21 Apr 2011 p. 1470 and 1472.]</w:t>
      </w:r>
    </w:p>
    <w:p>
      <w:pPr>
        <w:pStyle w:val="Heading5"/>
        <w:rPr>
          <w:snapToGrid w:val="0"/>
        </w:rPr>
      </w:pPr>
      <w:bookmarkStart w:id="25" w:name="_Toc483476834"/>
      <w:r>
        <w:rPr>
          <w:rStyle w:val="CharSectno"/>
        </w:rPr>
        <w:t>12</w:t>
      </w:r>
      <w:r>
        <w:rPr>
          <w:snapToGrid w:val="0"/>
        </w:rPr>
        <w:t>.</w:t>
      </w:r>
      <w:r>
        <w:rPr>
          <w:snapToGrid w:val="0"/>
        </w:rPr>
        <w:tab/>
        <w:t>Stables etc., construction of near water</w:t>
      </w:r>
      <w:bookmarkEnd w:id="25"/>
    </w:p>
    <w:p>
      <w:pPr>
        <w:pStyle w:val="Subsection"/>
        <w:spacing w:before="150"/>
        <w:rPr>
          <w:snapToGrid w:val="0"/>
        </w:rPr>
      </w:pPr>
      <w:r>
        <w:rPr>
          <w:snapToGrid w:val="0"/>
        </w:rPr>
        <w:tab/>
        <w:t>(1)</w:t>
      </w:r>
      <w:r>
        <w:rPr>
          <w:snapToGrid w:val="0"/>
        </w:rPr>
        <w:tab/>
        <w:t>Buildings of any description shall not be used as or constructed for a stable, cow</w:t>
      </w:r>
      <w:r>
        <w:rPr>
          <w:snapToGrid w:val="0"/>
        </w:rPr>
        <w:noBreakHyphen/>
        <w:t>shed, goat</w:t>
      </w:r>
      <w:r>
        <w:rPr>
          <w:snapToGrid w:val="0"/>
        </w:rPr>
        <w:noBreakHyphen/>
        <w:t>shed, sheep</w:t>
      </w:r>
      <w:r>
        <w:rPr>
          <w:snapToGrid w:val="0"/>
        </w:rPr>
        <w:noBreakHyphen/>
        <w:t>pen, pig</w:t>
      </w:r>
      <w:r>
        <w:rPr>
          <w:snapToGrid w:val="0"/>
        </w:rPr>
        <w:noBreakHyphen/>
        <w:t>sty or fowl</w:t>
      </w:r>
      <w:r>
        <w:rPr>
          <w:snapToGrid w:val="0"/>
        </w:rPr>
        <w:noBreakHyphen/>
        <w:t>house, and any animal or bird shall not be housed or yarded within 300 m of high</w:t>
      </w:r>
      <w:r>
        <w:rPr>
          <w:snapToGrid w:val="0"/>
        </w:rPr>
        <w:noBreakHyphen/>
        <w:t>water mark or of any well or bore or in a position that stormwaters may wash any manure or refuse therefrom into any reservoir or feeder.</w:t>
      </w:r>
    </w:p>
    <w:p>
      <w:pPr>
        <w:pStyle w:val="Subsection"/>
        <w:spacing w:before="150"/>
        <w:rPr>
          <w:snapToGrid w:val="0"/>
        </w:rPr>
      </w:pPr>
      <w:r>
        <w:rPr>
          <w:snapToGrid w:val="0"/>
        </w:rPr>
        <w:tab/>
        <w:t>(2)</w:t>
      </w:r>
      <w:r>
        <w:rPr>
          <w:snapToGrid w:val="0"/>
        </w:rPr>
        <w:tab/>
        <w:t>Every such structure within the catchment area shall have attached thereto for containing all liquid and solid manure a watertight receptacle approved by an inspector.</w:t>
      </w:r>
    </w:p>
    <w:p>
      <w:pPr>
        <w:pStyle w:val="Subsection"/>
        <w:spacing w:before="150"/>
        <w:rPr>
          <w:snapToGrid w:val="0"/>
        </w:rPr>
      </w:pPr>
      <w:r>
        <w:rPr>
          <w:snapToGrid w:val="0"/>
        </w:rPr>
        <w:tab/>
        <w:t>(3)(a)</w:t>
      </w:r>
      <w:r>
        <w:rPr>
          <w:snapToGrid w:val="0"/>
        </w:rPr>
        <w:tab/>
        <w:t>Land sloping to a feeder on which any such structure stands shall be excavated to a depth of at least 30 cm and the soil so obtained shall be used as an embankment around the area so excavated.</w:t>
      </w:r>
    </w:p>
    <w:p>
      <w:pPr>
        <w:pStyle w:val="Subsection"/>
        <w:spacing w:before="150"/>
        <w:rPr>
          <w:snapToGrid w:val="0"/>
        </w:rPr>
      </w:pPr>
      <w:r>
        <w:rPr>
          <w:snapToGrid w:val="0"/>
        </w:rPr>
        <w:tab/>
        <w:t>(b)</w:t>
      </w:r>
      <w:r>
        <w:rPr>
          <w:snapToGrid w:val="0"/>
        </w:rPr>
        <w:tab/>
        <w:t>Such work shall be done by and at the expense of the owner or occupier of such premises.</w:t>
      </w:r>
    </w:p>
    <w:p>
      <w:pPr>
        <w:pStyle w:val="Footnotesection"/>
        <w:spacing w:before="100"/>
        <w:ind w:left="890" w:hanging="890"/>
      </w:pPr>
      <w:r>
        <w:tab/>
        <w:t>[By</w:t>
      </w:r>
      <w:r>
        <w:noBreakHyphen/>
        <w:t>law 12 amended in Gazette 29 May 2001 p. 2707.]</w:t>
      </w:r>
    </w:p>
    <w:p>
      <w:pPr>
        <w:pStyle w:val="Heading5"/>
        <w:rPr>
          <w:snapToGrid w:val="0"/>
        </w:rPr>
      </w:pPr>
      <w:bookmarkStart w:id="26" w:name="_Toc483476835"/>
      <w:r>
        <w:rPr>
          <w:rStyle w:val="CharSectno"/>
        </w:rPr>
        <w:t>13</w:t>
      </w:r>
      <w:r>
        <w:rPr>
          <w:snapToGrid w:val="0"/>
        </w:rPr>
        <w:t>.</w:t>
      </w:r>
      <w:r>
        <w:rPr>
          <w:snapToGrid w:val="0"/>
        </w:rPr>
        <w:tab/>
        <w:t>Stables etc. to be kept clean</w:t>
      </w:r>
      <w:bookmarkEnd w:id="26"/>
    </w:p>
    <w:p>
      <w:pPr>
        <w:pStyle w:val="Subsection"/>
        <w:rPr>
          <w:snapToGrid w:val="0"/>
        </w:rPr>
      </w:pPr>
      <w:r>
        <w:rPr>
          <w:snapToGrid w:val="0"/>
        </w:rPr>
        <w:tab/>
      </w:r>
      <w:r>
        <w:rPr>
          <w:snapToGrid w:val="0"/>
        </w:rPr>
        <w:tab/>
        <w:t>The owner or occupier of any stable, cow</w:t>
      </w:r>
      <w:r>
        <w:rPr>
          <w:snapToGrid w:val="0"/>
        </w:rPr>
        <w:softHyphen/>
        <w:t xml:space="preserve"> shed, goat</w:t>
      </w:r>
      <w:r>
        <w:rPr>
          <w:snapToGrid w:val="0"/>
        </w:rPr>
        <w:noBreakHyphen/>
        <w:t>shed, sheep</w:t>
      </w:r>
      <w:r>
        <w:rPr>
          <w:snapToGrid w:val="0"/>
        </w:rPr>
        <w:noBreakHyphen/>
        <w:t>pen, pig</w:t>
      </w:r>
      <w:r>
        <w:rPr>
          <w:snapToGrid w:val="0"/>
        </w:rPr>
        <w:noBreakHyphen/>
        <w:t>sty or fowl</w:t>
      </w:r>
      <w:r>
        <w:rPr>
          <w:snapToGrid w:val="0"/>
        </w:rPr>
        <w:noBreakHyphen/>
        <w:t>house, situated within a catchment area, shall not allow any dung, manure, or other refuse to accumulate in or near such premises, but shall immediately remove or dispose of same in such manner that it cannot pollute any water flowing or which may flow into any reservoir or any feeder or any well or bore and an inspector may by written notice to the owner or occupier order the immediate removal and disposal of any dung, manure, or other refuse from such premises and any person omitting to comply with the notice to the satisfaction of an inspector shall be guilty of an offence against these by</w:t>
      </w:r>
      <w:r>
        <w:rPr>
          <w:snapToGrid w:val="0"/>
        </w:rPr>
        <w:noBreakHyphen/>
        <w:t>laws, and liable to penalties for breach thereof.</w:t>
      </w:r>
    </w:p>
    <w:p>
      <w:pPr>
        <w:pStyle w:val="Heading5"/>
        <w:rPr>
          <w:snapToGrid w:val="0"/>
        </w:rPr>
      </w:pPr>
      <w:bookmarkStart w:id="27" w:name="_Toc483476836"/>
      <w:r>
        <w:rPr>
          <w:rStyle w:val="CharSectno"/>
        </w:rPr>
        <w:t>14</w:t>
      </w:r>
      <w:r>
        <w:rPr>
          <w:snapToGrid w:val="0"/>
        </w:rPr>
        <w:t>.</w:t>
      </w:r>
      <w:r>
        <w:rPr>
          <w:snapToGrid w:val="0"/>
        </w:rPr>
        <w:tab/>
        <w:t>Closets to be disinfected</w:t>
      </w:r>
      <w:bookmarkEnd w:id="27"/>
    </w:p>
    <w:p>
      <w:pPr>
        <w:pStyle w:val="Subsection"/>
        <w:rPr>
          <w:snapToGrid w:val="0"/>
        </w:rPr>
      </w:pPr>
      <w:r>
        <w:rPr>
          <w:snapToGrid w:val="0"/>
        </w:rPr>
        <w:tab/>
      </w:r>
      <w:r>
        <w:rPr>
          <w:snapToGrid w:val="0"/>
        </w:rPr>
        <w:tab/>
        <w:t xml:space="preserve">The occupier of every house or premises whether public or private situated on any catchment area, shall when required by the </w:t>
      </w:r>
      <w:r>
        <w:t>CEO</w:t>
      </w:r>
      <w:r>
        <w:rPr>
          <w:snapToGrid w:val="0"/>
        </w:rPr>
        <w:t>, cause all nightsoil or other matter deposited in any pan in any closet or privy to be thoroughly disinfected in the manner specified by an inspector.</w:t>
      </w:r>
    </w:p>
    <w:p>
      <w:pPr>
        <w:pStyle w:val="Footnotesection"/>
      </w:pPr>
      <w:r>
        <w:tab/>
        <w:t>[By</w:t>
      </w:r>
      <w:r>
        <w:noBreakHyphen/>
        <w:t>law 14 amended in Gazette 29 Dec 1995 p. 6309; 21 Apr 2011 p. 1472.]</w:t>
      </w:r>
    </w:p>
    <w:p>
      <w:pPr>
        <w:pStyle w:val="Heading5"/>
        <w:rPr>
          <w:snapToGrid w:val="0"/>
        </w:rPr>
      </w:pPr>
      <w:bookmarkStart w:id="28" w:name="_Toc483476837"/>
      <w:r>
        <w:rPr>
          <w:rStyle w:val="CharSectno"/>
        </w:rPr>
        <w:t>15</w:t>
      </w:r>
      <w:r>
        <w:rPr>
          <w:snapToGrid w:val="0"/>
        </w:rPr>
        <w:t>.</w:t>
      </w:r>
      <w:r>
        <w:rPr>
          <w:snapToGrid w:val="0"/>
        </w:rPr>
        <w:tab/>
        <w:t>Nightsoil to be treated</w:t>
      </w:r>
      <w:bookmarkEnd w:id="28"/>
    </w:p>
    <w:p>
      <w:pPr>
        <w:pStyle w:val="Subsection"/>
        <w:rPr>
          <w:snapToGrid w:val="0"/>
        </w:rPr>
      </w:pPr>
      <w:r>
        <w:rPr>
          <w:snapToGrid w:val="0"/>
        </w:rPr>
        <w:tab/>
      </w:r>
      <w:r>
        <w:rPr>
          <w:snapToGrid w:val="0"/>
        </w:rPr>
        <w:tab/>
        <w:t>Every nightman or contractor shall cause the nightsoil removed from any premises to be either rendered inoffensive or treated in a destructor, desiccator or incinerator, or buried in trenches outside the catchment area, or disposed of in a manner approved by an inspector.</w:t>
      </w:r>
    </w:p>
    <w:p>
      <w:pPr>
        <w:pStyle w:val="Heading5"/>
        <w:rPr>
          <w:snapToGrid w:val="0"/>
        </w:rPr>
      </w:pPr>
      <w:bookmarkStart w:id="29" w:name="_Toc483476838"/>
      <w:r>
        <w:rPr>
          <w:rStyle w:val="CharSectno"/>
        </w:rPr>
        <w:t>16</w:t>
      </w:r>
      <w:r>
        <w:rPr>
          <w:snapToGrid w:val="0"/>
        </w:rPr>
        <w:t>.</w:t>
      </w:r>
      <w:r>
        <w:rPr>
          <w:snapToGrid w:val="0"/>
        </w:rPr>
        <w:tab/>
        <w:t>Closet pans, procedure for removing and cleaning</w:t>
      </w:r>
      <w:bookmarkEnd w:id="29"/>
    </w:p>
    <w:p>
      <w:pPr>
        <w:pStyle w:val="Subsection"/>
        <w:rPr>
          <w:snapToGrid w:val="0"/>
        </w:rPr>
      </w:pPr>
      <w:r>
        <w:rPr>
          <w:snapToGrid w:val="0"/>
        </w:rPr>
        <w:tab/>
      </w:r>
      <w:r>
        <w:rPr>
          <w:snapToGrid w:val="0"/>
        </w:rPr>
        <w:tab/>
        <w:t>The mode of removal of each receptacle in each closet shall be as follows:</w:t>
      </w:r>
    </w:p>
    <w:p>
      <w:pPr>
        <w:pStyle w:val="Indenta"/>
        <w:rPr>
          <w:snapToGrid w:val="0"/>
        </w:rPr>
      </w:pPr>
      <w:r>
        <w:rPr>
          <w:snapToGrid w:val="0"/>
        </w:rPr>
        <w:tab/>
        <w:t>(a)</w:t>
      </w:r>
      <w:r>
        <w:rPr>
          <w:snapToGrid w:val="0"/>
        </w:rPr>
        <w:tab/>
        <w:t>The nightman shall remove each receptacle and at once cover the same with a suitable tight</w:t>
      </w:r>
      <w:r>
        <w:rPr>
          <w:snapToGrid w:val="0"/>
        </w:rPr>
        <w:noBreakHyphen/>
        <w:t xml:space="preserve">fitting lid, and upon every such removal shall carefully place a cleansed pan, of the pattern approved by the </w:t>
      </w:r>
      <w:r>
        <w:t>CEO</w:t>
      </w:r>
      <w:r>
        <w:rPr>
          <w:snapToGrid w:val="0"/>
        </w:rPr>
        <w:t xml:space="preserve"> or an inspector, in lieu of every pan so removed.</w:t>
      </w:r>
    </w:p>
    <w:p>
      <w:pPr>
        <w:pStyle w:val="Indenta"/>
        <w:rPr>
          <w:snapToGrid w:val="0"/>
        </w:rPr>
      </w:pPr>
      <w:r>
        <w:rPr>
          <w:snapToGrid w:val="0"/>
        </w:rPr>
        <w:tab/>
        <w:t>(b)</w:t>
      </w:r>
      <w:r>
        <w:rPr>
          <w:snapToGrid w:val="0"/>
        </w:rPr>
        <w:tab/>
        <w:t xml:space="preserve">Each receptacle which is so removed from a closet and sealed with a lid as prescribed in the foregoing clause, shall be removed by the nightman in a cart or vehicle of a pattern to be approved by an inspector, and the contents of all such receptacles shall be deposited in such place or places as shall from time to time be fixed by the </w:t>
      </w:r>
      <w:r>
        <w:t>CEO</w:t>
      </w:r>
      <w:r>
        <w:rPr>
          <w:snapToGrid w:val="0"/>
        </w:rPr>
        <w:t xml:space="preserve"> or an inspector.</w:t>
      </w:r>
    </w:p>
    <w:p>
      <w:pPr>
        <w:pStyle w:val="Indenta"/>
        <w:rPr>
          <w:snapToGrid w:val="0"/>
        </w:rPr>
      </w:pPr>
      <w:r>
        <w:rPr>
          <w:snapToGrid w:val="0"/>
        </w:rPr>
        <w:tab/>
        <w:t>(c)</w:t>
      </w:r>
      <w:r>
        <w:rPr>
          <w:snapToGrid w:val="0"/>
        </w:rPr>
        <w:tab/>
        <w:t>After the receptacle has been emptied, it and its lid shall be thoroughly washed, and scrubbed in clean water and then the inside of the receptacle and both sides of the lid shall be thoroughly scrubbed in a disinfecting solution, a separate brush being used, and then wholly immersed in a solution of disinfectant having a germicidal value equal to a 5% solution of pure carbolic acid; or thoroughly cleansed in a steam</w:t>
      </w:r>
      <w:r>
        <w:rPr>
          <w:snapToGrid w:val="0"/>
        </w:rPr>
        <w:noBreakHyphen/>
        <w:t>tight box or chamber with steam, to be applied to the receptacle and lid for not less than 5 minutes.</w:t>
      </w:r>
    </w:p>
    <w:p>
      <w:pPr>
        <w:pStyle w:val="Indenta"/>
        <w:rPr>
          <w:snapToGrid w:val="0"/>
        </w:rPr>
      </w:pPr>
      <w:r>
        <w:rPr>
          <w:snapToGrid w:val="0"/>
        </w:rPr>
        <w:tab/>
        <w:t>(d)</w:t>
      </w:r>
      <w:r>
        <w:rPr>
          <w:snapToGrid w:val="0"/>
        </w:rPr>
        <w:tab/>
        <w:t>The interior surface of every receptacle and the underside of the lids shall, after being thoroughly cleansed, be properly coated with coal tar applied hot, and the coating shall be renewed, whenever necessary, so as to properly protect the whole internal surface of the receptacle and the underside of the lid.</w:t>
      </w:r>
    </w:p>
    <w:p>
      <w:pPr>
        <w:pStyle w:val="Indenta"/>
        <w:rPr>
          <w:snapToGrid w:val="0"/>
        </w:rPr>
      </w:pPr>
      <w:r>
        <w:rPr>
          <w:snapToGrid w:val="0"/>
        </w:rPr>
        <w:tab/>
        <w:t>(e)</w:t>
      </w:r>
      <w:r>
        <w:rPr>
          <w:snapToGrid w:val="0"/>
        </w:rPr>
        <w:tab/>
        <w:t xml:space="preserve">The receptacle shall be emptied and perfectly cleansed as above once per week at least, or so much more frequently as the </w:t>
      </w:r>
      <w:r>
        <w:t>CEO</w:t>
      </w:r>
      <w:r>
        <w:rPr>
          <w:snapToGrid w:val="0"/>
        </w:rPr>
        <w:t xml:space="preserve"> or inspector may from time to time direct.</w:t>
      </w:r>
    </w:p>
    <w:p>
      <w:pPr>
        <w:pStyle w:val="Footnotesection"/>
      </w:pPr>
      <w:r>
        <w:tab/>
        <w:t>[By</w:t>
      </w:r>
      <w:r>
        <w:noBreakHyphen/>
        <w:t>law 16 amended in Gazette 29 Dec 1995 p. 6309; 21 Apr 2011 p. 1472.]</w:t>
      </w:r>
    </w:p>
    <w:p>
      <w:pPr>
        <w:pStyle w:val="Heading5"/>
        <w:rPr>
          <w:snapToGrid w:val="0"/>
        </w:rPr>
      </w:pPr>
      <w:bookmarkStart w:id="30" w:name="_Toc483476839"/>
      <w:r>
        <w:rPr>
          <w:rStyle w:val="CharSectno"/>
        </w:rPr>
        <w:t>17</w:t>
      </w:r>
      <w:r>
        <w:rPr>
          <w:snapToGrid w:val="0"/>
        </w:rPr>
        <w:t>.</w:t>
      </w:r>
      <w:r>
        <w:rPr>
          <w:snapToGrid w:val="0"/>
        </w:rPr>
        <w:tab/>
        <w:t>Nightsoil, charges for removal of</w:t>
      </w:r>
      <w:bookmarkEnd w:id="30"/>
    </w:p>
    <w:p>
      <w:pPr>
        <w:pStyle w:val="Subsection"/>
        <w:rPr>
          <w:snapToGrid w:val="0"/>
        </w:rPr>
      </w:pPr>
      <w:r>
        <w:rPr>
          <w:snapToGrid w:val="0"/>
        </w:rPr>
        <w:tab/>
      </w:r>
      <w:r>
        <w:rPr>
          <w:snapToGrid w:val="0"/>
        </w:rPr>
        <w:tab/>
        <w:t xml:space="preserve">Every nightman is entitled to charge, unless other arrangements be made, and to receive from the occupier of any premises from which any nightsoil, trade or house refuse is removed, such sum or sums of money as are specified in a contract and approved by the </w:t>
      </w:r>
      <w:r>
        <w:t>CEO</w:t>
      </w:r>
      <w:r>
        <w:rPr>
          <w:snapToGrid w:val="0"/>
        </w:rPr>
        <w:t>, and shall not ask, demand, or receive more than the sums approved.</w:t>
      </w:r>
    </w:p>
    <w:p>
      <w:pPr>
        <w:pStyle w:val="Footnotesection"/>
      </w:pPr>
      <w:r>
        <w:tab/>
        <w:t>[By</w:t>
      </w:r>
      <w:r>
        <w:noBreakHyphen/>
        <w:t>law 17 amended in Gazette 29 Dec 1995 p. 6309; 21 Apr 2011 p. 1472.]</w:t>
      </w:r>
    </w:p>
    <w:p>
      <w:pPr>
        <w:pStyle w:val="Ednotesection"/>
      </w:pPr>
      <w:r>
        <w:t>[</w:t>
      </w:r>
      <w:r>
        <w:rPr>
          <w:b/>
        </w:rPr>
        <w:t>18, 19.</w:t>
      </w:r>
      <w:r>
        <w:tab/>
        <w:t>Deleted in Gazette 29 Dec 1995 p. 6309.]</w:t>
      </w:r>
    </w:p>
    <w:p>
      <w:pPr>
        <w:pStyle w:val="Heading5"/>
        <w:rPr>
          <w:snapToGrid w:val="0"/>
        </w:rPr>
      </w:pPr>
      <w:bookmarkStart w:id="31" w:name="_Toc483476840"/>
      <w:r>
        <w:rPr>
          <w:rStyle w:val="CharSectno"/>
        </w:rPr>
        <w:t>19A</w:t>
      </w:r>
      <w:r>
        <w:rPr>
          <w:snapToGrid w:val="0"/>
        </w:rPr>
        <w:t>.</w:t>
      </w:r>
      <w:r>
        <w:rPr>
          <w:snapToGrid w:val="0"/>
        </w:rPr>
        <w:tab/>
        <w:t>Pigs, keeping of</w:t>
      </w:r>
      <w:bookmarkEnd w:id="31"/>
    </w:p>
    <w:p>
      <w:pPr>
        <w:pStyle w:val="Subsection"/>
        <w:rPr>
          <w:snapToGrid w:val="0"/>
        </w:rPr>
      </w:pPr>
      <w:r>
        <w:rPr>
          <w:snapToGrid w:val="0"/>
        </w:rPr>
        <w:tab/>
      </w:r>
      <w:r>
        <w:rPr>
          <w:snapToGrid w:val="0"/>
        </w:rPr>
        <w:tab/>
        <w:t>The keeping of swine on any portion of a catchment area within 500 m of a reservoir or feeder situate within a catchment area or of a well or bore is hereby forbidden.</w:t>
      </w:r>
    </w:p>
    <w:p>
      <w:pPr>
        <w:pStyle w:val="Footnotesection"/>
      </w:pPr>
      <w:r>
        <w:tab/>
        <w:t>[By</w:t>
      </w:r>
      <w:r>
        <w:noBreakHyphen/>
        <w:t>law 19A amended in Gazette 29 May 2001 p. 2707.]</w:t>
      </w:r>
    </w:p>
    <w:p>
      <w:pPr>
        <w:pStyle w:val="Heading5"/>
        <w:rPr>
          <w:snapToGrid w:val="0"/>
        </w:rPr>
      </w:pPr>
      <w:bookmarkStart w:id="32" w:name="_Toc483476841"/>
      <w:r>
        <w:rPr>
          <w:rStyle w:val="CharSectno"/>
        </w:rPr>
        <w:t>20</w:t>
      </w:r>
      <w:r>
        <w:rPr>
          <w:snapToGrid w:val="0"/>
        </w:rPr>
        <w:t>.</w:t>
      </w:r>
      <w:r>
        <w:rPr>
          <w:snapToGrid w:val="0"/>
        </w:rPr>
        <w:tab/>
        <w:t>Animals not to be allowed to stray over certain catchment areas</w:t>
      </w:r>
      <w:bookmarkEnd w:id="32"/>
    </w:p>
    <w:p>
      <w:pPr>
        <w:pStyle w:val="Subsection"/>
        <w:rPr>
          <w:snapToGrid w:val="0"/>
        </w:rPr>
      </w:pPr>
      <w:r>
        <w:rPr>
          <w:snapToGrid w:val="0"/>
        </w:rPr>
        <w:tab/>
      </w:r>
      <w:r>
        <w:rPr>
          <w:snapToGrid w:val="0"/>
        </w:rPr>
        <w:tab/>
        <w:t xml:space="preserve">A person shall not cause or permit horses, cattle, sheep, goats, pigs, ducks, geese, fowls or other species of livestock to stray or depasture over any portion of a catchment area in respect of which area the </w:t>
      </w:r>
      <w:r>
        <w:t>CEO</w:t>
      </w:r>
      <w:r>
        <w:rPr>
          <w:snapToGrid w:val="0"/>
        </w:rPr>
        <w:t xml:space="preserve"> has by notice in the </w:t>
      </w:r>
      <w:r>
        <w:rPr>
          <w:i/>
          <w:snapToGrid w:val="0"/>
        </w:rPr>
        <w:t>Government Gazette</w:t>
      </w:r>
      <w:r>
        <w:rPr>
          <w:snapToGrid w:val="0"/>
        </w:rPr>
        <w:t xml:space="preserve"> prohibited the straying or depasturing of horses, cattle, sheep, goats, pigs, ducks, geese, fowls or other species of livestock.</w:t>
      </w:r>
    </w:p>
    <w:p>
      <w:pPr>
        <w:pStyle w:val="Footnotesection"/>
      </w:pPr>
      <w:r>
        <w:tab/>
        <w:t>[By</w:t>
      </w:r>
      <w:r>
        <w:noBreakHyphen/>
        <w:t>law 20 amended in Gazette 29 Dec 1995 p. 6309; 21 Apr 2011 p. 1472.]</w:t>
      </w:r>
    </w:p>
    <w:p>
      <w:pPr>
        <w:pStyle w:val="Heading5"/>
        <w:rPr>
          <w:snapToGrid w:val="0"/>
        </w:rPr>
      </w:pPr>
      <w:bookmarkStart w:id="33" w:name="_Toc483476842"/>
      <w:r>
        <w:rPr>
          <w:rStyle w:val="CharSectno"/>
        </w:rPr>
        <w:t>21</w:t>
      </w:r>
      <w:r>
        <w:rPr>
          <w:snapToGrid w:val="0"/>
        </w:rPr>
        <w:t>.</w:t>
      </w:r>
      <w:r>
        <w:rPr>
          <w:snapToGrid w:val="0"/>
        </w:rPr>
        <w:tab/>
        <w:t>Abattoirs etc., establishment of</w:t>
      </w:r>
      <w:bookmarkEnd w:id="33"/>
    </w:p>
    <w:p>
      <w:pPr>
        <w:pStyle w:val="Subsection"/>
        <w:rPr>
          <w:b/>
          <w:bCs/>
          <w:snapToGrid w:val="0"/>
        </w:rPr>
      </w:pPr>
      <w:r>
        <w:rPr>
          <w:snapToGrid w:val="0"/>
        </w:rPr>
        <w:tab/>
      </w:r>
      <w:r>
        <w:rPr>
          <w:snapToGrid w:val="0"/>
        </w:rPr>
        <w:tab/>
        <w:t>Abattoirs, slaughterhouses or any trade with offensive waste shall not be established or conducted in any part of the catchment area, except in an area defined in the Schedule to this by</w:t>
      </w:r>
      <w:r>
        <w:rPr>
          <w:snapToGrid w:val="0"/>
        </w:rPr>
        <w:noBreakHyphen/>
        <w:t xml:space="preserve">law and set apart for the offensive trades, and unless provision is made for the disposal of all wastes, liquid or otherwise, either outside the catchment area, or in some other manner approved by the </w:t>
      </w:r>
      <w:r>
        <w:t>CEO</w:t>
      </w:r>
      <w:r>
        <w:rPr>
          <w:snapToGrid w:val="0"/>
        </w:rPr>
        <w:t>.</w:t>
      </w:r>
    </w:p>
    <w:p>
      <w:pPr>
        <w:pStyle w:val="MiscellaneousHeading"/>
        <w:ind w:left="840" w:right="8"/>
        <w:rPr>
          <w:b/>
          <w:bCs/>
          <w:snapToGrid w:val="0"/>
        </w:rPr>
      </w:pPr>
      <w:r>
        <w:rPr>
          <w:b/>
          <w:bCs/>
          <w:snapToGrid w:val="0"/>
        </w:rPr>
        <w:t>Schedule</w:t>
      </w:r>
    </w:p>
    <w:tbl>
      <w:tblPr>
        <w:tblW w:w="0" w:type="auto"/>
        <w:tblInd w:w="879" w:type="dxa"/>
        <w:tblLook w:val="0000" w:firstRow="0" w:lastRow="0" w:firstColumn="0" w:lastColumn="0" w:noHBand="0" w:noVBand="0"/>
      </w:tblPr>
      <w:tblGrid>
        <w:gridCol w:w="6425"/>
      </w:tblGrid>
      <w:tr>
        <w:tc>
          <w:tcPr>
            <w:tcW w:w="6425" w:type="dxa"/>
          </w:tcPr>
          <w:p>
            <w:pPr>
              <w:pStyle w:val="Table"/>
              <w:jc w:val="center"/>
              <w:rPr>
                <w:b/>
                <w:bCs/>
                <w:snapToGrid w:val="0"/>
              </w:rPr>
            </w:pPr>
            <w:r>
              <w:rPr>
                <w:b/>
                <w:bCs/>
                <w:snapToGrid w:val="0"/>
              </w:rPr>
              <w:t>Area; Description</w:t>
            </w:r>
          </w:p>
        </w:tc>
      </w:tr>
      <w:tr>
        <w:tc>
          <w:tcPr>
            <w:tcW w:w="6425" w:type="dxa"/>
          </w:tcPr>
          <w:p>
            <w:pPr>
              <w:pStyle w:val="Table"/>
              <w:rPr>
                <w:snapToGrid w:val="0"/>
              </w:rPr>
            </w:pPr>
            <w:r>
              <w:rPr>
                <w:snapToGrid w:val="0"/>
              </w:rPr>
              <w:t>Wellington Dam Catchment — Offensive Trades Waste Area; that piece of land delineated and bordered in red on Public Works Department Plan, W.A. 36033.</w:t>
            </w:r>
          </w:p>
        </w:tc>
      </w:tr>
    </w:tbl>
    <w:p>
      <w:pPr>
        <w:pStyle w:val="Footnotesection"/>
        <w:spacing w:before="100"/>
        <w:ind w:left="890" w:hanging="890"/>
      </w:pPr>
      <w:r>
        <w:tab/>
        <w:t>[By</w:t>
      </w:r>
      <w:r>
        <w:noBreakHyphen/>
        <w:t>law 21 amended in Gazette 25 Jul 1958 p. 1689</w:t>
      </w:r>
      <w:r>
        <w:noBreakHyphen/>
        <w:t>90; 29 Dec 1995 p. 6309; 21 Apr 2011 p. 1472.]</w:t>
      </w:r>
    </w:p>
    <w:p>
      <w:pPr>
        <w:pStyle w:val="Heading5"/>
        <w:spacing w:before="210"/>
        <w:rPr>
          <w:snapToGrid w:val="0"/>
        </w:rPr>
      </w:pPr>
      <w:bookmarkStart w:id="34" w:name="_Toc483476843"/>
      <w:r>
        <w:rPr>
          <w:rStyle w:val="CharSectno"/>
        </w:rPr>
        <w:t>22</w:t>
      </w:r>
      <w:r>
        <w:rPr>
          <w:snapToGrid w:val="0"/>
        </w:rPr>
        <w:t>.</w:t>
      </w:r>
      <w:r>
        <w:rPr>
          <w:snapToGrid w:val="0"/>
        </w:rPr>
        <w:tab/>
        <w:t>Carcasses to be removed from near water</w:t>
      </w:r>
      <w:bookmarkEnd w:id="34"/>
    </w:p>
    <w:p>
      <w:pPr>
        <w:pStyle w:val="Subsection"/>
        <w:spacing w:before="140"/>
        <w:rPr>
          <w:snapToGrid w:val="0"/>
        </w:rPr>
      </w:pPr>
      <w:r>
        <w:rPr>
          <w:snapToGrid w:val="0"/>
        </w:rPr>
        <w:tab/>
      </w:r>
      <w:r>
        <w:rPr>
          <w:snapToGrid w:val="0"/>
        </w:rPr>
        <w:tab/>
        <w:t>In the event of the death or of an accident necessitating the slaughter of any horse, cattle, or sheep, or other animal, the carcase of the animal shall be removed by the owner thereof to a safe distance from high</w:t>
      </w:r>
      <w:r>
        <w:rPr>
          <w:snapToGrid w:val="0"/>
        </w:rPr>
        <w:noBreakHyphen/>
        <w:t>water mark, or of any well or bore, or any feeder, or to such place as an inspector may direct, and the owner shall immediately thereafter dispose of same by burning to the satisfaction of the inspector, or if the owner cannot be found, the inspector shall destroy it.</w:t>
      </w:r>
    </w:p>
    <w:p>
      <w:pPr>
        <w:pStyle w:val="Heading5"/>
        <w:rPr>
          <w:snapToGrid w:val="0"/>
        </w:rPr>
      </w:pPr>
      <w:bookmarkStart w:id="35" w:name="_Toc483476844"/>
      <w:r>
        <w:rPr>
          <w:rStyle w:val="CharSectno"/>
        </w:rPr>
        <w:t>23</w:t>
      </w:r>
      <w:r>
        <w:rPr>
          <w:snapToGrid w:val="0"/>
        </w:rPr>
        <w:t>.</w:t>
      </w:r>
      <w:r>
        <w:rPr>
          <w:snapToGrid w:val="0"/>
        </w:rPr>
        <w:tab/>
        <w:t>Human burials to be in approved places</w:t>
      </w:r>
      <w:bookmarkEnd w:id="35"/>
    </w:p>
    <w:p>
      <w:pPr>
        <w:pStyle w:val="Subsection"/>
        <w:spacing w:before="140"/>
        <w:rPr>
          <w:snapToGrid w:val="0"/>
        </w:rPr>
      </w:pPr>
      <w:r>
        <w:rPr>
          <w:snapToGrid w:val="0"/>
        </w:rPr>
        <w:tab/>
        <w:t>(1)</w:t>
      </w:r>
      <w:r>
        <w:rPr>
          <w:snapToGrid w:val="0"/>
        </w:rPr>
        <w:tab/>
        <w:t>No human body shall be buried in any catchment area except in a place approved by the</w:t>
      </w:r>
      <w:r>
        <w:t xml:space="preserve"> Minister.</w:t>
      </w:r>
    </w:p>
    <w:p>
      <w:pPr>
        <w:pStyle w:val="Subsection"/>
        <w:spacing w:before="140"/>
        <w:rPr>
          <w:snapToGrid w:val="0"/>
        </w:rPr>
      </w:pPr>
      <w:r>
        <w:rPr>
          <w:snapToGrid w:val="0"/>
        </w:rPr>
        <w:tab/>
        <w:t>(2)</w:t>
      </w:r>
      <w:r>
        <w:rPr>
          <w:snapToGrid w:val="0"/>
        </w:rPr>
        <w:tab/>
        <w:t xml:space="preserve">Any human body so buried with the approval of the </w:t>
      </w:r>
      <w:r>
        <w:t>Minister</w:t>
      </w:r>
      <w:r>
        <w:rPr>
          <w:snapToGrid w:val="0"/>
        </w:rPr>
        <w:t xml:space="preserve"> shall be covered with at least 1.5 m of earth.</w:t>
      </w:r>
    </w:p>
    <w:p>
      <w:pPr>
        <w:pStyle w:val="Footnotesection"/>
        <w:spacing w:before="100"/>
        <w:ind w:left="890" w:hanging="890"/>
      </w:pPr>
      <w:r>
        <w:tab/>
        <w:t>[By</w:t>
      </w:r>
      <w:r>
        <w:noBreakHyphen/>
        <w:t>law 23 amended in Gazette 29 Dec 1995 p. 6309; 29 May 2001 p. 2707; 21 Apr 2011 p. 1471.]</w:t>
      </w:r>
    </w:p>
    <w:p>
      <w:pPr>
        <w:pStyle w:val="Heading5"/>
        <w:rPr>
          <w:snapToGrid w:val="0"/>
        </w:rPr>
      </w:pPr>
      <w:bookmarkStart w:id="36" w:name="_Toc483476845"/>
      <w:r>
        <w:rPr>
          <w:rStyle w:val="CharSectno"/>
        </w:rPr>
        <w:t>24</w:t>
      </w:r>
      <w:r>
        <w:rPr>
          <w:snapToGrid w:val="0"/>
        </w:rPr>
        <w:t>.</w:t>
      </w:r>
      <w:r>
        <w:rPr>
          <w:snapToGrid w:val="0"/>
        </w:rPr>
        <w:tab/>
        <w:t>Household refuse, receptacles for</w:t>
      </w:r>
      <w:bookmarkEnd w:id="36"/>
    </w:p>
    <w:p>
      <w:pPr>
        <w:pStyle w:val="Subsection"/>
        <w:spacing w:before="140"/>
        <w:rPr>
          <w:snapToGrid w:val="0"/>
        </w:rPr>
      </w:pPr>
      <w:r>
        <w:rPr>
          <w:snapToGrid w:val="0"/>
        </w:rPr>
        <w:tab/>
        <w:t>(1)</w:t>
      </w:r>
      <w:r>
        <w:rPr>
          <w:snapToGrid w:val="0"/>
        </w:rPr>
        <w:tab/>
        <w:t xml:space="preserve">The occupier of every house or premises shall provide and keep in a position approved by an inspector, such and so many receptacles or boxes of the material and of the dimensions as may be required by the </w:t>
      </w:r>
      <w:r>
        <w:t>CEO</w:t>
      </w:r>
      <w:r>
        <w:rPr>
          <w:snapToGrid w:val="0"/>
        </w:rPr>
        <w:t xml:space="preserve"> or inspector for the temporary deposit of solid house refuse.</w:t>
      </w:r>
    </w:p>
    <w:p>
      <w:pPr>
        <w:pStyle w:val="Subsection"/>
        <w:rPr>
          <w:snapToGrid w:val="0"/>
        </w:rPr>
      </w:pPr>
      <w:r>
        <w:rPr>
          <w:snapToGrid w:val="0"/>
        </w:rPr>
        <w:tab/>
        <w:t>(2)</w:t>
      </w:r>
      <w:r>
        <w:rPr>
          <w:snapToGrid w:val="0"/>
          <w:spacing w:val="-4"/>
        </w:rPr>
        <w:tab/>
      </w:r>
      <w:r>
        <w:rPr>
          <w:snapToGrid w:val="0"/>
        </w:rPr>
        <w:t>The owner or occupier of the house shall regularly collect all refuse or rubbish from the premises, and place the same in receptacles and he shall not permit or suffer the receptacles to overflow or become offensive, and shall, when necessary, or directed by the inspector, thoroughly disinfect the same forthwith.</w:t>
      </w:r>
    </w:p>
    <w:p>
      <w:pPr>
        <w:pStyle w:val="Subsection"/>
        <w:rPr>
          <w:snapToGrid w:val="0"/>
        </w:rPr>
      </w:pPr>
      <w:r>
        <w:rPr>
          <w:snapToGrid w:val="0"/>
        </w:rPr>
        <w:tab/>
        <w:t>(3)(a)</w:t>
      </w:r>
      <w:r>
        <w:rPr>
          <w:snapToGrid w:val="0"/>
        </w:rPr>
        <w:tab/>
        <w:t>The owner or occupier of every house or premises in which a receptacle or box is so provided or kept or used, shall cause same to be emptied at least once a week or as often as the inspector may direct.</w:t>
      </w:r>
    </w:p>
    <w:p>
      <w:pPr>
        <w:pStyle w:val="Subsection"/>
        <w:rPr>
          <w:snapToGrid w:val="0"/>
        </w:rPr>
      </w:pPr>
      <w:r>
        <w:rPr>
          <w:snapToGrid w:val="0"/>
        </w:rPr>
        <w:tab/>
        <w:t>(b)</w:t>
      </w:r>
      <w:r>
        <w:rPr>
          <w:snapToGrid w:val="0"/>
        </w:rPr>
        <w:tab/>
        <w:t>The owner or occupier of the house or premises shall keep the receptacle or box in good repair, and upon notice from the inspector immediately replace by a new and improved receptacle or box any receptacle or box that the inspector may deem worn out or unfit for use.</w:t>
      </w:r>
    </w:p>
    <w:p>
      <w:pPr>
        <w:pStyle w:val="Footnotesection"/>
        <w:keepLines w:val="0"/>
      </w:pPr>
      <w:r>
        <w:tab/>
        <w:t>[By</w:t>
      </w:r>
      <w:r>
        <w:noBreakHyphen/>
        <w:t>law 24 amended in Gazette 29 Dec 1995 p. 6309; 21 Apr 2011 p. 1472.]</w:t>
      </w:r>
    </w:p>
    <w:p>
      <w:pPr>
        <w:pStyle w:val="Heading5"/>
        <w:rPr>
          <w:snapToGrid w:val="0"/>
        </w:rPr>
      </w:pPr>
      <w:bookmarkStart w:id="37" w:name="_Toc483476846"/>
      <w:r>
        <w:rPr>
          <w:rStyle w:val="CharSectno"/>
        </w:rPr>
        <w:t>25</w:t>
      </w:r>
      <w:r>
        <w:rPr>
          <w:snapToGrid w:val="0"/>
        </w:rPr>
        <w:t>.</w:t>
      </w:r>
      <w:r>
        <w:rPr>
          <w:snapToGrid w:val="0"/>
        </w:rPr>
        <w:tab/>
        <w:t>Household refuse, disposal of</w:t>
      </w:r>
      <w:bookmarkEnd w:id="37"/>
    </w:p>
    <w:p>
      <w:pPr>
        <w:pStyle w:val="Subsection"/>
        <w:rPr>
          <w:snapToGrid w:val="0"/>
        </w:rPr>
      </w:pPr>
      <w:r>
        <w:rPr>
          <w:snapToGrid w:val="0"/>
        </w:rPr>
        <w:tab/>
        <w:t>(1)</w:t>
      </w:r>
      <w:r>
        <w:rPr>
          <w:snapToGrid w:val="0"/>
        </w:rPr>
        <w:tab/>
        <w:t xml:space="preserve">The owner or occupier of any house which is served by a rubbish removal service shall not deposit any rubbish whatsoever upon any catchment area, other than in the place set apart by the </w:t>
      </w:r>
      <w:r>
        <w:t>CEO</w:t>
      </w:r>
      <w:r>
        <w:rPr>
          <w:snapToGrid w:val="0"/>
        </w:rPr>
        <w:t xml:space="preserve"> or an inspector for such purpose.</w:t>
      </w:r>
    </w:p>
    <w:p>
      <w:pPr>
        <w:pStyle w:val="Subsection"/>
        <w:rPr>
          <w:snapToGrid w:val="0"/>
        </w:rPr>
      </w:pPr>
      <w:r>
        <w:rPr>
          <w:snapToGrid w:val="0"/>
        </w:rPr>
        <w:tab/>
        <w:t>(2)</w:t>
      </w:r>
      <w:r>
        <w:rPr>
          <w:snapToGrid w:val="0"/>
        </w:rPr>
        <w:tab/>
        <w:t>Where a house is not served by a rubbish removal service, then the owner or occupier of the house may, subject to the next succeeding by</w:t>
      </w:r>
      <w:r>
        <w:rPr>
          <w:snapToGrid w:val="0"/>
        </w:rPr>
        <w:noBreakHyphen/>
        <w:t>law, dispose of his own dry house refuse or rubbish by burial: Provided that such rubbish shall be covered by at least 30 cm of clean earth.</w:t>
      </w:r>
    </w:p>
    <w:p>
      <w:pPr>
        <w:pStyle w:val="Footnotesection"/>
      </w:pPr>
      <w:r>
        <w:tab/>
        <w:t>[By</w:t>
      </w:r>
      <w:r>
        <w:noBreakHyphen/>
        <w:t>law 25 amended in Gazette 29 Dec 1995 p. 6309; 29 May 2001 p. 2707; 21 Apr 2011 p. 1472.]</w:t>
      </w:r>
    </w:p>
    <w:p>
      <w:pPr>
        <w:pStyle w:val="Heading5"/>
        <w:rPr>
          <w:snapToGrid w:val="0"/>
        </w:rPr>
      </w:pPr>
      <w:bookmarkStart w:id="38" w:name="_Toc483476847"/>
      <w:r>
        <w:rPr>
          <w:rStyle w:val="CharSectno"/>
        </w:rPr>
        <w:t>26</w:t>
      </w:r>
      <w:r>
        <w:rPr>
          <w:snapToGrid w:val="0"/>
        </w:rPr>
        <w:t>.</w:t>
      </w:r>
      <w:r>
        <w:rPr>
          <w:snapToGrid w:val="0"/>
        </w:rPr>
        <w:tab/>
        <w:t>Refuse etc. not to be deposited in catchment area</w:t>
      </w:r>
      <w:bookmarkEnd w:id="38"/>
    </w:p>
    <w:p>
      <w:pPr>
        <w:pStyle w:val="Subsection"/>
        <w:rPr>
          <w:snapToGrid w:val="0"/>
        </w:rPr>
      </w:pPr>
      <w:r>
        <w:rPr>
          <w:snapToGrid w:val="0"/>
        </w:rPr>
        <w:tab/>
      </w:r>
      <w:r>
        <w:rPr>
          <w:snapToGrid w:val="0"/>
        </w:rPr>
        <w:tab/>
        <w:t>Rubbish, filth, blood, offal or manure or any slops, soapsuds, urine, water containing urine or other refuse, noisome thing or matter, shall not be deposited or be permitted to be deposited in any part of a catchment area, where it may, in the opinion of an inspector, be carried by stormwater, into any feeder or any well or bore, but every occupier or owner shall provide and maintain proper watertight vehicles or receptacles fitted with close</w:t>
      </w:r>
      <w:r>
        <w:rPr>
          <w:snapToGrid w:val="0"/>
        </w:rPr>
        <w:noBreakHyphen/>
        <w:t>fitting covers or lids for the purpose of carting or receiving same.</w:t>
      </w:r>
    </w:p>
    <w:p>
      <w:pPr>
        <w:pStyle w:val="Heading5"/>
        <w:rPr>
          <w:snapToGrid w:val="0"/>
        </w:rPr>
      </w:pPr>
      <w:bookmarkStart w:id="39" w:name="_Toc483476848"/>
      <w:r>
        <w:rPr>
          <w:rStyle w:val="CharSectno"/>
        </w:rPr>
        <w:t>27</w:t>
      </w:r>
      <w:r>
        <w:rPr>
          <w:snapToGrid w:val="0"/>
        </w:rPr>
        <w:t>.</w:t>
      </w:r>
      <w:r>
        <w:rPr>
          <w:snapToGrid w:val="0"/>
        </w:rPr>
        <w:tab/>
        <w:t>Refuse bins etc., position and cleaning of</w:t>
      </w:r>
      <w:bookmarkEnd w:id="39"/>
    </w:p>
    <w:p>
      <w:pPr>
        <w:pStyle w:val="Subsection"/>
        <w:rPr>
          <w:snapToGrid w:val="0"/>
        </w:rPr>
      </w:pPr>
      <w:r>
        <w:rPr>
          <w:snapToGrid w:val="0"/>
        </w:rPr>
        <w:tab/>
      </w:r>
      <w:r>
        <w:rPr>
          <w:snapToGrid w:val="0"/>
          <w:spacing w:val="-2"/>
        </w:rPr>
        <w:tab/>
      </w:r>
      <w:r>
        <w:rPr>
          <w:snapToGrid w:val="0"/>
        </w:rPr>
        <w:t>All such vehicles or receptacles shall be kept in such convenient place to allow of ready removal as may be directed by an inspector, so as not to be a nuisance to any person, and shall be kept in a thoroughly sanitary condition, and removed at least once every week and cleansed and disinfected both inside and out.</w:t>
      </w:r>
    </w:p>
    <w:p>
      <w:pPr>
        <w:pStyle w:val="Heading5"/>
        <w:rPr>
          <w:snapToGrid w:val="0"/>
        </w:rPr>
      </w:pPr>
      <w:bookmarkStart w:id="40" w:name="_Toc483476849"/>
      <w:r>
        <w:rPr>
          <w:rStyle w:val="CharSectno"/>
        </w:rPr>
        <w:t>28</w:t>
      </w:r>
      <w:r>
        <w:rPr>
          <w:snapToGrid w:val="0"/>
        </w:rPr>
        <w:t>.</w:t>
      </w:r>
      <w:r>
        <w:rPr>
          <w:snapToGrid w:val="0"/>
        </w:rPr>
        <w:tab/>
        <w:t>Refuse etc. to be deposited only at approved sites</w:t>
      </w:r>
      <w:bookmarkEnd w:id="40"/>
    </w:p>
    <w:p>
      <w:pPr>
        <w:pStyle w:val="Subsection"/>
        <w:rPr>
          <w:snapToGrid w:val="0"/>
        </w:rPr>
      </w:pPr>
      <w:r>
        <w:rPr>
          <w:snapToGrid w:val="0"/>
        </w:rPr>
        <w:tab/>
      </w:r>
      <w:r>
        <w:rPr>
          <w:snapToGrid w:val="0"/>
        </w:rPr>
        <w:tab/>
        <w:t xml:space="preserve">Foul or offensive water or other offensive liquid, or refuse, garbage, sweepings, or other offensive matter or thing, shall not be pumped, emptied or swept, thrown, or otherwise discharged or deposited into or upon any street, lane, yard, vacant land, or other place, whether public or private within the district other than the place set apart by the </w:t>
      </w:r>
      <w:r>
        <w:t>CEO</w:t>
      </w:r>
      <w:r>
        <w:rPr>
          <w:snapToGrid w:val="0"/>
        </w:rPr>
        <w:t xml:space="preserve"> or an inspector for that purpose.</w:t>
      </w:r>
    </w:p>
    <w:p>
      <w:pPr>
        <w:pStyle w:val="Footnotesection"/>
        <w:keepLines w:val="0"/>
      </w:pPr>
      <w:r>
        <w:tab/>
        <w:t>[By</w:t>
      </w:r>
      <w:r>
        <w:noBreakHyphen/>
        <w:t>law 28 amended in Gazette 29 Dec 1995 p. 6309; 21 Apr 2011 p. 1472.]</w:t>
      </w:r>
    </w:p>
    <w:p>
      <w:pPr>
        <w:pStyle w:val="Heading5"/>
        <w:rPr>
          <w:snapToGrid w:val="0"/>
        </w:rPr>
      </w:pPr>
      <w:bookmarkStart w:id="41" w:name="_Toc483476850"/>
      <w:r>
        <w:rPr>
          <w:rStyle w:val="CharSectno"/>
        </w:rPr>
        <w:t>29</w:t>
      </w:r>
      <w:r>
        <w:rPr>
          <w:snapToGrid w:val="0"/>
        </w:rPr>
        <w:t>.</w:t>
      </w:r>
      <w:r>
        <w:rPr>
          <w:snapToGrid w:val="0"/>
        </w:rPr>
        <w:tab/>
        <w:t>Industrial wastes, discharge of</w:t>
      </w:r>
      <w:bookmarkEnd w:id="41"/>
    </w:p>
    <w:p>
      <w:pPr>
        <w:pStyle w:val="Subsection"/>
        <w:spacing w:before="120"/>
        <w:rPr>
          <w:snapToGrid w:val="0"/>
        </w:rPr>
      </w:pPr>
      <w:r>
        <w:rPr>
          <w:snapToGrid w:val="0"/>
        </w:rPr>
        <w:tab/>
        <w:t>(1)</w:t>
      </w:r>
      <w:r>
        <w:rPr>
          <w:snapToGrid w:val="0"/>
        </w:rPr>
        <w:tab/>
        <w:t xml:space="preserve">No person shall pump, drain or discharge or permit to be pumped, drained, or discharged, any water or liquid waste from any quarry, mine pit, factory or industrial process upon any catchment area without the written permission of the </w:t>
      </w:r>
      <w:r>
        <w:t>CEO</w:t>
      </w:r>
      <w:r>
        <w:rPr>
          <w:snapToGrid w:val="0"/>
        </w:rPr>
        <w:t>.</w:t>
      </w:r>
    </w:p>
    <w:p>
      <w:pPr>
        <w:pStyle w:val="Subsection"/>
        <w:spacing w:before="120"/>
        <w:rPr>
          <w:snapToGrid w:val="0"/>
        </w:rPr>
      </w:pPr>
      <w:r>
        <w:rPr>
          <w:snapToGrid w:val="0"/>
        </w:rPr>
        <w:tab/>
        <w:t>(2)</w:t>
      </w:r>
      <w:r>
        <w:rPr>
          <w:snapToGrid w:val="0"/>
        </w:rPr>
        <w:tab/>
        <w:t>Where any permitted water or liquid waste is so discharged the person so discharging it shall at all times comply with the requirements of the permit.</w:t>
      </w:r>
    </w:p>
    <w:p>
      <w:pPr>
        <w:pStyle w:val="Footnotesection"/>
      </w:pPr>
      <w:r>
        <w:tab/>
        <w:t>[By</w:t>
      </w:r>
      <w:r>
        <w:noBreakHyphen/>
        <w:t>law 29 amended in Gazette 29 Dec 1995 p. 6309; 21 Apr 2011 p. 1472.]</w:t>
      </w:r>
    </w:p>
    <w:p>
      <w:pPr>
        <w:pStyle w:val="Heading5"/>
        <w:spacing w:before="200"/>
        <w:rPr>
          <w:snapToGrid w:val="0"/>
        </w:rPr>
      </w:pPr>
      <w:bookmarkStart w:id="42" w:name="_Toc483476851"/>
      <w:r>
        <w:rPr>
          <w:rStyle w:val="CharSectno"/>
        </w:rPr>
        <w:t>30</w:t>
      </w:r>
      <w:r>
        <w:rPr>
          <w:snapToGrid w:val="0"/>
        </w:rPr>
        <w:t>.</w:t>
      </w:r>
      <w:r>
        <w:rPr>
          <w:snapToGrid w:val="0"/>
        </w:rPr>
        <w:tab/>
      </w:r>
      <w:smartTag w:uri="urn:schemas-microsoft-com:office:smarttags" w:element="PlaceName">
        <w:r>
          <w:rPr>
            <w:snapToGrid w:val="0"/>
          </w:rPr>
          <w:t>Po</w:t>
        </w:r>
      </w:smartTag>
      <w:r>
        <w:rPr>
          <w:snapToGrid w:val="0"/>
        </w:rPr>
        <w:t>lluting activities prohibited</w:t>
      </w:r>
      <w:bookmarkEnd w:id="42"/>
    </w:p>
    <w:p>
      <w:pPr>
        <w:pStyle w:val="Subsection"/>
        <w:spacing w:before="120"/>
        <w:rPr>
          <w:snapToGrid w:val="0"/>
        </w:rPr>
      </w:pPr>
      <w:r>
        <w:rPr>
          <w:snapToGrid w:val="0"/>
        </w:rPr>
        <w:tab/>
      </w:r>
      <w:r>
        <w:rPr>
          <w:snapToGrid w:val="0"/>
        </w:rPr>
        <w:tab/>
        <w:t>No person shall wash clothes or other articles in any watercourse, reservoir, aqueduct, or any waterworks within a catchment area, nor shall any person wash, throw, cause or permit to enter therein any dog or other animal, or throw or convey, or permit to be conveyed or thrown therein any rubbish, dirt, filth, dead animal, or other noisome thing.</w:t>
      </w:r>
    </w:p>
    <w:p>
      <w:pPr>
        <w:pStyle w:val="Heading5"/>
        <w:spacing w:before="200"/>
        <w:rPr>
          <w:snapToGrid w:val="0"/>
        </w:rPr>
      </w:pPr>
      <w:bookmarkStart w:id="43" w:name="_Toc483476852"/>
      <w:r>
        <w:rPr>
          <w:rStyle w:val="CharSectno"/>
        </w:rPr>
        <w:t>31</w:t>
      </w:r>
      <w:r>
        <w:rPr>
          <w:snapToGrid w:val="0"/>
        </w:rPr>
        <w:t>.</w:t>
      </w:r>
      <w:r>
        <w:rPr>
          <w:snapToGrid w:val="0"/>
        </w:rPr>
        <w:tab/>
        <w:t>Bathing prohibited except in approved places</w:t>
      </w:r>
      <w:bookmarkEnd w:id="43"/>
    </w:p>
    <w:p>
      <w:pPr>
        <w:pStyle w:val="Subsection"/>
        <w:spacing w:before="120"/>
        <w:rPr>
          <w:snapToGrid w:val="0"/>
        </w:rPr>
      </w:pPr>
      <w:r>
        <w:rPr>
          <w:snapToGrid w:val="0"/>
        </w:rPr>
        <w:tab/>
      </w:r>
      <w:r>
        <w:rPr>
          <w:snapToGrid w:val="0"/>
        </w:rPr>
        <w:tab/>
        <w:t xml:space="preserve">Bathing in any watercourse, reservoir, aqueduct or any waterworks within a catchment area is prohibited except in the places and under the conditions as the </w:t>
      </w:r>
      <w:r>
        <w:t>CEO</w:t>
      </w:r>
      <w:r>
        <w:rPr>
          <w:snapToGrid w:val="0"/>
        </w:rPr>
        <w:t xml:space="preserve"> may from time to time specify.</w:t>
      </w:r>
    </w:p>
    <w:p>
      <w:pPr>
        <w:pStyle w:val="Footnotesection"/>
      </w:pPr>
      <w:r>
        <w:tab/>
        <w:t>[By</w:t>
      </w:r>
      <w:r>
        <w:noBreakHyphen/>
        <w:t>law 31 amended in Gazette 29 Dec 1995 p. 6309; 21 Apr 2011 p. 1472.]</w:t>
      </w:r>
    </w:p>
    <w:p>
      <w:pPr>
        <w:pStyle w:val="Heading5"/>
        <w:spacing w:before="200"/>
        <w:rPr>
          <w:snapToGrid w:val="0"/>
        </w:rPr>
      </w:pPr>
      <w:bookmarkStart w:id="44" w:name="_Toc483476853"/>
      <w:r>
        <w:rPr>
          <w:rStyle w:val="CharSectno"/>
        </w:rPr>
        <w:t>32</w:t>
      </w:r>
      <w:r>
        <w:rPr>
          <w:snapToGrid w:val="0"/>
        </w:rPr>
        <w:t>.</w:t>
      </w:r>
      <w:r>
        <w:rPr>
          <w:snapToGrid w:val="0"/>
        </w:rPr>
        <w:tab/>
        <w:t>Powers of entry</w:t>
      </w:r>
      <w:bookmarkEnd w:id="44"/>
    </w:p>
    <w:p>
      <w:pPr>
        <w:pStyle w:val="Subsection"/>
        <w:spacing w:before="120"/>
        <w:rPr>
          <w:snapToGrid w:val="0"/>
        </w:rPr>
      </w:pPr>
      <w:r>
        <w:rPr>
          <w:snapToGrid w:val="0"/>
        </w:rPr>
        <w:tab/>
        <w:t>(1)</w:t>
      </w:r>
      <w:r>
        <w:rPr>
          <w:snapToGrid w:val="0"/>
        </w:rPr>
        <w:tab/>
        <w:t>It is lawful for an inspector or any assistant acting under the directions of an inspector or other officer authorised by the CEO, at any reasonable hour, with or without notice, to enter any land, house, or premises for the purpose of ascertaining whether any act or thing is being done or permitted or left within that land, or house, or those premises in breach of these by</w:t>
      </w:r>
      <w:r>
        <w:rPr>
          <w:snapToGrid w:val="0"/>
        </w:rPr>
        <w:noBreakHyphen/>
        <w:t>laws and to remove or cause to be removed anything so done, permitted or left thereon in breach of these by</w:t>
      </w:r>
      <w:r>
        <w:rPr>
          <w:snapToGrid w:val="0"/>
        </w:rPr>
        <w:noBreakHyphen/>
        <w:t>laws, or to take steps as he may deem necessary for carrying out these provisions.</w:t>
      </w:r>
    </w:p>
    <w:p>
      <w:pPr>
        <w:pStyle w:val="Subsection"/>
        <w:rPr>
          <w:snapToGrid w:val="0"/>
        </w:rPr>
      </w:pPr>
      <w:r>
        <w:rPr>
          <w:snapToGrid w:val="0"/>
        </w:rPr>
        <w:tab/>
        <w:t>(2)</w:t>
      </w:r>
      <w:r>
        <w:rPr>
          <w:snapToGrid w:val="0"/>
        </w:rPr>
        <w:tab/>
        <w:t>The cost of removal or other necessary act shall be borne by the owner or occupier of the premises upon which the breach occurs.</w:t>
      </w:r>
    </w:p>
    <w:p>
      <w:pPr>
        <w:pStyle w:val="Footnotesection"/>
      </w:pPr>
      <w:r>
        <w:tab/>
        <w:t>[By</w:t>
      </w:r>
      <w:r>
        <w:noBreakHyphen/>
        <w:t>law 32 amended in Gazette 29 Dec 1995 p. 6307 and 6309; 21 Apr 2011 p. 1471.]</w:t>
      </w:r>
    </w:p>
    <w:p>
      <w:pPr>
        <w:pStyle w:val="Heading5"/>
        <w:rPr>
          <w:snapToGrid w:val="0"/>
        </w:rPr>
      </w:pPr>
      <w:bookmarkStart w:id="45" w:name="_Toc483476854"/>
      <w:r>
        <w:rPr>
          <w:rStyle w:val="CharSectno"/>
        </w:rPr>
        <w:t>33</w:t>
      </w:r>
      <w:r>
        <w:rPr>
          <w:snapToGrid w:val="0"/>
        </w:rPr>
        <w:t>.</w:t>
      </w:r>
      <w:r>
        <w:rPr>
          <w:snapToGrid w:val="0"/>
        </w:rPr>
        <w:tab/>
        <w:t xml:space="preserve">Compliance, </w:t>
      </w:r>
      <w:r>
        <w:t>CEO</w:t>
      </w:r>
      <w:r>
        <w:rPr>
          <w:snapToGrid w:val="0"/>
        </w:rPr>
        <w:t xml:space="preserve"> to fix time for</w:t>
      </w:r>
      <w:bookmarkEnd w:id="45"/>
    </w:p>
    <w:p>
      <w:pPr>
        <w:pStyle w:val="Subsection"/>
        <w:rPr>
          <w:snapToGrid w:val="0"/>
        </w:rPr>
      </w:pPr>
      <w:r>
        <w:rPr>
          <w:snapToGrid w:val="0"/>
        </w:rPr>
        <w:tab/>
      </w:r>
      <w:r>
        <w:rPr>
          <w:snapToGrid w:val="0"/>
        </w:rPr>
        <w:tab/>
        <w:t xml:space="preserve">Unless otherwise provided for, the time which may elapse between the giving of a notice and the doing of a thing required to be done by any inspector or other authorised officer shall be determined by the </w:t>
      </w:r>
      <w:r>
        <w:t>CEO</w:t>
      </w:r>
      <w:r>
        <w:rPr>
          <w:snapToGrid w:val="0"/>
        </w:rPr>
        <w:t xml:space="preserve"> according to the nature of each case.</w:t>
      </w:r>
    </w:p>
    <w:p>
      <w:pPr>
        <w:pStyle w:val="Footnotesection"/>
      </w:pPr>
      <w:r>
        <w:tab/>
        <w:t>[By</w:t>
      </w:r>
      <w:r>
        <w:noBreakHyphen/>
        <w:t>law 33 amended in Gazette 29 Dec 1995 p. 6309; 21 Apr 2011 p. 1472.]</w:t>
      </w:r>
    </w:p>
    <w:p>
      <w:pPr>
        <w:pStyle w:val="Heading5"/>
        <w:rPr>
          <w:snapToGrid w:val="0"/>
        </w:rPr>
      </w:pPr>
      <w:bookmarkStart w:id="46" w:name="_Toc483476855"/>
      <w:r>
        <w:rPr>
          <w:rStyle w:val="CharSectno"/>
        </w:rPr>
        <w:t>34</w:t>
      </w:r>
      <w:r>
        <w:rPr>
          <w:snapToGrid w:val="0"/>
        </w:rPr>
        <w:t>.</w:t>
      </w:r>
      <w:r>
        <w:rPr>
          <w:snapToGrid w:val="0"/>
        </w:rPr>
        <w:tab/>
        <w:t>Timber cutting and clearing without permission</w:t>
      </w:r>
      <w:bookmarkEnd w:id="46"/>
    </w:p>
    <w:p>
      <w:pPr>
        <w:pStyle w:val="Subsection"/>
        <w:rPr>
          <w:snapToGrid w:val="0"/>
        </w:rPr>
      </w:pPr>
      <w:r>
        <w:tab/>
        <w:t>(1)</w:t>
      </w:r>
      <w:r>
        <w:tab/>
        <w:t>No</w:t>
      </w:r>
      <w:r>
        <w:rPr>
          <w:snapToGrid w:val="0"/>
        </w:rPr>
        <w:t xml:space="preserve"> person, whether in possession of a timber cutter’s licence or not, shall cut or hew timber or destroy any trees, shrubs or vegetation of any kind or carry out any clearing of any kind, on any catchment area unless authorised so to do by the </w:t>
      </w:r>
      <w:r>
        <w:t>CEO</w:t>
      </w:r>
      <w:r>
        <w:rPr>
          <w:snapToGrid w:val="0"/>
        </w:rPr>
        <w:t>.</w:t>
      </w:r>
    </w:p>
    <w:p>
      <w:pPr>
        <w:pStyle w:val="Subsection"/>
      </w:pPr>
      <w:r>
        <w:tab/>
        <w:t>(2)</w:t>
      </w:r>
      <w:r>
        <w:tab/>
        <w:t>A person does not need to be authorised by the CEO to do an activity referred to in sub</w:t>
      </w:r>
      <w:r>
        <w:noBreakHyphen/>
        <w:t xml:space="preserve">bylaw (1) in a special provision catchment area if the person — </w:t>
      </w:r>
    </w:p>
    <w:p>
      <w:pPr>
        <w:pStyle w:val="Indenta"/>
      </w:pPr>
      <w:r>
        <w:tab/>
        <w:t>(a)</w:t>
      </w:r>
      <w:r>
        <w:tab/>
        <w:t>is a member of the Noongar people; and</w:t>
      </w:r>
    </w:p>
    <w:p>
      <w:pPr>
        <w:pStyle w:val="Indenta"/>
      </w:pPr>
      <w:r>
        <w:tab/>
        <w:t>(b)</w:t>
      </w:r>
      <w:r>
        <w:tab/>
        <w:t>undertakes the activity for an Aboriginal customary purpose; and</w:t>
      </w:r>
    </w:p>
    <w:p>
      <w:pPr>
        <w:pStyle w:val="Indenta"/>
      </w:pPr>
      <w:r>
        <w:tab/>
        <w:t>(c)</w:t>
      </w:r>
      <w:r>
        <w:tab/>
        <w:t>in undertaking the activity does not enter into or upon a reservoir or watercourse.</w:t>
      </w:r>
    </w:p>
    <w:p>
      <w:pPr>
        <w:pStyle w:val="Footnotesection"/>
      </w:pPr>
      <w:r>
        <w:tab/>
        <w:t>[By</w:t>
      </w:r>
      <w:r>
        <w:noBreakHyphen/>
        <w:t>law 34 amended in Gazette 29 Dec 1995 p. 6309; 21 Apr 2011 p. 1472; 7 Jun 2016 p. 1778.]</w:t>
      </w:r>
    </w:p>
    <w:p>
      <w:pPr>
        <w:pStyle w:val="Heading5"/>
        <w:rPr>
          <w:snapToGrid w:val="0"/>
        </w:rPr>
      </w:pPr>
      <w:bookmarkStart w:id="47" w:name="_Toc483476856"/>
      <w:r>
        <w:rPr>
          <w:rStyle w:val="CharSectno"/>
        </w:rPr>
        <w:t>35</w:t>
      </w:r>
      <w:r>
        <w:rPr>
          <w:snapToGrid w:val="0"/>
        </w:rPr>
        <w:t>.</w:t>
      </w:r>
      <w:r>
        <w:rPr>
          <w:snapToGrid w:val="0"/>
        </w:rPr>
        <w:tab/>
        <w:t xml:space="preserve">Hunting, shooting and fishing, </w:t>
      </w:r>
      <w:r>
        <w:t>CEO</w:t>
      </w:r>
      <w:r>
        <w:rPr>
          <w:snapToGrid w:val="0"/>
        </w:rPr>
        <w:t xml:space="preserve"> may restrict</w:t>
      </w:r>
      <w:bookmarkEnd w:id="47"/>
    </w:p>
    <w:p>
      <w:pPr>
        <w:pStyle w:val="Subsection"/>
      </w:pPr>
      <w:r>
        <w:tab/>
        <w:t>(1)</w:t>
      </w:r>
      <w:r>
        <w:tab/>
        <w:t>In this by</w:t>
      </w:r>
      <w:r>
        <w:noBreakHyphen/>
        <w:t xml:space="preserve">law — </w:t>
      </w:r>
    </w:p>
    <w:p>
      <w:pPr>
        <w:pStyle w:val="Defstart"/>
      </w:pPr>
      <w:r>
        <w:tab/>
      </w:r>
      <w:r>
        <w:rPr>
          <w:rStyle w:val="CharDefText"/>
        </w:rPr>
        <w:t>hand</w:t>
      </w:r>
      <w:r>
        <w:rPr>
          <w:rStyle w:val="CharDefText"/>
        </w:rPr>
        <w:noBreakHyphen/>
        <w:t>held tool</w:t>
      </w:r>
      <w:r>
        <w:t xml:space="preserve"> does not include — </w:t>
      </w:r>
    </w:p>
    <w:p>
      <w:pPr>
        <w:pStyle w:val="Defpara"/>
      </w:pPr>
      <w:r>
        <w:tab/>
        <w:t>(a)</w:t>
      </w:r>
      <w:r>
        <w:tab/>
        <w:t>a firearm or any other device from which an object is discharged; or</w:t>
      </w:r>
    </w:p>
    <w:p>
      <w:pPr>
        <w:pStyle w:val="Indenta"/>
      </w:pPr>
      <w:r>
        <w:tab/>
        <w:t>(b)</w:t>
      </w:r>
      <w:r>
        <w:tab/>
        <w:t>a spear, boomerang or any other thing that is propelled from the hand.</w:t>
      </w:r>
    </w:p>
    <w:p>
      <w:pPr>
        <w:pStyle w:val="Subsection"/>
        <w:rPr>
          <w:snapToGrid w:val="0"/>
        </w:rPr>
      </w:pPr>
      <w:r>
        <w:tab/>
        <w:t>(2)</w:t>
      </w:r>
      <w:r>
        <w:tab/>
        <w:t>The</w:t>
      </w:r>
      <w:r>
        <w:rPr>
          <w:snapToGrid w:val="0"/>
        </w:rPr>
        <w:t xml:space="preserve"> </w:t>
      </w:r>
      <w:r>
        <w:t>CEO</w:t>
      </w:r>
      <w:r>
        <w:rPr>
          <w:snapToGrid w:val="0"/>
        </w:rPr>
        <w:t xml:space="preserve"> may from time to time prescribe restrictions on hunting, shooting and fishing in the catchment area.</w:t>
      </w:r>
    </w:p>
    <w:p>
      <w:pPr>
        <w:pStyle w:val="Subsection"/>
      </w:pPr>
      <w:r>
        <w:tab/>
        <w:t>(3)</w:t>
      </w:r>
      <w:r>
        <w:tab/>
        <w:t>A restriction prescribed under this by</w:t>
      </w:r>
      <w:r>
        <w:noBreakHyphen/>
        <w:t xml:space="preserve">law does not operate to prevent a person from hunting for an invertebrate or egg in a special provision catchment area if the person — </w:t>
      </w:r>
    </w:p>
    <w:p>
      <w:pPr>
        <w:pStyle w:val="Indenta"/>
      </w:pPr>
      <w:r>
        <w:tab/>
        <w:t>(a)</w:t>
      </w:r>
      <w:r>
        <w:tab/>
        <w:t>is a member of the Noongar people; and</w:t>
      </w:r>
    </w:p>
    <w:p>
      <w:pPr>
        <w:pStyle w:val="Indenta"/>
      </w:pPr>
      <w:r>
        <w:tab/>
        <w:t>(b)</w:t>
      </w:r>
      <w:r>
        <w:tab/>
        <w:t>does so for an Aboriginal customary purpose; and</w:t>
      </w:r>
    </w:p>
    <w:p>
      <w:pPr>
        <w:pStyle w:val="Indenta"/>
      </w:pPr>
      <w:r>
        <w:tab/>
        <w:t>(c)</w:t>
      </w:r>
      <w:r>
        <w:tab/>
        <w:t>does so only by hand or with a hand</w:t>
      </w:r>
      <w:r>
        <w:noBreakHyphen/>
        <w:t>held tool; and</w:t>
      </w:r>
    </w:p>
    <w:p>
      <w:pPr>
        <w:pStyle w:val="Indenta"/>
      </w:pPr>
      <w:r>
        <w:tab/>
        <w:t>(d)</w:t>
      </w:r>
      <w:r>
        <w:tab/>
        <w:t>in doing so does not enter into or upon a reservoir or watercourse; and</w:t>
      </w:r>
    </w:p>
    <w:p>
      <w:pPr>
        <w:pStyle w:val="Indenta"/>
      </w:pPr>
      <w:r>
        <w:tab/>
        <w:t>(e)</w:t>
      </w:r>
      <w:r>
        <w:tab/>
        <w:t>in doing so does not allow any hand</w:t>
      </w:r>
      <w:r>
        <w:noBreakHyphen/>
        <w:t>held tool to enter into or upon a reservoir or watercourse; and</w:t>
      </w:r>
    </w:p>
    <w:p>
      <w:pPr>
        <w:pStyle w:val="Indenta"/>
      </w:pPr>
      <w:r>
        <w:tab/>
        <w:t>(f)</w:t>
      </w:r>
      <w:r>
        <w:tab/>
        <w:t>does not sell the invertebrate or egg.</w:t>
      </w:r>
    </w:p>
    <w:p>
      <w:pPr>
        <w:pStyle w:val="Footnotesection"/>
      </w:pPr>
      <w:r>
        <w:tab/>
        <w:t>[By</w:t>
      </w:r>
      <w:r>
        <w:noBreakHyphen/>
        <w:t>law 35 amended in Gazette 29 Dec 1995 p. 6309; 21 Apr 2011 p. 1472; 7 Jun 2016 p. 1778</w:t>
      </w:r>
      <w:r>
        <w:noBreakHyphen/>
        <w:t>9.]</w:t>
      </w:r>
    </w:p>
    <w:p>
      <w:pPr>
        <w:pStyle w:val="Heading5"/>
        <w:rPr>
          <w:snapToGrid w:val="0"/>
        </w:rPr>
      </w:pPr>
      <w:bookmarkStart w:id="48" w:name="_Toc483476857"/>
      <w:r>
        <w:rPr>
          <w:rStyle w:val="CharSectno"/>
        </w:rPr>
        <w:t>36</w:t>
      </w:r>
      <w:r>
        <w:rPr>
          <w:snapToGrid w:val="0"/>
        </w:rPr>
        <w:t>.</w:t>
      </w:r>
      <w:r>
        <w:rPr>
          <w:snapToGrid w:val="0"/>
        </w:rPr>
        <w:tab/>
        <w:t>Camping and picnicking restricted</w:t>
      </w:r>
      <w:bookmarkEnd w:id="48"/>
    </w:p>
    <w:p>
      <w:pPr>
        <w:pStyle w:val="Subsection"/>
        <w:rPr>
          <w:snapToGrid w:val="0"/>
        </w:rPr>
      </w:pPr>
      <w:r>
        <w:rPr>
          <w:snapToGrid w:val="0"/>
        </w:rPr>
        <w:tab/>
        <w:t>(1)</w:t>
      </w:r>
      <w:r>
        <w:rPr>
          <w:snapToGrid w:val="0"/>
        </w:rPr>
        <w:tab/>
        <w:t>No person, body corporate or association or group of persons shall at any time camp or picnic within 300 m of the high</w:t>
      </w:r>
      <w:r>
        <w:rPr>
          <w:snapToGrid w:val="0"/>
        </w:rPr>
        <w:noBreakHyphen/>
        <w:t>water mark or of any well or bore or any reservoir or feeder thereto.</w:t>
      </w:r>
    </w:p>
    <w:p>
      <w:pPr>
        <w:pStyle w:val="Subsection"/>
        <w:rPr>
          <w:snapToGrid w:val="0"/>
        </w:rPr>
      </w:pPr>
      <w:r>
        <w:rPr>
          <w:snapToGrid w:val="0"/>
        </w:rPr>
        <w:tab/>
        <w:t>(2)</w:t>
      </w:r>
      <w:r>
        <w:rPr>
          <w:snapToGrid w:val="0"/>
        </w:rPr>
        <w:tab/>
        <w:t xml:space="preserve">The </w:t>
      </w:r>
      <w:r>
        <w:t>CEO</w:t>
      </w:r>
      <w:r>
        <w:rPr>
          <w:snapToGrid w:val="0"/>
        </w:rPr>
        <w:t xml:space="preserve"> may from time to time by notices erected in a catchment area, further restrict camping and picnicking in the catchment area.</w:t>
      </w:r>
    </w:p>
    <w:p>
      <w:pPr>
        <w:pStyle w:val="Footnotesection"/>
      </w:pPr>
      <w:r>
        <w:tab/>
        <w:t>[By</w:t>
      </w:r>
      <w:r>
        <w:noBreakHyphen/>
        <w:t>law 36 amended in Gazette 29 Dec 1995 p. 6309; 29 May 2001 p. 2707; 21 Apr 2011 p. 1472.]</w:t>
      </w:r>
    </w:p>
    <w:p>
      <w:pPr>
        <w:pStyle w:val="Heading3"/>
        <w:keepNext w:val="0"/>
      </w:pPr>
      <w:bookmarkStart w:id="49" w:name="_Toc478720778"/>
      <w:bookmarkStart w:id="50" w:name="_Toc483215338"/>
      <w:bookmarkStart w:id="51" w:name="_Toc483383689"/>
      <w:bookmarkStart w:id="52" w:name="_Toc483476858"/>
      <w:r>
        <w:rPr>
          <w:rStyle w:val="CharPartNo"/>
        </w:rPr>
        <w:t>Division 3</w:t>
      </w:r>
      <w:r>
        <w:rPr>
          <w:rStyle w:val="CharDivNo"/>
        </w:rPr>
        <w:t> </w:t>
      </w:r>
      <w:r>
        <w:t>—</w:t>
      </w:r>
      <w:r>
        <w:rPr>
          <w:rStyle w:val="CharDivText"/>
        </w:rPr>
        <w:t> </w:t>
      </w:r>
      <w:r>
        <w:rPr>
          <w:rStyle w:val="CharPartText"/>
        </w:rPr>
        <w:t>Protection of water supplies and Minister and Corporation property</w:t>
      </w:r>
      <w:bookmarkEnd w:id="49"/>
      <w:bookmarkEnd w:id="50"/>
      <w:bookmarkEnd w:id="51"/>
      <w:bookmarkEnd w:id="52"/>
    </w:p>
    <w:p>
      <w:pPr>
        <w:pStyle w:val="Footnoteheading"/>
      </w:pPr>
      <w:r>
        <w:tab/>
        <w:t>[Heading inserted in Gazette 29 May 2001 p. 2707; amended in Gazette 21 Apr 2011 p. 1471.]</w:t>
      </w:r>
    </w:p>
    <w:p>
      <w:pPr>
        <w:pStyle w:val="Ednotesection"/>
      </w:pPr>
      <w:r>
        <w:t>[</w:t>
      </w:r>
      <w:r>
        <w:rPr>
          <w:b/>
        </w:rPr>
        <w:t>37-39.</w:t>
      </w:r>
      <w:r>
        <w:tab/>
        <w:t>Deleted in Gazette 14 Nov 2013 p. 5035.]</w:t>
      </w:r>
    </w:p>
    <w:p>
      <w:pPr>
        <w:pStyle w:val="Heading5"/>
        <w:spacing w:before="120"/>
        <w:rPr>
          <w:snapToGrid w:val="0"/>
        </w:rPr>
      </w:pPr>
      <w:bookmarkStart w:id="53" w:name="_Toc483476859"/>
      <w:r>
        <w:rPr>
          <w:rStyle w:val="CharSectno"/>
        </w:rPr>
        <w:t>40</w:t>
      </w:r>
      <w:r>
        <w:rPr>
          <w:snapToGrid w:val="0"/>
        </w:rPr>
        <w:t>.</w:t>
      </w:r>
      <w:r>
        <w:rPr>
          <w:snapToGrid w:val="0"/>
        </w:rPr>
        <w:tab/>
        <w:t>Flora protected</w:t>
      </w:r>
      <w:bookmarkEnd w:id="53"/>
    </w:p>
    <w:p>
      <w:pPr>
        <w:pStyle w:val="Subsection"/>
        <w:rPr>
          <w:snapToGrid w:val="0"/>
        </w:rPr>
      </w:pPr>
      <w:r>
        <w:tab/>
        <w:t>(1)</w:t>
      </w:r>
      <w:r>
        <w:tab/>
      </w:r>
      <w:r>
        <w:rPr>
          <w:snapToGrid w:val="0"/>
        </w:rPr>
        <w:t xml:space="preserve">The removal, plucking or damaging of any wild flower, shrub, bush, tree or other plant growing on any land or reserve </w:t>
      </w:r>
      <w:r>
        <w:t>under the care, control and management of the Corporation or the Minister,</w:t>
      </w:r>
      <w:r>
        <w:rPr>
          <w:snapToGrid w:val="0"/>
        </w:rPr>
        <w:t xml:space="preserve"> within 800 m of any reservoir or bore is prohibited.</w:t>
      </w:r>
    </w:p>
    <w:p>
      <w:pPr>
        <w:pStyle w:val="Subsection"/>
      </w:pPr>
      <w:r>
        <w:tab/>
        <w:t>(2)</w:t>
      </w:r>
      <w:r>
        <w:tab/>
        <w:t>A person does not contravene sub</w:t>
      </w:r>
      <w:r>
        <w:noBreakHyphen/>
        <w:t>bylaw (1) by removing, plucking or damaging a wild flower, shrub, bush, tree or other plant in the South West Settlement Area if the person —</w:t>
      </w:r>
    </w:p>
    <w:p>
      <w:pPr>
        <w:pStyle w:val="Indenta"/>
      </w:pPr>
      <w:r>
        <w:tab/>
        <w:t>(a)</w:t>
      </w:r>
      <w:r>
        <w:tab/>
        <w:t>is a member of the Noongar people; and</w:t>
      </w:r>
    </w:p>
    <w:p>
      <w:pPr>
        <w:pStyle w:val="Indenta"/>
      </w:pPr>
      <w:r>
        <w:tab/>
        <w:t>(b)</w:t>
      </w:r>
      <w:r>
        <w:tab/>
        <w:t>does so for an Aboriginal customary purpose; and</w:t>
      </w:r>
    </w:p>
    <w:p>
      <w:pPr>
        <w:pStyle w:val="Indenta"/>
      </w:pPr>
      <w:r>
        <w:tab/>
        <w:t>(c)</w:t>
      </w:r>
      <w:r>
        <w:tab/>
        <w:t>in doing so does not enter into or upon a reservoir or watercourse; and</w:t>
      </w:r>
    </w:p>
    <w:p>
      <w:pPr>
        <w:pStyle w:val="Indenta"/>
      </w:pPr>
      <w:r>
        <w:tab/>
        <w:t>(d)</w:t>
      </w:r>
      <w:r>
        <w:tab/>
        <w:t>in doing so does not cause damage to, or adversely affect, any water works.</w:t>
      </w:r>
    </w:p>
    <w:p>
      <w:pPr>
        <w:pStyle w:val="Footnotesection"/>
      </w:pPr>
      <w:r>
        <w:tab/>
        <w:t>[By</w:t>
      </w:r>
      <w:r>
        <w:noBreakHyphen/>
        <w:t>law 40 amended in Gazette 29 Dec 1995 p. 6307; 29 May 2001 p. 2707; 21 Apr 2011 p. 1471; 7 Jun 2016 p. 1779.]</w:t>
      </w:r>
    </w:p>
    <w:p>
      <w:pPr>
        <w:pStyle w:val="Ednotesection"/>
      </w:pPr>
      <w:r>
        <w:t>[</w:t>
      </w:r>
      <w:r>
        <w:rPr>
          <w:b/>
        </w:rPr>
        <w:t>41-46.</w:t>
      </w:r>
      <w:r>
        <w:tab/>
        <w:t>Deleted in Gazette 14 Nov 2013 p. 5035.]</w:t>
      </w:r>
    </w:p>
    <w:p>
      <w:pPr>
        <w:pStyle w:val="Footnoteheading"/>
        <w:tabs>
          <w:tab w:val="clear" w:pos="879"/>
          <w:tab w:val="left" w:pos="1470"/>
        </w:tabs>
        <w:ind w:left="1470" w:hanging="1470"/>
      </w:pPr>
      <w:r>
        <w:t>[Division 4:</w:t>
      </w:r>
      <w:r>
        <w:tab/>
        <w:t>bl. 47-51, 55 and 57 deleted in Gazette 16 Jun 2000 p. 2962;</w:t>
      </w:r>
      <w:r>
        <w:br/>
        <w:t>bl. 52, 54 and 54A deleted in Gazette 14 Nov 2013 p. 5035;</w:t>
      </w:r>
      <w:r>
        <w:br/>
        <w:t>bl. 53 deleted in Gazette 28 Jun 2004 p. 2391;</w:t>
      </w:r>
      <w:r>
        <w:br/>
        <w:t>bl. 56 deleted in Gazette 30 Jun 1960 p. 1953.]</w:t>
      </w:r>
    </w:p>
    <w:p>
      <w:pPr>
        <w:pStyle w:val="Footnoteheading"/>
        <w:tabs>
          <w:tab w:val="clear" w:pos="879"/>
          <w:tab w:val="left" w:pos="1470"/>
        </w:tabs>
        <w:ind w:left="1470" w:hanging="1470"/>
      </w:pPr>
      <w:r>
        <w:t xml:space="preserve">[Division 5: </w:t>
      </w:r>
      <w:r>
        <w:tab/>
        <w:t>bl. 58 deleted in Gazette 28 Jun 2004 p. 2391;</w:t>
      </w:r>
      <w:r>
        <w:br/>
        <w:t>bl. 58AA deleted in Gazette 25 Aug 1998 p. 4737;</w:t>
      </w:r>
      <w:r>
        <w:br/>
        <w:t>bl. 58A-62 deleted in Gazette 14 Nov 2013 p. 5035.]</w:t>
      </w:r>
    </w:p>
    <w:p>
      <w:pPr>
        <w:pStyle w:val="Footnoteheading"/>
        <w:tabs>
          <w:tab w:val="clear" w:pos="879"/>
          <w:tab w:val="left" w:pos="1470"/>
        </w:tabs>
        <w:ind w:left="1470" w:hanging="1470"/>
      </w:pPr>
      <w:r>
        <w:t xml:space="preserve">[Division 6: </w:t>
      </w:r>
      <w:r>
        <w:tab/>
        <w:t>bl. 63 and 82 deleted in Gazette 14 Jul 1987 p. 2658;</w:t>
      </w:r>
      <w:r>
        <w:br/>
        <w:t>bl. 64-70, 72-75, 77-80, 83-85 and 87 deleted in Gazette 14 Nov 2013 p. 5035;</w:t>
      </w:r>
      <w:r>
        <w:br/>
        <w:t>bl. 71 deleted in Gazette 26 Apr 2005 p. 1398;</w:t>
      </w:r>
      <w:r>
        <w:br/>
        <w:t>bl. 76 deleted in Gazette 29 Sep 1998 p. 5406;</w:t>
      </w:r>
      <w:r>
        <w:br/>
        <w:t>bl. 81 deleted in Gazette 1 Jul 1977 p. 2011;</w:t>
      </w:r>
      <w:r>
        <w:br/>
        <w:t>bl. 86 deleted in Gazette 22 Dec 1989 p. 4635;</w:t>
      </w:r>
      <w:r>
        <w:br/>
        <w:t>bl. 87A-88</w:t>
      </w:r>
      <w:r>
        <w:rPr>
          <w:b/>
        </w:rPr>
        <w:t xml:space="preserve"> </w:t>
      </w:r>
      <w:r>
        <w:t>deleted in Gazette 28 Jun 2004 p. 2391.]</w:t>
      </w:r>
    </w:p>
    <w:p>
      <w:pPr>
        <w:pStyle w:val="Heading3"/>
        <w:keepNext w:val="0"/>
        <w:pageBreakBefore/>
        <w:spacing w:before="0"/>
      </w:pPr>
      <w:bookmarkStart w:id="54" w:name="_Toc478720780"/>
      <w:bookmarkStart w:id="55" w:name="_Toc483215340"/>
      <w:bookmarkStart w:id="56" w:name="_Toc483383691"/>
      <w:bookmarkStart w:id="57" w:name="_Toc483476860"/>
      <w:r>
        <w:rPr>
          <w:rStyle w:val="CharPartNo"/>
        </w:rPr>
        <w:t>Division 7</w:t>
      </w:r>
      <w:r>
        <w:rPr>
          <w:rStyle w:val="CharDivNo"/>
        </w:rPr>
        <w:t> </w:t>
      </w:r>
      <w:r>
        <w:t>—</w:t>
      </w:r>
      <w:r>
        <w:rPr>
          <w:rStyle w:val="CharDivText"/>
        </w:rPr>
        <w:t> </w:t>
      </w:r>
      <w:r>
        <w:rPr>
          <w:rStyle w:val="CharPartText"/>
        </w:rPr>
        <w:t>Miscellaneous</w:t>
      </w:r>
      <w:bookmarkEnd w:id="54"/>
      <w:bookmarkEnd w:id="55"/>
      <w:bookmarkEnd w:id="56"/>
      <w:bookmarkEnd w:id="57"/>
    </w:p>
    <w:p>
      <w:pPr>
        <w:pStyle w:val="Footnoteheading"/>
        <w:rPr>
          <w:snapToGrid w:val="0"/>
        </w:rPr>
      </w:pPr>
      <w:r>
        <w:rPr>
          <w:snapToGrid w:val="0"/>
        </w:rPr>
        <w:tab/>
        <w:t>[Heading inserted in Gazette 29 May 2001 p. 2708.]</w:t>
      </w:r>
    </w:p>
    <w:p>
      <w:pPr>
        <w:pStyle w:val="Ednotesection"/>
        <w:spacing w:before="160"/>
        <w:ind w:left="890" w:hanging="890"/>
      </w:pPr>
      <w:r>
        <w:t>[</w:t>
      </w:r>
      <w:r>
        <w:rPr>
          <w:b/>
        </w:rPr>
        <w:t>89, 90.</w:t>
      </w:r>
      <w:r>
        <w:tab/>
        <w:t>Deleted in Gazette 27 Jun 1986 p. 2132.]</w:t>
      </w:r>
    </w:p>
    <w:p>
      <w:pPr>
        <w:pStyle w:val="Ednotesection"/>
        <w:spacing w:before="160"/>
        <w:ind w:left="890" w:hanging="890"/>
      </w:pPr>
      <w:r>
        <w:t>[</w:t>
      </w:r>
      <w:r>
        <w:rPr>
          <w:b/>
        </w:rPr>
        <w:t>91</w:t>
      </w:r>
      <w:r>
        <w:rPr>
          <w:b/>
        </w:rPr>
        <w:noBreakHyphen/>
        <w:t>94.</w:t>
      </w:r>
      <w:r>
        <w:tab/>
        <w:t>Deleted in Gazette 22 Dec 1964 p. 4070.]</w:t>
      </w:r>
    </w:p>
    <w:p>
      <w:pPr>
        <w:pStyle w:val="Ednotesection"/>
      </w:pPr>
      <w:r>
        <w:t>[</w:t>
      </w:r>
      <w:r>
        <w:rPr>
          <w:b/>
        </w:rPr>
        <w:t>95.</w:t>
      </w:r>
      <w:r>
        <w:rPr>
          <w:b/>
        </w:rPr>
        <w:tab/>
      </w:r>
      <w:r>
        <w:t>Deleted in Gazette 14 Nov 2013 p. 5035.]</w:t>
      </w:r>
    </w:p>
    <w:p>
      <w:pPr>
        <w:pStyle w:val="Ednotesection"/>
      </w:pPr>
      <w:r>
        <w:t>[</w:t>
      </w:r>
      <w:r>
        <w:rPr>
          <w:b/>
        </w:rPr>
        <w:t xml:space="preserve">95A, 95B  </w:t>
      </w:r>
      <w:r>
        <w:t>Deleted in Gazette 14 Jul 1987 p. 2658.]</w:t>
      </w:r>
    </w:p>
    <w:p>
      <w:pPr>
        <w:pStyle w:val="Ednotesection"/>
      </w:pPr>
      <w:r>
        <w:t>[</w:t>
      </w:r>
      <w:r>
        <w:rPr>
          <w:b/>
        </w:rPr>
        <w:t>96-101.</w:t>
      </w:r>
      <w:r>
        <w:tab/>
        <w:t>Deleted in Gazette 14 Nov 2013 p. 5035.]</w:t>
      </w:r>
    </w:p>
    <w:p>
      <w:pPr>
        <w:pStyle w:val="Ednotesection"/>
        <w:ind w:left="890" w:hanging="890"/>
      </w:pPr>
      <w:r>
        <w:t>[</w:t>
      </w:r>
      <w:r>
        <w:rPr>
          <w:b/>
        </w:rPr>
        <w:t>102.</w:t>
      </w:r>
      <w:r>
        <w:tab/>
        <w:t>Deleted in Gazette 14 Jul 1987 p. 2650.]</w:t>
      </w:r>
    </w:p>
    <w:p>
      <w:pPr>
        <w:pStyle w:val="Ednotesection"/>
        <w:ind w:left="890" w:hanging="890"/>
      </w:pPr>
      <w:r>
        <w:t>[</w:t>
      </w:r>
      <w:r>
        <w:rPr>
          <w:b/>
        </w:rPr>
        <w:t>103.</w:t>
      </w:r>
      <w:r>
        <w:tab/>
        <w:t>Deleted in Gazette 22 Dec 1964 p. 4071.]</w:t>
      </w:r>
    </w:p>
    <w:p>
      <w:pPr>
        <w:pStyle w:val="Ednotesection"/>
        <w:ind w:left="890" w:hanging="890"/>
      </w:pPr>
      <w:r>
        <w:t>[</w:t>
      </w:r>
      <w:r>
        <w:rPr>
          <w:b/>
        </w:rPr>
        <w:t>104.</w:t>
      </w:r>
      <w:r>
        <w:tab/>
        <w:t>Deleted in Gazette 27 Jun 1986 p. 2132.]</w:t>
      </w:r>
    </w:p>
    <w:p>
      <w:pPr>
        <w:pStyle w:val="Ednotesection"/>
        <w:ind w:left="890" w:hanging="890"/>
      </w:pPr>
      <w:r>
        <w:t>[</w:t>
      </w:r>
      <w:r>
        <w:rPr>
          <w:b/>
        </w:rPr>
        <w:t xml:space="preserve">104A, 104AA, 104B.  </w:t>
      </w:r>
      <w:r>
        <w:t>Deleted in Gazette 14 Jul 1987 p. 2658.]</w:t>
      </w:r>
    </w:p>
    <w:p>
      <w:pPr>
        <w:pStyle w:val="Ednotesection"/>
      </w:pPr>
      <w:r>
        <w:t>[</w:t>
      </w:r>
      <w:r>
        <w:rPr>
          <w:b/>
        </w:rPr>
        <w:t>104C.</w:t>
      </w:r>
      <w:r>
        <w:tab/>
        <w:t>Deleted in Gazette 14 Nov 2013 p. 5035.]</w:t>
      </w:r>
    </w:p>
    <w:p>
      <w:pPr>
        <w:pStyle w:val="Ednotesection"/>
        <w:ind w:left="890" w:hanging="890"/>
      </w:pPr>
      <w:r>
        <w:t>[</w:t>
      </w:r>
      <w:r>
        <w:rPr>
          <w:b/>
        </w:rPr>
        <w:t>104D.</w:t>
      </w:r>
      <w:r>
        <w:rPr>
          <w:b/>
        </w:rPr>
        <w:tab/>
      </w:r>
      <w:r>
        <w:t>Deleted in Gazette 19 Jun 2013 p. 2335.]</w:t>
      </w:r>
    </w:p>
    <w:p>
      <w:pPr>
        <w:pStyle w:val="Heading5"/>
        <w:keepLines w:val="0"/>
        <w:rPr>
          <w:snapToGrid w:val="0"/>
        </w:rPr>
      </w:pPr>
      <w:bookmarkStart w:id="58" w:name="_Toc483476861"/>
      <w:r>
        <w:rPr>
          <w:rStyle w:val="CharSectno"/>
        </w:rPr>
        <w:t>105</w:t>
      </w:r>
      <w:r>
        <w:rPr>
          <w:snapToGrid w:val="0"/>
        </w:rPr>
        <w:t>.</w:t>
      </w:r>
      <w:r>
        <w:rPr>
          <w:snapToGrid w:val="0"/>
        </w:rPr>
        <w:tab/>
        <w:t>Penalties</w:t>
      </w:r>
      <w:bookmarkEnd w:id="58"/>
    </w:p>
    <w:p>
      <w:pPr>
        <w:pStyle w:val="Subsection"/>
        <w:spacing w:before="200"/>
        <w:rPr>
          <w:snapToGrid w:val="0"/>
        </w:rPr>
      </w:pPr>
      <w:r>
        <w:rPr>
          <w:snapToGrid w:val="0"/>
        </w:rPr>
        <w:tab/>
        <w:t>(1)</w:t>
      </w:r>
      <w:r>
        <w:rPr>
          <w:snapToGrid w:val="0"/>
        </w:rPr>
        <w:tab/>
        <w:t>A person who contravenes or commits a breach of any provision of these by</w:t>
      </w:r>
      <w:r>
        <w:rPr>
          <w:snapToGrid w:val="0"/>
        </w:rPr>
        <w:noBreakHyphen/>
        <w:t xml:space="preserve">laws, whether by act or omission, for which a penalty is not expressly prescribed, is liable, on conviction, to a penalty not exceeding $200, and in the case of a continuing contravention or breach, to a further penalty not exceeding $50 for each day during which the offence continues after notice of the contravention or breach is given by or on behalf of the Corporation or the </w:t>
      </w:r>
      <w:r>
        <w:t>Minister</w:t>
      </w:r>
      <w:r>
        <w:rPr>
          <w:snapToGrid w:val="0"/>
        </w:rPr>
        <w:t xml:space="preserve"> to that person.</w:t>
      </w:r>
    </w:p>
    <w:p>
      <w:pPr>
        <w:pStyle w:val="Subsection"/>
        <w:spacing w:before="200"/>
        <w:rPr>
          <w:snapToGrid w:val="0"/>
        </w:rPr>
      </w:pPr>
      <w:r>
        <w:rPr>
          <w:snapToGrid w:val="0"/>
        </w:rPr>
        <w:tab/>
        <w:t>(2)</w:t>
      </w:r>
      <w:r>
        <w:rPr>
          <w:snapToGrid w:val="0"/>
        </w:rPr>
        <w:tab/>
        <w:t>In addition to any penalty provided by these by</w:t>
      </w:r>
      <w:r>
        <w:rPr>
          <w:snapToGrid w:val="0"/>
        </w:rPr>
        <w:noBreakHyphen/>
        <w:t xml:space="preserve">laws, any expense, loss or damage incurred by the Corporation or the </w:t>
      </w:r>
      <w:r>
        <w:t>Minister</w:t>
      </w:r>
      <w:r>
        <w:rPr>
          <w:snapToGrid w:val="0"/>
        </w:rPr>
        <w:t xml:space="preserve"> in consequence of the breach of any by</w:t>
      </w:r>
      <w:r>
        <w:rPr>
          <w:snapToGrid w:val="0"/>
        </w:rPr>
        <w:noBreakHyphen/>
        <w:t>law shall be paid by the person committing the breach and recoverable in the same manner as compensation may be recovered under section 45(3) of the principal Act.</w:t>
      </w:r>
    </w:p>
    <w:p>
      <w:pPr>
        <w:pStyle w:val="Footnotesection"/>
        <w:spacing w:before="80"/>
        <w:ind w:left="890" w:hanging="890"/>
      </w:pPr>
      <w:r>
        <w:tab/>
        <w:t>[By</w:t>
      </w:r>
      <w:r>
        <w:noBreakHyphen/>
        <w:t>law 105 amended in Gazette 12 Feb 1960 p. 325; 29 Dec 1995 p. 6308; 29 May 2001 p. 2706; 26 Apr 2005 p. 1398; 21 Apr 2011 p. 1471.]</w:t>
      </w:r>
    </w:p>
    <w:p>
      <w:pPr>
        <w:sectPr>
          <w:headerReference w:type="even" r:id="rId23"/>
          <w:headerReference w:type="default" r:id="rId24"/>
          <w:headerReference w:type="first" r:id="rId25"/>
          <w:pgSz w:w="11907" w:h="16840" w:code="9"/>
          <w:pgMar w:top="2376" w:right="2405" w:bottom="3542" w:left="2405" w:header="706" w:footer="3380" w:gutter="0"/>
          <w:pgNumType w:start="1"/>
          <w:cols w:space="720"/>
          <w:noEndnote/>
          <w:titlePg/>
          <w:docGrid w:linePitch="326"/>
        </w:sectPr>
      </w:pPr>
    </w:p>
    <w:p>
      <w:pPr>
        <w:pStyle w:val="yScheduleHeading"/>
      </w:pPr>
      <w:bookmarkStart w:id="59" w:name="_Toc478720782"/>
      <w:bookmarkStart w:id="60" w:name="_Toc483215342"/>
      <w:bookmarkStart w:id="61" w:name="_Toc483383693"/>
      <w:bookmarkStart w:id="62" w:name="_Toc483476862"/>
      <w:r>
        <w:rPr>
          <w:rStyle w:val="CharSchNo"/>
        </w:rPr>
        <w:t>Schedule 1</w:t>
      </w:r>
      <w:r>
        <w:rPr>
          <w:rStyle w:val="CharSDivNo"/>
        </w:rPr>
        <w:t> </w:t>
      </w:r>
      <w:r>
        <w:t>—</w:t>
      </w:r>
      <w:r>
        <w:rPr>
          <w:rStyle w:val="CharSDivText"/>
        </w:rPr>
        <w:t> </w:t>
      </w:r>
      <w:r>
        <w:rPr>
          <w:rStyle w:val="CharSchText"/>
        </w:rPr>
        <w:t>Description of South West Settlement Area</w:t>
      </w:r>
      <w:bookmarkEnd w:id="59"/>
      <w:bookmarkEnd w:id="60"/>
      <w:bookmarkEnd w:id="61"/>
      <w:bookmarkEnd w:id="62"/>
    </w:p>
    <w:p>
      <w:pPr>
        <w:pStyle w:val="yShoulderClause"/>
      </w:pPr>
      <w:r>
        <w:rPr>
          <w:sz w:val="24"/>
        </w:rPr>
        <w:t>[bl. 1A(1)]</w:t>
      </w:r>
    </w:p>
    <w:p>
      <w:pPr>
        <w:pStyle w:val="yFootnoteheading"/>
      </w:pPr>
      <w:r>
        <w:tab/>
        <w:t>[Heading inserted in Gazette 7 Jun 2016 p. 1780.]</w:t>
      </w:r>
    </w:p>
    <w:p>
      <w:pPr>
        <w:pStyle w:val="yMiscellaneousBody"/>
      </w:pPr>
      <w:r>
        <w:t xml:space="preserve">All the lands and waters contained within a line that — </w:t>
      </w:r>
    </w:p>
    <w:p>
      <w:pPr>
        <w:pStyle w:val="yMiscellaneousBody"/>
        <w:tabs>
          <w:tab w:val="left" w:pos="567"/>
        </w:tabs>
        <w:ind w:left="567" w:hanging="425"/>
      </w:pPr>
      <w:r>
        <w:sym w:font="Symbol" w:char="F0B7"/>
      </w:r>
      <w:r>
        <w:tab/>
        <w:t>starts at the intersection of the prolongation westerly of the northern boundary of the Shire of Coorow with the low water mark, being a point on a northern boundary of native title determination application WAD6192/1998 (WC97/71) as accepted for registration on the Register of Native Title Claims on 22 August 1997;</w:t>
      </w:r>
    </w:p>
    <w:p>
      <w:pPr>
        <w:pStyle w:val="yMiscellaneousBody"/>
        <w:tabs>
          <w:tab w:val="left" w:pos="567"/>
        </w:tabs>
        <w:ind w:left="567" w:hanging="425"/>
      </w:pPr>
      <w:r>
        <w:sym w:font="Symbol" w:char="F0B7"/>
      </w:r>
      <w:r>
        <w:tab/>
        <w:t>then continues generally easterly and generally south</w:t>
      </w:r>
      <w:r>
        <w:noBreakHyphen/>
        <w:t xml:space="preserve">easterly along the boundaries of that native title application to the intersection with native title determination application WAD6181/1998 (WC00/7) as accepted for registration on the Register of Native Title Claims on 3 July 2008; </w:t>
      </w:r>
    </w:p>
    <w:p>
      <w:pPr>
        <w:pStyle w:val="yMiscellaneousBody"/>
        <w:tabs>
          <w:tab w:val="left" w:pos="567"/>
        </w:tabs>
        <w:ind w:left="567" w:hanging="425"/>
      </w:pPr>
      <w:r>
        <w:sym w:font="Symbol" w:char="F0B7"/>
      </w:r>
      <w:r>
        <w:tab/>
        <w:t>then continues generally easterly, generally south</w:t>
      </w:r>
      <w:r>
        <w:noBreakHyphen/>
        <w:t>easterly and westerly along the boundaries of that native title application to the intersection with native title determination application WAD6286/1998 (WC98/70) as accepted for registration on the Register of Native Title Claims on 29 September 1998;</w:t>
      </w:r>
    </w:p>
    <w:p>
      <w:pPr>
        <w:pStyle w:val="yMiscellaneousBody"/>
        <w:tabs>
          <w:tab w:val="left" w:pos="567"/>
        </w:tabs>
        <w:ind w:left="567" w:hanging="425"/>
      </w:pPr>
      <w:r>
        <w:sym w:font="Symbol" w:char="F0B7"/>
      </w:r>
      <w:r>
        <w:tab/>
        <w:t>then continues generally southerly along the boundaries of that native title application to the intersection with the low water mark;</w:t>
      </w:r>
    </w:p>
    <w:p>
      <w:pPr>
        <w:pStyle w:val="yMiscellaneousBody"/>
        <w:tabs>
          <w:tab w:val="left" w:pos="567"/>
        </w:tabs>
        <w:ind w:left="567" w:hanging="425"/>
      </w:pPr>
      <w:r>
        <w:sym w:font="Symbol" w:char="F0B7"/>
      </w:r>
      <w:r>
        <w:tab/>
        <w:t>then continues generally south</w:t>
      </w:r>
      <w:r>
        <w:noBreakHyphen/>
        <w:t>westerly, generally north</w:t>
      </w:r>
      <w:r>
        <w:noBreakHyphen/>
        <w:t>westerly and generally northerly along the low water mark back to the starting point,</w:t>
      </w:r>
    </w:p>
    <w:p>
      <w:pPr>
        <w:pStyle w:val="yMiscellaneousBody"/>
      </w:pPr>
      <w:r>
        <w:t>other than any land or waters the subject of native title determination application WAD6193/1998 (WC97/72</w:t>
      </w:r>
      <w:r>
        <w:noBreakHyphen/>
        <w:t>6) as accepted for registration on the Register of Native Title Claims on 12 December 2011.</w:t>
      </w:r>
    </w:p>
    <w:p>
      <w:pPr>
        <w:pStyle w:val="yMiscellaneousBody"/>
      </w:pPr>
      <w:r>
        <w:t xml:space="preserve">And all the islands landward of the low water mark that exist within the area contained within a line that — </w:t>
      </w:r>
    </w:p>
    <w:p>
      <w:pPr>
        <w:pStyle w:val="yMiscellaneousBody"/>
        <w:tabs>
          <w:tab w:val="left" w:pos="567"/>
        </w:tabs>
        <w:ind w:left="567" w:hanging="425"/>
      </w:pPr>
      <w:r>
        <w:sym w:font="Symbol" w:char="F0B7"/>
      </w:r>
      <w:r>
        <w:tab/>
        <w:t>starts at the intersection of the prolongation westerly of the northern boundary of the Shire of Coorow with the low water mark;</w:t>
      </w:r>
    </w:p>
    <w:p>
      <w:pPr>
        <w:pStyle w:val="yMiscellaneousBody"/>
        <w:tabs>
          <w:tab w:val="left" w:pos="567"/>
        </w:tabs>
        <w:ind w:left="567" w:hanging="425"/>
      </w:pPr>
      <w:r>
        <w:sym w:font="Symbol" w:char="F0B7"/>
      </w:r>
      <w:r>
        <w:tab/>
        <w:t>then continues generally southerly, generally south</w:t>
      </w:r>
      <w:r>
        <w:noBreakHyphen/>
        <w:t>easterly and generally north</w:t>
      </w:r>
      <w:r>
        <w:noBreakHyphen/>
        <w:t>easterly along the low water mark to the intersection with longitude</w:t>
      </w:r>
      <w:r>
        <w:rPr>
          <w:u w:val="words"/>
        </w:rPr>
        <w:t> </w:t>
      </w:r>
      <w:r>
        <w:t xml:space="preserve">120.465236; </w:t>
      </w:r>
    </w:p>
    <w:p>
      <w:pPr>
        <w:pStyle w:val="yMiscellaneousBody"/>
        <w:tabs>
          <w:tab w:val="left" w:pos="567"/>
        </w:tabs>
        <w:ind w:left="567" w:hanging="425"/>
      </w:pPr>
      <w:r>
        <w:sym w:font="Symbol" w:char="F0B7"/>
      </w:r>
      <w:r>
        <w:tab/>
        <w:t xml:space="preserve">then continues southerly to the intersection of the 3 nautical mile limit with longitude 120.465236; </w:t>
      </w:r>
    </w:p>
    <w:p>
      <w:pPr>
        <w:pStyle w:val="yMiscellaneousBody"/>
        <w:tabs>
          <w:tab w:val="left" w:pos="567"/>
        </w:tabs>
        <w:ind w:left="567" w:hanging="425"/>
      </w:pPr>
      <w:r>
        <w:sym w:font="Symbol" w:char="F0B7"/>
      </w:r>
      <w:r>
        <w:tab/>
        <w:t>then continues generally south</w:t>
      </w:r>
      <w:r>
        <w:noBreakHyphen/>
        <w:t>westerly, generally north</w:t>
      </w:r>
      <w:r>
        <w:noBreakHyphen/>
        <w:t>westerly and generally northerly along the 3 nautical mile limit to the prolongation westerly of the northern boundary of the Shire of Coorow;</w:t>
      </w:r>
    </w:p>
    <w:p>
      <w:pPr>
        <w:pStyle w:val="yMiscellaneousBody"/>
        <w:tabs>
          <w:tab w:val="left" w:pos="567"/>
        </w:tabs>
        <w:ind w:left="567" w:hanging="425"/>
      </w:pPr>
      <w:r>
        <w:sym w:font="Symbol" w:char="F0B7"/>
      </w:r>
      <w:r>
        <w:tab/>
        <w:t>then continues easterly along that prolongation back to the starting point.</w:t>
      </w:r>
    </w:p>
    <w:p>
      <w:pPr>
        <w:pStyle w:val="PermNoteHeading"/>
      </w:pPr>
      <w:r>
        <w:tab/>
        <w:t>Notes for this Schedule:</w:t>
      </w:r>
    </w:p>
    <w:p>
      <w:pPr>
        <w:pStyle w:val="PermNoteText"/>
      </w:pPr>
      <w:r>
        <w:tab/>
        <w:t>1.</w:t>
      </w:r>
      <w:r>
        <w:tab/>
        <w:t>The low water mark is sourced from the Spatial Cadastral Database maintained by the Western Australian Land Information Authority as at 29 October 2012.</w:t>
      </w:r>
    </w:p>
    <w:p>
      <w:pPr>
        <w:pStyle w:val="PermNoteText"/>
      </w:pPr>
      <w:r>
        <w:tab/>
        <w:t>2.</w:t>
      </w:r>
      <w:r>
        <w:tab/>
        <w:t>Coordinate references are to Geocentric Datum of Australia 1994 (GDA94) coordinates in decimal degrees.</w:t>
      </w:r>
    </w:p>
    <w:p>
      <w:pPr>
        <w:pStyle w:val="PermNoteText"/>
      </w:pPr>
      <w:r>
        <w:tab/>
        <w:t>3.</w:t>
      </w:r>
      <w:r>
        <w:tab/>
        <w:t>The 3 nautical mile limit is sourced from Australian Maritime Boundaries (AMB), 6th edition, released in February 2006.</w:t>
      </w:r>
    </w:p>
    <w:p>
      <w:pPr>
        <w:pStyle w:val="yFootnotesection"/>
      </w:pPr>
      <w:r>
        <w:tab/>
        <w:t>[Schedule 1 inserted in Gazette 7 Jun 2016 p. 1780</w:t>
      </w:r>
      <w:r>
        <w:noBreakHyphen/>
        <w:t>1.]</w:t>
      </w:r>
    </w:p>
    <w:p>
      <w:pPr>
        <w:pStyle w:val="yScheduleHeading"/>
      </w:pPr>
      <w:bookmarkStart w:id="63" w:name="_Toc478720783"/>
      <w:bookmarkStart w:id="64" w:name="_Toc483215343"/>
      <w:bookmarkStart w:id="65" w:name="_Toc483383694"/>
      <w:bookmarkStart w:id="66" w:name="_Toc483476863"/>
      <w:r>
        <w:rPr>
          <w:rStyle w:val="CharSchNo"/>
        </w:rPr>
        <w:t>Schedule 2</w:t>
      </w:r>
      <w:r>
        <w:rPr>
          <w:rStyle w:val="CharSDivNo"/>
        </w:rPr>
        <w:t> </w:t>
      </w:r>
      <w:r>
        <w:t>—</w:t>
      </w:r>
      <w:r>
        <w:rPr>
          <w:rStyle w:val="CharSDivText"/>
        </w:rPr>
        <w:t> </w:t>
      </w:r>
      <w:r>
        <w:rPr>
          <w:rStyle w:val="CharSchText"/>
        </w:rPr>
        <w:t>Map of South West Settlement Area</w:t>
      </w:r>
      <w:bookmarkEnd w:id="63"/>
      <w:bookmarkEnd w:id="64"/>
      <w:bookmarkEnd w:id="65"/>
      <w:bookmarkEnd w:id="66"/>
    </w:p>
    <w:p>
      <w:pPr>
        <w:pStyle w:val="yShoulderClause"/>
        <w:rPr>
          <w:sz w:val="24"/>
        </w:rPr>
      </w:pPr>
      <w:r>
        <w:rPr>
          <w:sz w:val="24"/>
        </w:rPr>
        <w:t>[bl. 1A(1)]</w:t>
      </w:r>
    </w:p>
    <w:p>
      <w:pPr>
        <w:pStyle w:val="yFootnoteheading"/>
      </w:pPr>
      <w:r>
        <w:tab/>
        <w:t>[Heading inserted in Gazette 7 Jun 2016 p. 1781.]</w:t>
      </w:r>
    </w:p>
    <w:p>
      <w:pPr>
        <w:pStyle w:val="BlankClose"/>
      </w:pPr>
      <w:r>
        <w:rPr>
          <w:noProof/>
          <w:sz w:val="22"/>
        </w:rPr>
        <w:drawing>
          <wp:inline distT="0" distB="0" distL="0" distR="0">
            <wp:extent cx="3705308" cy="5271219"/>
            <wp:effectExtent l="0" t="0" r="9525"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3701734" cy="5266134"/>
                    </a:xfrm>
                    <a:prstGeom prst="rect">
                      <a:avLst/>
                    </a:prstGeom>
                  </pic:spPr>
                </pic:pic>
              </a:graphicData>
            </a:graphic>
          </wp:inline>
        </w:drawing>
      </w:r>
    </w:p>
    <w:p>
      <w:pPr>
        <w:pStyle w:val="yFootnotesection"/>
      </w:pPr>
      <w:r>
        <w:tab/>
        <w:t>[Schedule 2 inserted in Gazette 7 Jun 2016 p. 1781.]</w:t>
      </w:r>
    </w:p>
    <w:p>
      <w:pPr>
        <w:pStyle w:val="yEdnoteschedule"/>
        <w:spacing w:before="120"/>
      </w:pPr>
      <w:r>
        <w:t>[Schedule 3 deleted in Gazette 14 Nov 2013 p. 5035.]</w:t>
      </w:r>
    </w:p>
    <w:p>
      <w:pPr>
        <w:pStyle w:val="yScheduleHeading"/>
      </w:pPr>
      <w:bookmarkStart w:id="67" w:name="_Toc478720784"/>
      <w:bookmarkStart w:id="68" w:name="_Toc483215344"/>
      <w:bookmarkStart w:id="69" w:name="_Toc483383695"/>
      <w:bookmarkStart w:id="70" w:name="_Toc483476864"/>
      <w:r>
        <w:rPr>
          <w:rStyle w:val="CharSchNo"/>
        </w:rPr>
        <w:t>Schedule 4</w:t>
      </w:r>
      <w:r>
        <w:rPr>
          <w:rStyle w:val="CharSDivNo"/>
        </w:rPr>
        <w:t> </w:t>
      </w:r>
      <w:r>
        <w:t>—</w:t>
      </w:r>
      <w:r>
        <w:rPr>
          <w:rStyle w:val="CharSDivText"/>
        </w:rPr>
        <w:t> </w:t>
      </w:r>
      <w:r>
        <w:rPr>
          <w:rStyle w:val="CharSchText"/>
        </w:rPr>
        <w:t>Mungalup Dam Catchment</w:t>
      </w:r>
      <w:bookmarkEnd w:id="67"/>
      <w:bookmarkEnd w:id="68"/>
      <w:bookmarkEnd w:id="69"/>
      <w:bookmarkEnd w:id="70"/>
    </w:p>
    <w:p>
      <w:pPr>
        <w:pStyle w:val="yShoulderClause"/>
      </w:pPr>
      <w:r>
        <w:t>[bl. 1(3)]</w:t>
      </w:r>
    </w:p>
    <w:p>
      <w:pPr>
        <w:pStyle w:val="yFootnoteheading"/>
      </w:pPr>
      <w:r>
        <w:tab/>
        <w:t>[Heading inserted in Gazette 15 Nov 2013 p. 5268.]</w:t>
      </w:r>
    </w:p>
    <w:p>
      <w:pPr>
        <w:pStyle w:val="yHeading3"/>
        <w:keepNext w:val="0"/>
      </w:pPr>
      <w:bookmarkStart w:id="71" w:name="_Toc478720785"/>
      <w:bookmarkStart w:id="72" w:name="_Toc483215345"/>
      <w:bookmarkStart w:id="73" w:name="_Toc483383696"/>
      <w:bookmarkStart w:id="74" w:name="_Toc483476865"/>
      <w:r>
        <w:t>Map of Wellington Dam Catchment Area showing Mungalup Dam Catchment</w:t>
      </w:r>
      <w:bookmarkEnd w:id="71"/>
      <w:bookmarkEnd w:id="72"/>
      <w:bookmarkEnd w:id="73"/>
      <w:bookmarkEnd w:id="74"/>
    </w:p>
    <w:p>
      <w:pPr>
        <w:pStyle w:val="Subsection"/>
      </w:pPr>
      <w:r>
        <w:rPr>
          <w:noProof/>
        </w:rPr>
        <w:drawing>
          <wp:inline distT="0" distB="0" distL="0" distR="0">
            <wp:extent cx="3912042" cy="5198689"/>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llington_Dam_CA_A4_2.9.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912042" cy="5198689"/>
                    </a:xfrm>
                    <a:prstGeom prst="rect">
                      <a:avLst/>
                    </a:prstGeom>
                  </pic:spPr>
                </pic:pic>
              </a:graphicData>
            </a:graphic>
          </wp:inline>
        </w:drawing>
      </w:r>
    </w:p>
    <w:p>
      <w:pPr>
        <w:pStyle w:val="yHeading3"/>
      </w:pPr>
      <w:bookmarkStart w:id="75" w:name="_Toc478720786"/>
      <w:bookmarkStart w:id="76" w:name="_Toc483215346"/>
      <w:bookmarkStart w:id="77" w:name="_Toc483383697"/>
      <w:bookmarkStart w:id="78" w:name="_Toc483476866"/>
      <w:r>
        <w:t>Map of Mungalup Dam Catchment</w:t>
      </w:r>
      <w:bookmarkEnd w:id="75"/>
      <w:bookmarkEnd w:id="76"/>
      <w:bookmarkEnd w:id="77"/>
      <w:bookmarkEnd w:id="78"/>
    </w:p>
    <w:p>
      <w:pPr>
        <w:pStyle w:val="zySubsection"/>
        <w:keepLines/>
        <w:widowControl w:val="0"/>
        <w:ind w:hanging="1162"/>
      </w:pPr>
      <w:r>
        <w:rPr>
          <w:noProof/>
        </w:rPr>
        <w:drawing>
          <wp:inline distT="0" distB="0" distL="0" distR="0">
            <wp:extent cx="4231271" cy="578059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ngalup_CA_A4_2.9.jpg"/>
                    <pic:cNvPicPr/>
                  </pic:nvPicPr>
                  <pic:blipFill>
                    <a:blip r:embed="rId28">
                      <a:extLst>
                        <a:ext uri="{28A0092B-C50C-407E-A947-70E740481C1C}">
                          <a14:useLocalDpi xmlns:a14="http://schemas.microsoft.com/office/drawing/2010/main" val="0"/>
                        </a:ext>
                      </a:extLst>
                    </a:blip>
                    <a:stretch>
                      <a:fillRect/>
                    </a:stretch>
                  </pic:blipFill>
                  <pic:spPr>
                    <a:xfrm>
                      <a:off x="0" y="0"/>
                      <a:ext cx="4236355" cy="5787545"/>
                    </a:xfrm>
                    <a:prstGeom prst="rect">
                      <a:avLst/>
                    </a:prstGeom>
                  </pic:spPr>
                </pic:pic>
              </a:graphicData>
            </a:graphic>
          </wp:inline>
        </w:drawing>
      </w:r>
    </w:p>
    <w:p>
      <w:pPr>
        <w:pStyle w:val="yFootnotesection"/>
      </w:pPr>
      <w:r>
        <w:tab/>
        <w:t>[Schedule 4 inserted in Gazette 15 Nov 2013 p. 5268-9.]</w:t>
      </w:r>
    </w:p>
    <w:p>
      <w:pPr>
        <w:pStyle w:val="yEdnoteschedule"/>
      </w:pPr>
      <w:r>
        <w:t>[Schedules 5, 6 deleted in Gazette 14 Jul 1987 p. 2650.]</w:t>
      </w:r>
    </w:p>
    <w:p>
      <w:pPr>
        <w:pStyle w:val="CentredBaseLine"/>
        <w:jc w:val="center"/>
      </w:pPr>
      <w:r>
        <w:rPr>
          <w:noProof/>
        </w:rPr>
        <w:drawing>
          <wp:inline distT="0" distB="0" distL="0" distR="0">
            <wp:extent cx="933450" cy="171450"/>
            <wp:effectExtent l="0" t="0" r="0" b="0"/>
            <wp:docPr id="7" name="Picture 7" descr="d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lin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33450" cy="171450"/>
                    </a:xfrm>
                    <a:prstGeom prst="rect">
                      <a:avLst/>
                    </a:prstGeom>
                    <a:noFill/>
                    <a:ln>
                      <a:noFill/>
                    </a:ln>
                  </pic:spPr>
                </pic:pic>
              </a:graphicData>
            </a:graphic>
          </wp:inline>
        </w:drawing>
      </w:r>
    </w:p>
    <w:p>
      <w:pPr>
        <w:outlineLvl w:val="0"/>
      </w:pPr>
    </w:p>
    <w:p>
      <w:pPr>
        <w:outlineLvl w:val="0"/>
        <w:sectPr>
          <w:headerReference w:type="even" r:id="rId30"/>
          <w:headerReference w:type="default" r:id="rId31"/>
          <w:pgSz w:w="11907" w:h="16840" w:code="9"/>
          <w:pgMar w:top="2381" w:right="2410" w:bottom="3544" w:left="2410" w:header="720" w:footer="3544" w:gutter="0"/>
          <w:cols w:space="720"/>
        </w:sectPr>
      </w:pPr>
    </w:p>
    <w:p>
      <w:pPr>
        <w:pStyle w:val="nHeading2"/>
      </w:pPr>
      <w:bookmarkStart w:id="80" w:name="_Toc478720787"/>
      <w:bookmarkStart w:id="81" w:name="_Toc483215347"/>
      <w:bookmarkStart w:id="82" w:name="_Toc483383698"/>
      <w:bookmarkStart w:id="83" w:name="_Toc483476867"/>
      <w:r>
        <w:t>Notes</w:t>
      </w:r>
      <w:bookmarkEnd w:id="80"/>
      <w:bookmarkEnd w:id="81"/>
      <w:bookmarkEnd w:id="82"/>
      <w:bookmarkEnd w:id="83"/>
    </w:p>
    <w:p>
      <w:pPr>
        <w:pStyle w:val="nSubsection"/>
      </w:pPr>
      <w:r>
        <w:rPr>
          <w:vertAlign w:val="superscript"/>
        </w:rPr>
        <w:t>1</w:t>
      </w:r>
      <w:r>
        <w:tab/>
        <w:t xml:space="preserve">This reprint is a compilation as at 19 May 2017 of the </w:t>
      </w:r>
      <w:r>
        <w:rPr>
          <w:i/>
          <w:noProof/>
        </w:rPr>
        <w:t>Country Areas Water Supply By-laws 1957</w:t>
      </w:r>
      <w:r>
        <w:t xml:space="preserve"> and includes the amendments made by the other written laws referred to in the following table</w:t>
      </w:r>
      <w:r>
        <w:rPr>
          <w:vertAlign w:val="superscript"/>
        </w:rPr>
        <w:t> 5</w:t>
      </w:r>
      <w:r>
        <w:t>.  The table also contains information about any reprint.</w:t>
      </w:r>
    </w:p>
    <w:p>
      <w:pPr>
        <w:pStyle w:val="nHeading3"/>
        <w:rPr>
          <w:snapToGrid w:val="0"/>
        </w:rPr>
      </w:pPr>
      <w:bookmarkStart w:id="84" w:name="_Toc483476868"/>
      <w:r>
        <w:t>Compilation table</w:t>
      </w:r>
      <w:bookmarkEnd w:id="84"/>
    </w:p>
    <w:tbl>
      <w:tblPr>
        <w:tblW w:w="0" w:type="auto"/>
        <w:tblLayout w:type="fixed"/>
        <w:tblCellMar>
          <w:left w:w="56" w:type="dxa"/>
          <w:right w:w="56" w:type="dxa"/>
        </w:tblCellMar>
        <w:tblLook w:val="0000" w:firstRow="0" w:lastRow="0" w:firstColumn="0" w:lastColumn="0" w:noHBand="0" w:noVBand="0"/>
      </w:tblPr>
      <w:tblGrid>
        <w:gridCol w:w="28"/>
        <w:gridCol w:w="3090"/>
        <w:gridCol w:w="32"/>
        <w:gridCol w:w="1246"/>
        <w:gridCol w:w="32"/>
        <w:gridCol w:w="2661"/>
        <w:gridCol w:w="32"/>
        <w:gridCol w:w="6"/>
      </w:tblGrid>
      <w:tr>
        <w:trPr>
          <w:gridBefore w:val="1"/>
          <w:wBefore w:w="28" w:type="dxa"/>
          <w:cantSplit/>
          <w:trHeight w:val="40"/>
          <w:tblHeader/>
        </w:trPr>
        <w:tc>
          <w:tcPr>
            <w:tcW w:w="3122" w:type="dxa"/>
            <w:gridSpan w:val="2"/>
            <w:tcBorders>
              <w:top w:val="single" w:sz="8" w:space="0" w:color="auto"/>
              <w:bottom w:val="single" w:sz="8" w:space="0" w:color="auto"/>
            </w:tcBorders>
            <w:shd w:val="clear" w:color="auto" w:fill="auto"/>
          </w:tcPr>
          <w:p>
            <w:pPr>
              <w:pStyle w:val="nTable"/>
              <w:spacing w:after="40"/>
              <w:ind w:right="113"/>
              <w:rPr>
                <w:b/>
              </w:rPr>
            </w:pPr>
            <w:r>
              <w:rPr>
                <w:b/>
              </w:rPr>
              <w:t>Citation</w:t>
            </w:r>
          </w:p>
        </w:tc>
        <w:tc>
          <w:tcPr>
            <w:tcW w:w="1278" w:type="dxa"/>
            <w:gridSpan w:val="2"/>
            <w:tcBorders>
              <w:top w:val="single" w:sz="8" w:space="0" w:color="auto"/>
              <w:bottom w:val="single" w:sz="8" w:space="0" w:color="auto"/>
            </w:tcBorders>
            <w:shd w:val="clear" w:color="auto" w:fill="auto"/>
          </w:tcPr>
          <w:p>
            <w:pPr>
              <w:pStyle w:val="nTable"/>
              <w:spacing w:after="40"/>
              <w:rPr>
                <w:b/>
              </w:rPr>
            </w:pPr>
            <w:r>
              <w:rPr>
                <w:b/>
              </w:rPr>
              <w:t>Gazettal</w:t>
            </w:r>
          </w:p>
        </w:tc>
        <w:tc>
          <w:tcPr>
            <w:tcW w:w="2693" w:type="dxa"/>
            <w:gridSpan w:val="3"/>
            <w:tcBorders>
              <w:top w:val="single" w:sz="8" w:space="0" w:color="auto"/>
              <w:bottom w:val="single" w:sz="8" w:space="0" w:color="auto"/>
            </w:tcBorders>
            <w:shd w:val="clear" w:color="auto" w:fill="auto"/>
          </w:tcPr>
          <w:p>
            <w:pPr>
              <w:pStyle w:val="nTable"/>
              <w:spacing w:after="40"/>
              <w:rPr>
                <w:b/>
              </w:rPr>
            </w:pPr>
            <w:r>
              <w:rPr>
                <w:b/>
              </w:rPr>
              <w:t>Commencement</w:t>
            </w:r>
          </w:p>
        </w:tc>
      </w:tr>
      <w:tr>
        <w:trPr>
          <w:gridBefore w:val="1"/>
          <w:gridAfter w:val="1"/>
          <w:wBefore w:w="28" w:type="dxa"/>
          <w:wAfter w:w="4" w:type="dxa"/>
          <w:cantSplit/>
          <w:trHeight w:val="40"/>
        </w:trPr>
        <w:tc>
          <w:tcPr>
            <w:tcW w:w="3118" w:type="dxa"/>
            <w:gridSpan w:val="2"/>
            <w:tcBorders>
              <w:top w:val="single" w:sz="8" w:space="0" w:color="auto"/>
            </w:tcBorders>
          </w:tcPr>
          <w:p>
            <w:pPr>
              <w:pStyle w:val="nTable"/>
              <w:spacing w:after="40"/>
              <w:ind w:right="113"/>
            </w:pPr>
            <w:r>
              <w:t>Untitled by</w:t>
            </w:r>
            <w:r>
              <w:noBreakHyphen/>
              <w:t>laws</w:t>
            </w:r>
            <w:r>
              <w:rPr>
                <w:vertAlign w:val="superscript"/>
              </w:rPr>
              <w:t> 6</w:t>
            </w:r>
          </w:p>
        </w:tc>
        <w:tc>
          <w:tcPr>
            <w:tcW w:w="1278" w:type="dxa"/>
            <w:gridSpan w:val="2"/>
            <w:tcBorders>
              <w:top w:val="single" w:sz="8" w:space="0" w:color="auto"/>
            </w:tcBorders>
          </w:tcPr>
          <w:p>
            <w:pPr>
              <w:pStyle w:val="nTable"/>
              <w:spacing w:after="40"/>
            </w:pPr>
            <w:r>
              <w:t>20 Jun 1957 p. 1947</w:t>
            </w:r>
            <w:r>
              <w:noBreakHyphen/>
              <w:t>78</w:t>
            </w:r>
          </w:p>
        </w:tc>
        <w:tc>
          <w:tcPr>
            <w:tcW w:w="2693" w:type="dxa"/>
            <w:gridSpan w:val="2"/>
            <w:tcBorders>
              <w:top w:val="single" w:sz="8" w:space="0" w:color="auto"/>
            </w:tcBorders>
          </w:tcPr>
          <w:p>
            <w:pPr>
              <w:pStyle w:val="nTable"/>
              <w:spacing w:after="40"/>
            </w:pPr>
            <w:r>
              <w:t>1 Jul 1957 (see bl. 1)</w:t>
            </w:r>
          </w:p>
        </w:tc>
      </w:tr>
      <w:tr>
        <w:trPr>
          <w:gridBefore w:val="1"/>
          <w:gridAfter w:val="1"/>
          <w:wBefore w:w="28" w:type="dxa"/>
          <w:wAfter w:w="4" w:type="dxa"/>
          <w:cantSplit/>
          <w:trHeight w:val="40"/>
        </w:trPr>
        <w:tc>
          <w:tcPr>
            <w:tcW w:w="3118" w:type="dxa"/>
            <w:gridSpan w:val="2"/>
          </w:tcPr>
          <w:p>
            <w:pPr>
              <w:pStyle w:val="nTable"/>
              <w:spacing w:after="40"/>
              <w:ind w:right="113"/>
            </w:pPr>
            <w:r>
              <w:t>Untitled by</w:t>
            </w:r>
            <w:r>
              <w:noBreakHyphen/>
              <w:t>laws</w:t>
            </w:r>
          </w:p>
        </w:tc>
        <w:tc>
          <w:tcPr>
            <w:tcW w:w="1278" w:type="dxa"/>
            <w:gridSpan w:val="2"/>
          </w:tcPr>
          <w:p>
            <w:pPr>
              <w:pStyle w:val="nTable"/>
              <w:spacing w:after="40"/>
            </w:pPr>
            <w:r>
              <w:t>11 Dec 1959 p. 3025</w:t>
            </w:r>
            <w:r>
              <w:noBreakHyphen/>
              <w:t>6</w:t>
            </w:r>
          </w:p>
        </w:tc>
        <w:tc>
          <w:tcPr>
            <w:tcW w:w="2693" w:type="dxa"/>
            <w:gridSpan w:val="2"/>
          </w:tcPr>
          <w:p>
            <w:pPr>
              <w:pStyle w:val="nTable"/>
              <w:spacing w:after="40"/>
            </w:pPr>
            <w:r>
              <w:t>11 Dec 1959</w:t>
            </w:r>
          </w:p>
        </w:tc>
      </w:tr>
      <w:tr>
        <w:trPr>
          <w:gridBefore w:val="1"/>
          <w:gridAfter w:val="1"/>
          <w:wBefore w:w="28" w:type="dxa"/>
          <w:wAfter w:w="4" w:type="dxa"/>
          <w:cantSplit/>
          <w:trHeight w:val="40"/>
        </w:trPr>
        <w:tc>
          <w:tcPr>
            <w:tcW w:w="3118" w:type="dxa"/>
            <w:gridSpan w:val="2"/>
          </w:tcPr>
          <w:p>
            <w:pPr>
              <w:pStyle w:val="nTable"/>
              <w:spacing w:after="40"/>
              <w:ind w:right="113"/>
            </w:pPr>
            <w:r>
              <w:t>Untitled by</w:t>
            </w:r>
            <w:r>
              <w:noBreakHyphen/>
              <w:t>laws</w:t>
            </w:r>
          </w:p>
        </w:tc>
        <w:tc>
          <w:tcPr>
            <w:tcW w:w="1278" w:type="dxa"/>
            <w:gridSpan w:val="2"/>
          </w:tcPr>
          <w:p>
            <w:pPr>
              <w:pStyle w:val="nTable"/>
              <w:spacing w:after="40"/>
            </w:pPr>
            <w:r>
              <w:t>30 Jun 1960 p. 1953</w:t>
            </w:r>
          </w:p>
        </w:tc>
        <w:tc>
          <w:tcPr>
            <w:tcW w:w="2693" w:type="dxa"/>
            <w:gridSpan w:val="2"/>
          </w:tcPr>
          <w:p>
            <w:pPr>
              <w:pStyle w:val="nTable"/>
              <w:spacing w:after="40"/>
            </w:pPr>
            <w:r>
              <w:t>30 Jun 1960</w:t>
            </w:r>
          </w:p>
        </w:tc>
      </w:tr>
      <w:tr>
        <w:trPr>
          <w:gridBefore w:val="1"/>
          <w:gridAfter w:val="1"/>
          <w:wBefore w:w="28" w:type="dxa"/>
          <w:wAfter w:w="4" w:type="dxa"/>
          <w:cantSplit/>
          <w:trHeight w:val="40"/>
        </w:trPr>
        <w:tc>
          <w:tcPr>
            <w:tcW w:w="3118" w:type="dxa"/>
            <w:gridSpan w:val="2"/>
          </w:tcPr>
          <w:p>
            <w:pPr>
              <w:pStyle w:val="nTable"/>
              <w:spacing w:after="40"/>
              <w:ind w:right="113"/>
            </w:pPr>
            <w:r>
              <w:t>Untitled by</w:t>
            </w:r>
            <w:r>
              <w:noBreakHyphen/>
              <w:t>laws</w:t>
            </w:r>
          </w:p>
        </w:tc>
        <w:tc>
          <w:tcPr>
            <w:tcW w:w="1278" w:type="dxa"/>
            <w:gridSpan w:val="2"/>
          </w:tcPr>
          <w:p>
            <w:pPr>
              <w:pStyle w:val="nTable"/>
              <w:spacing w:after="40"/>
            </w:pPr>
            <w:r>
              <w:t>22 Dec 1964 p. 4067</w:t>
            </w:r>
            <w:r>
              <w:noBreakHyphen/>
              <w:t>74</w:t>
            </w:r>
          </w:p>
        </w:tc>
        <w:tc>
          <w:tcPr>
            <w:tcW w:w="2693" w:type="dxa"/>
            <w:gridSpan w:val="2"/>
          </w:tcPr>
          <w:p>
            <w:pPr>
              <w:pStyle w:val="nTable"/>
              <w:spacing w:after="40"/>
            </w:pPr>
            <w:r>
              <w:t>1 Jan 1965</w:t>
            </w:r>
          </w:p>
        </w:tc>
      </w:tr>
      <w:tr>
        <w:trPr>
          <w:gridBefore w:val="1"/>
          <w:gridAfter w:val="1"/>
          <w:wBefore w:w="28" w:type="dxa"/>
          <w:wAfter w:w="4" w:type="dxa"/>
          <w:cantSplit/>
          <w:trHeight w:val="40"/>
        </w:trPr>
        <w:tc>
          <w:tcPr>
            <w:tcW w:w="3118" w:type="dxa"/>
            <w:gridSpan w:val="2"/>
          </w:tcPr>
          <w:p>
            <w:pPr>
              <w:pStyle w:val="nTable"/>
              <w:spacing w:after="40"/>
              <w:ind w:right="113"/>
            </w:pPr>
            <w:r>
              <w:t>Untitled by</w:t>
            </w:r>
            <w:r>
              <w:noBreakHyphen/>
              <w:t>laws</w:t>
            </w:r>
          </w:p>
        </w:tc>
        <w:tc>
          <w:tcPr>
            <w:tcW w:w="1278" w:type="dxa"/>
            <w:gridSpan w:val="2"/>
          </w:tcPr>
          <w:p>
            <w:pPr>
              <w:pStyle w:val="nTable"/>
              <w:spacing w:after="40"/>
            </w:pPr>
            <w:r>
              <w:t>26 Jul 1966 p. 2082</w:t>
            </w:r>
          </w:p>
        </w:tc>
        <w:tc>
          <w:tcPr>
            <w:tcW w:w="2693" w:type="dxa"/>
            <w:gridSpan w:val="2"/>
          </w:tcPr>
          <w:p>
            <w:pPr>
              <w:pStyle w:val="nTable"/>
              <w:spacing w:after="40"/>
            </w:pPr>
            <w:r>
              <w:t>26 Jul 1966</w:t>
            </w:r>
          </w:p>
        </w:tc>
      </w:tr>
      <w:tr>
        <w:trPr>
          <w:gridBefore w:val="1"/>
          <w:gridAfter w:val="1"/>
          <w:wBefore w:w="28" w:type="dxa"/>
          <w:wAfter w:w="4" w:type="dxa"/>
          <w:cantSplit/>
          <w:trHeight w:val="40"/>
        </w:trPr>
        <w:tc>
          <w:tcPr>
            <w:tcW w:w="3118" w:type="dxa"/>
            <w:gridSpan w:val="2"/>
          </w:tcPr>
          <w:p>
            <w:pPr>
              <w:pStyle w:val="nTable"/>
              <w:spacing w:after="40"/>
              <w:ind w:right="113"/>
            </w:pPr>
            <w:r>
              <w:t>Untitled by</w:t>
            </w:r>
            <w:r>
              <w:noBreakHyphen/>
              <w:t>laws</w:t>
            </w:r>
          </w:p>
        </w:tc>
        <w:tc>
          <w:tcPr>
            <w:tcW w:w="1278" w:type="dxa"/>
            <w:gridSpan w:val="2"/>
          </w:tcPr>
          <w:p>
            <w:pPr>
              <w:pStyle w:val="nTable"/>
              <w:spacing w:after="40"/>
            </w:pPr>
            <w:r>
              <w:t>15 Dec 1966 p. 3305</w:t>
            </w:r>
            <w:r>
              <w:noBreakHyphen/>
              <w:t>6</w:t>
            </w:r>
          </w:p>
        </w:tc>
        <w:tc>
          <w:tcPr>
            <w:tcW w:w="2693" w:type="dxa"/>
            <w:gridSpan w:val="2"/>
          </w:tcPr>
          <w:p>
            <w:pPr>
              <w:pStyle w:val="nTable"/>
              <w:spacing w:after="40"/>
            </w:pPr>
            <w:r>
              <w:t>15 Dec 1966</w:t>
            </w:r>
          </w:p>
        </w:tc>
      </w:tr>
      <w:tr>
        <w:trPr>
          <w:gridBefore w:val="1"/>
          <w:gridAfter w:val="1"/>
          <w:wBefore w:w="28" w:type="dxa"/>
          <w:wAfter w:w="4" w:type="dxa"/>
          <w:cantSplit/>
          <w:trHeight w:val="40"/>
        </w:trPr>
        <w:tc>
          <w:tcPr>
            <w:tcW w:w="3118" w:type="dxa"/>
            <w:gridSpan w:val="2"/>
          </w:tcPr>
          <w:p>
            <w:pPr>
              <w:pStyle w:val="nTable"/>
              <w:spacing w:after="40"/>
              <w:ind w:right="113"/>
            </w:pPr>
            <w:r>
              <w:t>Untitled by</w:t>
            </w:r>
            <w:r>
              <w:noBreakHyphen/>
              <w:t>laws</w:t>
            </w:r>
          </w:p>
        </w:tc>
        <w:tc>
          <w:tcPr>
            <w:tcW w:w="1278" w:type="dxa"/>
            <w:gridSpan w:val="2"/>
          </w:tcPr>
          <w:p>
            <w:pPr>
              <w:pStyle w:val="nTable"/>
              <w:spacing w:after="40"/>
            </w:pPr>
            <w:r>
              <w:t>30 Jun 1967 p. 1718</w:t>
            </w:r>
          </w:p>
        </w:tc>
        <w:tc>
          <w:tcPr>
            <w:tcW w:w="2693" w:type="dxa"/>
            <w:gridSpan w:val="2"/>
          </w:tcPr>
          <w:p>
            <w:pPr>
              <w:pStyle w:val="nTable"/>
              <w:spacing w:after="40"/>
            </w:pPr>
            <w:r>
              <w:t>1 Jul 1967</w:t>
            </w:r>
          </w:p>
        </w:tc>
      </w:tr>
      <w:tr>
        <w:trPr>
          <w:gridBefore w:val="1"/>
          <w:gridAfter w:val="1"/>
          <w:wBefore w:w="28" w:type="dxa"/>
          <w:wAfter w:w="4" w:type="dxa"/>
          <w:cantSplit/>
          <w:trHeight w:val="40"/>
        </w:trPr>
        <w:tc>
          <w:tcPr>
            <w:tcW w:w="3118" w:type="dxa"/>
            <w:gridSpan w:val="2"/>
          </w:tcPr>
          <w:p>
            <w:pPr>
              <w:pStyle w:val="nTable"/>
              <w:spacing w:after="40"/>
              <w:ind w:right="113"/>
            </w:pPr>
            <w:r>
              <w:t>Untitled by</w:t>
            </w:r>
            <w:r>
              <w:noBreakHyphen/>
              <w:t>laws</w:t>
            </w:r>
          </w:p>
        </w:tc>
        <w:tc>
          <w:tcPr>
            <w:tcW w:w="1278" w:type="dxa"/>
            <w:gridSpan w:val="2"/>
          </w:tcPr>
          <w:p>
            <w:pPr>
              <w:pStyle w:val="nTable"/>
              <w:spacing w:after="40"/>
            </w:pPr>
            <w:r>
              <w:t>6 Sep 1967 p. 2213</w:t>
            </w:r>
          </w:p>
        </w:tc>
        <w:tc>
          <w:tcPr>
            <w:tcW w:w="2693" w:type="dxa"/>
            <w:gridSpan w:val="2"/>
          </w:tcPr>
          <w:p>
            <w:pPr>
              <w:pStyle w:val="nTable"/>
              <w:spacing w:after="40"/>
            </w:pPr>
            <w:r>
              <w:t>6 Sep 1967</w:t>
            </w:r>
          </w:p>
        </w:tc>
      </w:tr>
      <w:tr>
        <w:trPr>
          <w:gridBefore w:val="1"/>
          <w:gridAfter w:val="1"/>
          <w:wBefore w:w="28" w:type="dxa"/>
          <w:wAfter w:w="6" w:type="dxa"/>
          <w:cantSplit/>
          <w:trHeight w:val="40"/>
        </w:trPr>
        <w:tc>
          <w:tcPr>
            <w:tcW w:w="7087" w:type="dxa"/>
            <w:gridSpan w:val="6"/>
          </w:tcPr>
          <w:p>
            <w:pPr>
              <w:pStyle w:val="nTable"/>
              <w:spacing w:after="40"/>
            </w:pPr>
            <w:r>
              <w:rPr>
                <w:b/>
              </w:rPr>
              <w:t xml:space="preserve">Reprint </w:t>
            </w:r>
            <w:r>
              <w:rPr>
                <w:b/>
                <w:iCs/>
              </w:rPr>
              <w:t xml:space="preserve">authorised 26 Apr 1968 </w:t>
            </w:r>
            <w:r>
              <w:rPr>
                <w:b/>
              </w:rPr>
              <w:t>in</w:t>
            </w:r>
            <w:r>
              <w:t xml:space="preserve"> </w:t>
            </w:r>
            <w:r>
              <w:rPr>
                <w:b/>
                <w:i/>
              </w:rPr>
              <w:t xml:space="preserve">Gazette </w:t>
            </w:r>
            <w:r>
              <w:rPr>
                <w:b/>
              </w:rPr>
              <w:t>1 May 1968 p. 1219</w:t>
            </w:r>
            <w:r>
              <w:rPr>
                <w:b/>
              </w:rPr>
              <w:noBreakHyphen/>
              <w:t>42</w:t>
            </w:r>
            <w:r>
              <w:t xml:space="preserve"> (including amendments listed above)</w:t>
            </w:r>
          </w:p>
        </w:tc>
      </w:tr>
      <w:tr>
        <w:trPr>
          <w:gridBefore w:val="1"/>
          <w:gridAfter w:val="1"/>
          <w:wBefore w:w="28" w:type="dxa"/>
          <w:wAfter w:w="4" w:type="dxa"/>
          <w:cantSplit/>
          <w:trHeight w:val="40"/>
        </w:trPr>
        <w:tc>
          <w:tcPr>
            <w:tcW w:w="3118" w:type="dxa"/>
            <w:gridSpan w:val="2"/>
          </w:tcPr>
          <w:p>
            <w:pPr>
              <w:pStyle w:val="nTable"/>
              <w:spacing w:after="40"/>
              <w:ind w:right="113"/>
            </w:pPr>
            <w:r>
              <w:t>Untitled by</w:t>
            </w:r>
            <w:r>
              <w:noBreakHyphen/>
              <w:t>laws</w:t>
            </w:r>
          </w:p>
        </w:tc>
        <w:tc>
          <w:tcPr>
            <w:tcW w:w="1278" w:type="dxa"/>
            <w:gridSpan w:val="2"/>
          </w:tcPr>
          <w:p>
            <w:pPr>
              <w:pStyle w:val="nTable"/>
              <w:spacing w:after="40"/>
            </w:pPr>
            <w:r>
              <w:t xml:space="preserve">24 Jul 1968 </w:t>
            </w:r>
            <w:r>
              <w:br/>
              <w:t>p. 2111</w:t>
            </w:r>
          </w:p>
        </w:tc>
        <w:tc>
          <w:tcPr>
            <w:tcW w:w="2693" w:type="dxa"/>
            <w:gridSpan w:val="2"/>
          </w:tcPr>
          <w:p>
            <w:pPr>
              <w:pStyle w:val="nTable"/>
              <w:spacing w:after="40"/>
            </w:pPr>
            <w:r>
              <w:t>24 Jul 1968</w:t>
            </w:r>
          </w:p>
        </w:tc>
      </w:tr>
      <w:tr>
        <w:trPr>
          <w:gridBefore w:val="1"/>
          <w:gridAfter w:val="1"/>
          <w:wBefore w:w="28" w:type="dxa"/>
          <w:wAfter w:w="4" w:type="dxa"/>
          <w:cantSplit/>
          <w:trHeight w:val="40"/>
        </w:trPr>
        <w:tc>
          <w:tcPr>
            <w:tcW w:w="3118" w:type="dxa"/>
            <w:gridSpan w:val="2"/>
          </w:tcPr>
          <w:p>
            <w:pPr>
              <w:pStyle w:val="nTable"/>
              <w:spacing w:after="40"/>
              <w:ind w:right="113"/>
            </w:pPr>
            <w:r>
              <w:t>Untitled by</w:t>
            </w:r>
            <w:r>
              <w:noBreakHyphen/>
              <w:t>laws</w:t>
            </w:r>
          </w:p>
        </w:tc>
        <w:tc>
          <w:tcPr>
            <w:tcW w:w="1278" w:type="dxa"/>
            <w:gridSpan w:val="2"/>
          </w:tcPr>
          <w:p>
            <w:pPr>
              <w:pStyle w:val="nTable"/>
              <w:spacing w:after="40"/>
            </w:pPr>
            <w:r>
              <w:t>5 Sep 1968 p. 2686</w:t>
            </w:r>
          </w:p>
        </w:tc>
        <w:tc>
          <w:tcPr>
            <w:tcW w:w="2693" w:type="dxa"/>
            <w:gridSpan w:val="2"/>
          </w:tcPr>
          <w:p>
            <w:pPr>
              <w:pStyle w:val="nTable"/>
              <w:spacing w:after="40"/>
            </w:pPr>
            <w:r>
              <w:t>5 Sep 1968</w:t>
            </w:r>
          </w:p>
        </w:tc>
      </w:tr>
      <w:tr>
        <w:trPr>
          <w:gridBefore w:val="1"/>
          <w:gridAfter w:val="1"/>
          <w:wBefore w:w="28" w:type="dxa"/>
          <w:wAfter w:w="4" w:type="dxa"/>
          <w:cantSplit/>
          <w:trHeight w:val="40"/>
        </w:trPr>
        <w:tc>
          <w:tcPr>
            <w:tcW w:w="3118" w:type="dxa"/>
            <w:gridSpan w:val="2"/>
          </w:tcPr>
          <w:p>
            <w:pPr>
              <w:pStyle w:val="nTable"/>
              <w:spacing w:after="40"/>
              <w:ind w:right="113"/>
            </w:pPr>
            <w:r>
              <w:t>Untitled by</w:t>
            </w:r>
            <w:r>
              <w:noBreakHyphen/>
              <w:t>laws</w:t>
            </w:r>
          </w:p>
        </w:tc>
        <w:tc>
          <w:tcPr>
            <w:tcW w:w="1278" w:type="dxa"/>
            <w:gridSpan w:val="2"/>
          </w:tcPr>
          <w:p>
            <w:pPr>
              <w:pStyle w:val="nTable"/>
              <w:spacing w:after="40"/>
            </w:pPr>
            <w:r>
              <w:t>26 Sep 1968 p. 2858</w:t>
            </w:r>
          </w:p>
        </w:tc>
        <w:tc>
          <w:tcPr>
            <w:tcW w:w="2693" w:type="dxa"/>
            <w:gridSpan w:val="2"/>
          </w:tcPr>
          <w:p>
            <w:pPr>
              <w:pStyle w:val="nTable"/>
              <w:spacing w:after="40"/>
            </w:pPr>
            <w:r>
              <w:t>26 Sep 1968</w:t>
            </w:r>
          </w:p>
        </w:tc>
      </w:tr>
      <w:tr>
        <w:trPr>
          <w:gridBefore w:val="1"/>
          <w:gridAfter w:val="1"/>
          <w:wBefore w:w="28" w:type="dxa"/>
          <w:wAfter w:w="4" w:type="dxa"/>
          <w:cantSplit/>
          <w:trHeight w:val="40"/>
        </w:trPr>
        <w:tc>
          <w:tcPr>
            <w:tcW w:w="3118" w:type="dxa"/>
            <w:gridSpan w:val="2"/>
          </w:tcPr>
          <w:p>
            <w:pPr>
              <w:pStyle w:val="nTable"/>
              <w:spacing w:after="40"/>
              <w:ind w:right="113"/>
            </w:pPr>
            <w:r>
              <w:t>Untitled by</w:t>
            </w:r>
            <w:r>
              <w:noBreakHyphen/>
              <w:t>laws</w:t>
            </w:r>
          </w:p>
        </w:tc>
        <w:tc>
          <w:tcPr>
            <w:tcW w:w="1278" w:type="dxa"/>
            <w:gridSpan w:val="2"/>
          </w:tcPr>
          <w:p>
            <w:pPr>
              <w:pStyle w:val="nTable"/>
              <w:spacing w:after="40"/>
            </w:pPr>
            <w:r>
              <w:t>6 Feb 1969 p. 453</w:t>
            </w:r>
          </w:p>
        </w:tc>
        <w:tc>
          <w:tcPr>
            <w:tcW w:w="2693" w:type="dxa"/>
            <w:gridSpan w:val="2"/>
          </w:tcPr>
          <w:p>
            <w:pPr>
              <w:pStyle w:val="nTable"/>
              <w:spacing w:after="40"/>
            </w:pPr>
            <w:r>
              <w:t>6 Feb 1969</w:t>
            </w:r>
          </w:p>
        </w:tc>
      </w:tr>
      <w:tr>
        <w:trPr>
          <w:gridBefore w:val="1"/>
          <w:gridAfter w:val="1"/>
          <w:wBefore w:w="28" w:type="dxa"/>
          <w:wAfter w:w="4" w:type="dxa"/>
          <w:cantSplit/>
          <w:trHeight w:val="40"/>
        </w:trPr>
        <w:tc>
          <w:tcPr>
            <w:tcW w:w="3118" w:type="dxa"/>
            <w:gridSpan w:val="2"/>
          </w:tcPr>
          <w:p>
            <w:pPr>
              <w:pStyle w:val="nTable"/>
              <w:spacing w:after="40"/>
              <w:ind w:right="113"/>
            </w:pPr>
            <w:r>
              <w:t>Untitled by</w:t>
            </w:r>
            <w:r>
              <w:noBreakHyphen/>
              <w:t>laws</w:t>
            </w:r>
          </w:p>
        </w:tc>
        <w:tc>
          <w:tcPr>
            <w:tcW w:w="1278" w:type="dxa"/>
            <w:gridSpan w:val="2"/>
          </w:tcPr>
          <w:p>
            <w:pPr>
              <w:pStyle w:val="nTable"/>
              <w:spacing w:after="40"/>
            </w:pPr>
            <w:r>
              <w:t>9 Feb 1970 p. 376</w:t>
            </w:r>
            <w:r>
              <w:noBreakHyphen/>
              <w:t>7</w:t>
            </w:r>
          </w:p>
        </w:tc>
        <w:tc>
          <w:tcPr>
            <w:tcW w:w="2693" w:type="dxa"/>
            <w:gridSpan w:val="2"/>
          </w:tcPr>
          <w:p>
            <w:pPr>
              <w:pStyle w:val="nTable"/>
              <w:spacing w:after="40"/>
            </w:pPr>
            <w:r>
              <w:t>9 Feb 1970</w:t>
            </w:r>
          </w:p>
        </w:tc>
      </w:tr>
      <w:tr>
        <w:trPr>
          <w:gridBefore w:val="1"/>
          <w:gridAfter w:val="1"/>
          <w:wBefore w:w="28" w:type="dxa"/>
          <w:wAfter w:w="4" w:type="dxa"/>
          <w:cantSplit/>
          <w:trHeight w:val="40"/>
        </w:trPr>
        <w:tc>
          <w:tcPr>
            <w:tcW w:w="3118" w:type="dxa"/>
            <w:gridSpan w:val="2"/>
          </w:tcPr>
          <w:p>
            <w:pPr>
              <w:pStyle w:val="nTable"/>
              <w:spacing w:after="40"/>
              <w:ind w:right="113"/>
            </w:pPr>
            <w:r>
              <w:t>Untitled by</w:t>
            </w:r>
            <w:r>
              <w:noBreakHyphen/>
              <w:t>laws</w:t>
            </w:r>
          </w:p>
        </w:tc>
        <w:tc>
          <w:tcPr>
            <w:tcW w:w="1278" w:type="dxa"/>
            <w:gridSpan w:val="2"/>
          </w:tcPr>
          <w:p>
            <w:pPr>
              <w:pStyle w:val="nTable"/>
              <w:spacing w:after="40"/>
            </w:pPr>
            <w:r>
              <w:t>25 Sep 1970 p. 3049</w:t>
            </w:r>
            <w:r>
              <w:noBreakHyphen/>
              <w:t>50</w:t>
            </w:r>
          </w:p>
        </w:tc>
        <w:tc>
          <w:tcPr>
            <w:tcW w:w="2693" w:type="dxa"/>
            <w:gridSpan w:val="2"/>
          </w:tcPr>
          <w:p>
            <w:pPr>
              <w:pStyle w:val="nTable"/>
              <w:spacing w:after="40"/>
            </w:pPr>
            <w:r>
              <w:t>25 Sep 1970</w:t>
            </w:r>
          </w:p>
        </w:tc>
      </w:tr>
      <w:tr>
        <w:trPr>
          <w:gridBefore w:val="1"/>
          <w:gridAfter w:val="1"/>
          <w:wBefore w:w="28" w:type="dxa"/>
          <w:wAfter w:w="4" w:type="dxa"/>
          <w:cantSplit/>
          <w:trHeight w:val="40"/>
        </w:trPr>
        <w:tc>
          <w:tcPr>
            <w:tcW w:w="3118" w:type="dxa"/>
            <w:gridSpan w:val="2"/>
          </w:tcPr>
          <w:p>
            <w:pPr>
              <w:pStyle w:val="nTable"/>
              <w:spacing w:after="40"/>
              <w:ind w:right="113"/>
            </w:pPr>
            <w:r>
              <w:t>Untitled by</w:t>
            </w:r>
            <w:r>
              <w:noBreakHyphen/>
              <w:t>laws</w:t>
            </w:r>
          </w:p>
        </w:tc>
        <w:tc>
          <w:tcPr>
            <w:tcW w:w="1278" w:type="dxa"/>
            <w:gridSpan w:val="2"/>
          </w:tcPr>
          <w:p>
            <w:pPr>
              <w:pStyle w:val="nTable"/>
              <w:spacing w:after="40"/>
            </w:pPr>
            <w:r>
              <w:t xml:space="preserve">4 May 1971 </w:t>
            </w:r>
            <w:r>
              <w:br/>
              <w:t>p. 1325</w:t>
            </w:r>
          </w:p>
        </w:tc>
        <w:tc>
          <w:tcPr>
            <w:tcW w:w="2693" w:type="dxa"/>
            <w:gridSpan w:val="2"/>
          </w:tcPr>
          <w:p>
            <w:pPr>
              <w:pStyle w:val="nTable"/>
              <w:spacing w:after="40"/>
            </w:pPr>
            <w:r>
              <w:t>4 May 1971</w:t>
            </w:r>
          </w:p>
        </w:tc>
      </w:tr>
      <w:tr>
        <w:trPr>
          <w:gridBefore w:val="1"/>
          <w:gridAfter w:val="1"/>
          <w:wBefore w:w="28" w:type="dxa"/>
          <w:wAfter w:w="4" w:type="dxa"/>
          <w:cantSplit/>
          <w:trHeight w:val="40"/>
        </w:trPr>
        <w:tc>
          <w:tcPr>
            <w:tcW w:w="3118" w:type="dxa"/>
            <w:gridSpan w:val="2"/>
          </w:tcPr>
          <w:p>
            <w:pPr>
              <w:pStyle w:val="nTable"/>
              <w:spacing w:after="40"/>
              <w:ind w:right="113"/>
            </w:pPr>
            <w:r>
              <w:t>Untitled by</w:t>
            </w:r>
            <w:r>
              <w:noBreakHyphen/>
              <w:t>laws</w:t>
            </w:r>
          </w:p>
        </w:tc>
        <w:tc>
          <w:tcPr>
            <w:tcW w:w="1278" w:type="dxa"/>
            <w:gridSpan w:val="2"/>
          </w:tcPr>
          <w:p>
            <w:pPr>
              <w:pStyle w:val="nTable"/>
              <w:spacing w:after="40"/>
            </w:pPr>
            <w:r>
              <w:t>1 Dec 1972 p. 4593</w:t>
            </w:r>
          </w:p>
        </w:tc>
        <w:tc>
          <w:tcPr>
            <w:tcW w:w="2693" w:type="dxa"/>
            <w:gridSpan w:val="2"/>
          </w:tcPr>
          <w:p>
            <w:pPr>
              <w:pStyle w:val="nTable"/>
              <w:spacing w:after="40"/>
            </w:pPr>
            <w:r>
              <w:t>1 Dec 1972</w:t>
            </w:r>
          </w:p>
        </w:tc>
      </w:tr>
      <w:tr>
        <w:trPr>
          <w:gridBefore w:val="1"/>
          <w:gridAfter w:val="1"/>
          <w:wBefore w:w="28" w:type="dxa"/>
          <w:wAfter w:w="4" w:type="dxa"/>
          <w:cantSplit/>
          <w:trHeight w:val="40"/>
        </w:trPr>
        <w:tc>
          <w:tcPr>
            <w:tcW w:w="3118" w:type="dxa"/>
            <w:gridSpan w:val="2"/>
          </w:tcPr>
          <w:p>
            <w:pPr>
              <w:pStyle w:val="nTable"/>
              <w:spacing w:after="40"/>
              <w:ind w:right="113"/>
            </w:pPr>
            <w:r>
              <w:t>Untitled by</w:t>
            </w:r>
            <w:r>
              <w:noBreakHyphen/>
              <w:t>laws</w:t>
            </w:r>
          </w:p>
        </w:tc>
        <w:tc>
          <w:tcPr>
            <w:tcW w:w="1278" w:type="dxa"/>
            <w:gridSpan w:val="2"/>
          </w:tcPr>
          <w:p>
            <w:pPr>
              <w:pStyle w:val="nTable"/>
              <w:spacing w:after="40"/>
            </w:pPr>
            <w:r>
              <w:t xml:space="preserve">29 Jun 1973 </w:t>
            </w:r>
            <w:r>
              <w:br/>
              <w:t>p. 2510</w:t>
            </w:r>
          </w:p>
        </w:tc>
        <w:tc>
          <w:tcPr>
            <w:tcW w:w="2693" w:type="dxa"/>
            <w:gridSpan w:val="2"/>
          </w:tcPr>
          <w:p>
            <w:pPr>
              <w:pStyle w:val="nTable"/>
              <w:spacing w:after="40"/>
            </w:pPr>
            <w:r>
              <w:t>29 Jun 1973</w:t>
            </w:r>
          </w:p>
        </w:tc>
      </w:tr>
      <w:tr>
        <w:trPr>
          <w:gridBefore w:val="1"/>
          <w:gridAfter w:val="1"/>
          <w:wBefore w:w="28" w:type="dxa"/>
          <w:wAfter w:w="4" w:type="dxa"/>
          <w:cantSplit/>
          <w:trHeight w:val="40"/>
        </w:trPr>
        <w:tc>
          <w:tcPr>
            <w:tcW w:w="3118" w:type="dxa"/>
            <w:gridSpan w:val="2"/>
          </w:tcPr>
          <w:p>
            <w:pPr>
              <w:pStyle w:val="nTable"/>
              <w:spacing w:after="40"/>
              <w:ind w:right="113"/>
            </w:pPr>
            <w:r>
              <w:t>Untitled by</w:t>
            </w:r>
            <w:r>
              <w:noBreakHyphen/>
              <w:t>laws</w:t>
            </w:r>
          </w:p>
        </w:tc>
        <w:tc>
          <w:tcPr>
            <w:tcW w:w="1278" w:type="dxa"/>
            <w:gridSpan w:val="2"/>
          </w:tcPr>
          <w:p>
            <w:pPr>
              <w:pStyle w:val="nTable"/>
              <w:spacing w:after="40"/>
            </w:pPr>
            <w:r>
              <w:t>26 Apr 1974</w:t>
            </w:r>
            <w:r>
              <w:br/>
              <w:t>p. 1394</w:t>
            </w:r>
          </w:p>
        </w:tc>
        <w:tc>
          <w:tcPr>
            <w:tcW w:w="2693" w:type="dxa"/>
            <w:gridSpan w:val="2"/>
          </w:tcPr>
          <w:p>
            <w:pPr>
              <w:pStyle w:val="nTable"/>
              <w:spacing w:after="40"/>
            </w:pPr>
            <w:r>
              <w:t>26 Apr 1974</w:t>
            </w:r>
          </w:p>
        </w:tc>
      </w:tr>
      <w:tr>
        <w:trPr>
          <w:gridBefore w:val="1"/>
          <w:gridAfter w:val="1"/>
          <w:wBefore w:w="28" w:type="dxa"/>
          <w:wAfter w:w="4" w:type="dxa"/>
          <w:cantSplit/>
          <w:trHeight w:val="40"/>
        </w:trPr>
        <w:tc>
          <w:tcPr>
            <w:tcW w:w="3118" w:type="dxa"/>
            <w:gridSpan w:val="2"/>
          </w:tcPr>
          <w:p>
            <w:pPr>
              <w:pStyle w:val="nTable"/>
              <w:spacing w:after="40"/>
              <w:ind w:right="113"/>
            </w:pPr>
            <w:r>
              <w:t>Untitled by</w:t>
            </w:r>
            <w:r>
              <w:noBreakHyphen/>
              <w:t>laws</w:t>
            </w:r>
          </w:p>
        </w:tc>
        <w:tc>
          <w:tcPr>
            <w:tcW w:w="1278" w:type="dxa"/>
            <w:gridSpan w:val="2"/>
          </w:tcPr>
          <w:p>
            <w:pPr>
              <w:pStyle w:val="nTable"/>
              <w:spacing w:after="40"/>
            </w:pPr>
            <w:r>
              <w:t>8 Nov 1974 p. 5012</w:t>
            </w:r>
            <w:r>
              <w:noBreakHyphen/>
              <w:t>14</w:t>
            </w:r>
          </w:p>
        </w:tc>
        <w:tc>
          <w:tcPr>
            <w:tcW w:w="2693" w:type="dxa"/>
            <w:gridSpan w:val="2"/>
          </w:tcPr>
          <w:p>
            <w:pPr>
              <w:pStyle w:val="nTable"/>
              <w:spacing w:after="40"/>
            </w:pPr>
            <w:r>
              <w:t>8 Nov 1974</w:t>
            </w:r>
          </w:p>
        </w:tc>
      </w:tr>
      <w:tr>
        <w:trPr>
          <w:gridBefore w:val="1"/>
          <w:gridAfter w:val="1"/>
          <w:wBefore w:w="28" w:type="dxa"/>
          <w:wAfter w:w="4" w:type="dxa"/>
          <w:cantSplit/>
          <w:trHeight w:val="40"/>
        </w:trPr>
        <w:tc>
          <w:tcPr>
            <w:tcW w:w="3118" w:type="dxa"/>
            <w:gridSpan w:val="2"/>
          </w:tcPr>
          <w:p>
            <w:pPr>
              <w:pStyle w:val="nTable"/>
              <w:spacing w:after="40"/>
              <w:ind w:right="113"/>
            </w:pPr>
            <w:r>
              <w:t>Untitled by</w:t>
            </w:r>
            <w:r>
              <w:noBreakHyphen/>
              <w:t>laws</w:t>
            </w:r>
          </w:p>
        </w:tc>
        <w:tc>
          <w:tcPr>
            <w:tcW w:w="1278" w:type="dxa"/>
            <w:gridSpan w:val="2"/>
          </w:tcPr>
          <w:p>
            <w:pPr>
              <w:pStyle w:val="nTable"/>
              <w:spacing w:after="40"/>
            </w:pPr>
            <w:r>
              <w:t>6 Dec 1974 p. 5246</w:t>
            </w:r>
            <w:r>
              <w:noBreakHyphen/>
              <w:t>7</w:t>
            </w:r>
          </w:p>
        </w:tc>
        <w:tc>
          <w:tcPr>
            <w:tcW w:w="2693" w:type="dxa"/>
            <w:gridSpan w:val="2"/>
          </w:tcPr>
          <w:p>
            <w:pPr>
              <w:pStyle w:val="nTable"/>
              <w:spacing w:after="40"/>
            </w:pPr>
            <w:r>
              <w:t>6 Dec 1974</w:t>
            </w:r>
          </w:p>
        </w:tc>
      </w:tr>
      <w:tr>
        <w:trPr>
          <w:gridBefore w:val="1"/>
          <w:gridAfter w:val="1"/>
          <w:wBefore w:w="28" w:type="dxa"/>
          <w:wAfter w:w="4" w:type="dxa"/>
          <w:cantSplit/>
          <w:trHeight w:val="40"/>
        </w:trPr>
        <w:tc>
          <w:tcPr>
            <w:tcW w:w="3118" w:type="dxa"/>
            <w:gridSpan w:val="2"/>
          </w:tcPr>
          <w:p>
            <w:pPr>
              <w:pStyle w:val="nTable"/>
              <w:spacing w:after="40"/>
              <w:ind w:right="113"/>
            </w:pPr>
            <w:r>
              <w:t>Untitled by</w:t>
            </w:r>
            <w:r>
              <w:noBreakHyphen/>
              <w:t>laws</w:t>
            </w:r>
          </w:p>
        </w:tc>
        <w:tc>
          <w:tcPr>
            <w:tcW w:w="1278" w:type="dxa"/>
            <w:gridSpan w:val="2"/>
          </w:tcPr>
          <w:p>
            <w:pPr>
              <w:pStyle w:val="nTable"/>
              <w:keepNext/>
              <w:spacing w:after="40"/>
            </w:pPr>
            <w:r>
              <w:t xml:space="preserve">21 Mar 1975 </w:t>
            </w:r>
            <w:r>
              <w:br/>
              <w:t>p. 964</w:t>
            </w:r>
          </w:p>
        </w:tc>
        <w:tc>
          <w:tcPr>
            <w:tcW w:w="2693" w:type="dxa"/>
            <w:gridSpan w:val="2"/>
          </w:tcPr>
          <w:p>
            <w:pPr>
              <w:pStyle w:val="nTable"/>
              <w:keepNext/>
              <w:spacing w:after="40"/>
            </w:pPr>
            <w:r>
              <w:t>21 Mar 1975</w:t>
            </w:r>
          </w:p>
        </w:tc>
      </w:tr>
      <w:tr>
        <w:trPr>
          <w:gridBefore w:val="1"/>
          <w:gridAfter w:val="1"/>
          <w:wBefore w:w="28" w:type="dxa"/>
          <w:wAfter w:w="4" w:type="dxa"/>
          <w:cantSplit/>
          <w:trHeight w:val="40"/>
        </w:trPr>
        <w:tc>
          <w:tcPr>
            <w:tcW w:w="3118" w:type="dxa"/>
            <w:gridSpan w:val="2"/>
          </w:tcPr>
          <w:p>
            <w:pPr>
              <w:pStyle w:val="nTable"/>
              <w:spacing w:after="40"/>
              <w:ind w:right="113"/>
            </w:pPr>
            <w:r>
              <w:t>Untitled by</w:t>
            </w:r>
            <w:r>
              <w:noBreakHyphen/>
              <w:t>laws</w:t>
            </w:r>
          </w:p>
        </w:tc>
        <w:tc>
          <w:tcPr>
            <w:tcW w:w="1278" w:type="dxa"/>
            <w:gridSpan w:val="2"/>
          </w:tcPr>
          <w:p>
            <w:pPr>
              <w:pStyle w:val="nTable"/>
              <w:spacing w:after="40"/>
            </w:pPr>
            <w:r>
              <w:t>17 Dec 1976 p. 4995</w:t>
            </w:r>
          </w:p>
        </w:tc>
        <w:tc>
          <w:tcPr>
            <w:tcW w:w="2693" w:type="dxa"/>
            <w:gridSpan w:val="2"/>
          </w:tcPr>
          <w:p>
            <w:pPr>
              <w:pStyle w:val="nTable"/>
              <w:spacing w:after="40"/>
            </w:pPr>
            <w:r>
              <w:t>17 Dec 1976</w:t>
            </w:r>
          </w:p>
        </w:tc>
      </w:tr>
      <w:tr>
        <w:trPr>
          <w:gridBefore w:val="1"/>
          <w:gridAfter w:val="1"/>
          <w:wBefore w:w="28" w:type="dxa"/>
          <w:wAfter w:w="4" w:type="dxa"/>
          <w:cantSplit/>
          <w:trHeight w:val="40"/>
        </w:trPr>
        <w:tc>
          <w:tcPr>
            <w:tcW w:w="3118" w:type="dxa"/>
            <w:gridSpan w:val="2"/>
          </w:tcPr>
          <w:p>
            <w:pPr>
              <w:pStyle w:val="nTable"/>
              <w:spacing w:after="40"/>
              <w:ind w:right="113"/>
            </w:pPr>
            <w:r>
              <w:t>Untitled by</w:t>
            </w:r>
            <w:r>
              <w:noBreakHyphen/>
              <w:t>laws</w:t>
            </w:r>
          </w:p>
        </w:tc>
        <w:tc>
          <w:tcPr>
            <w:tcW w:w="1278" w:type="dxa"/>
            <w:gridSpan w:val="2"/>
          </w:tcPr>
          <w:p>
            <w:pPr>
              <w:pStyle w:val="nTable"/>
              <w:spacing w:after="40"/>
            </w:pPr>
            <w:r>
              <w:t>1 Jul 1977 p. 2011</w:t>
            </w:r>
            <w:r>
              <w:noBreakHyphen/>
              <w:t>13</w:t>
            </w:r>
          </w:p>
        </w:tc>
        <w:tc>
          <w:tcPr>
            <w:tcW w:w="2693" w:type="dxa"/>
            <w:gridSpan w:val="2"/>
          </w:tcPr>
          <w:p>
            <w:pPr>
              <w:pStyle w:val="nTable"/>
              <w:spacing w:after="40"/>
            </w:pPr>
            <w:r>
              <w:t>1 Jul 1977</w:t>
            </w:r>
          </w:p>
        </w:tc>
      </w:tr>
      <w:tr>
        <w:trPr>
          <w:gridBefore w:val="1"/>
          <w:gridAfter w:val="1"/>
          <w:wBefore w:w="28" w:type="dxa"/>
          <w:wAfter w:w="4" w:type="dxa"/>
          <w:cantSplit/>
          <w:trHeight w:val="40"/>
        </w:trPr>
        <w:tc>
          <w:tcPr>
            <w:tcW w:w="3118" w:type="dxa"/>
            <w:gridSpan w:val="2"/>
          </w:tcPr>
          <w:p>
            <w:pPr>
              <w:pStyle w:val="nTable"/>
              <w:spacing w:after="40"/>
              <w:ind w:right="113"/>
            </w:pPr>
            <w:r>
              <w:t>Untitled by</w:t>
            </w:r>
            <w:r>
              <w:noBreakHyphen/>
              <w:t>laws</w:t>
            </w:r>
          </w:p>
        </w:tc>
        <w:tc>
          <w:tcPr>
            <w:tcW w:w="1278" w:type="dxa"/>
            <w:gridSpan w:val="2"/>
          </w:tcPr>
          <w:p>
            <w:pPr>
              <w:pStyle w:val="nTable"/>
              <w:spacing w:after="40"/>
            </w:pPr>
            <w:r>
              <w:t xml:space="preserve">23 Mar 1978 </w:t>
            </w:r>
            <w:r>
              <w:br/>
              <w:t>p. 864</w:t>
            </w:r>
          </w:p>
        </w:tc>
        <w:tc>
          <w:tcPr>
            <w:tcW w:w="2693" w:type="dxa"/>
            <w:gridSpan w:val="2"/>
          </w:tcPr>
          <w:p>
            <w:pPr>
              <w:pStyle w:val="nTable"/>
              <w:spacing w:after="40"/>
            </w:pPr>
            <w:r>
              <w:t>23 Mar 1978</w:t>
            </w:r>
          </w:p>
        </w:tc>
      </w:tr>
      <w:tr>
        <w:trPr>
          <w:gridBefore w:val="1"/>
          <w:gridAfter w:val="1"/>
          <w:wBefore w:w="28" w:type="dxa"/>
          <w:wAfter w:w="4" w:type="dxa"/>
          <w:cantSplit/>
          <w:trHeight w:val="40"/>
        </w:trPr>
        <w:tc>
          <w:tcPr>
            <w:tcW w:w="3118" w:type="dxa"/>
            <w:gridSpan w:val="2"/>
          </w:tcPr>
          <w:p>
            <w:pPr>
              <w:pStyle w:val="nTable"/>
              <w:spacing w:after="40"/>
              <w:ind w:right="113"/>
            </w:pPr>
            <w:r>
              <w:t>Untitled by</w:t>
            </w:r>
            <w:r>
              <w:noBreakHyphen/>
              <w:t>laws</w:t>
            </w:r>
          </w:p>
        </w:tc>
        <w:tc>
          <w:tcPr>
            <w:tcW w:w="1278" w:type="dxa"/>
            <w:gridSpan w:val="2"/>
          </w:tcPr>
          <w:p>
            <w:pPr>
              <w:pStyle w:val="nTable"/>
              <w:spacing w:after="40"/>
            </w:pPr>
            <w:r>
              <w:t xml:space="preserve">30 Jun 1978 </w:t>
            </w:r>
            <w:r>
              <w:br/>
              <w:t>p. 2156-9</w:t>
            </w:r>
          </w:p>
        </w:tc>
        <w:tc>
          <w:tcPr>
            <w:tcW w:w="2693" w:type="dxa"/>
            <w:gridSpan w:val="2"/>
          </w:tcPr>
          <w:p>
            <w:pPr>
              <w:pStyle w:val="nTable"/>
              <w:spacing w:after="40"/>
            </w:pPr>
            <w:r>
              <w:t>30 Jun 1978</w:t>
            </w:r>
          </w:p>
        </w:tc>
      </w:tr>
      <w:tr>
        <w:trPr>
          <w:gridBefore w:val="1"/>
          <w:gridAfter w:val="1"/>
          <w:wBefore w:w="28" w:type="dxa"/>
          <w:wAfter w:w="4" w:type="dxa"/>
          <w:cantSplit/>
          <w:trHeight w:val="40"/>
        </w:trPr>
        <w:tc>
          <w:tcPr>
            <w:tcW w:w="3118" w:type="dxa"/>
            <w:gridSpan w:val="2"/>
          </w:tcPr>
          <w:p>
            <w:pPr>
              <w:pStyle w:val="nTable"/>
              <w:spacing w:after="40"/>
              <w:ind w:right="113"/>
            </w:pPr>
            <w:r>
              <w:t>Untitled by</w:t>
            </w:r>
            <w:r>
              <w:noBreakHyphen/>
              <w:t>laws</w:t>
            </w:r>
          </w:p>
        </w:tc>
        <w:tc>
          <w:tcPr>
            <w:tcW w:w="1278" w:type="dxa"/>
            <w:gridSpan w:val="2"/>
          </w:tcPr>
          <w:p>
            <w:pPr>
              <w:pStyle w:val="nTable"/>
              <w:spacing w:after="40"/>
            </w:pPr>
            <w:r>
              <w:t>17 Nov 1978 p. 4310-11</w:t>
            </w:r>
          </w:p>
        </w:tc>
        <w:tc>
          <w:tcPr>
            <w:tcW w:w="2693" w:type="dxa"/>
            <w:gridSpan w:val="2"/>
          </w:tcPr>
          <w:p>
            <w:pPr>
              <w:pStyle w:val="nTable"/>
              <w:spacing w:after="40"/>
            </w:pPr>
            <w:r>
              <w:t>17 Nov 1978</w:t>
            </w:r>
          </w:p>
        </w:tc>
      </w:tr>
      <w:tr>
        <w:trPr>
          <w:gridBefore w:val="1"/>
          <w:gridAfter w:val="1"/>
          <w:wBefore w:w="28" w:type="dxa"/>
          <w:wAfter w:w="4" w:type="dxa"/>
          <w:cantSplit/>
          <w:trHeight w:val="40"/>
        </w:trPr>
        <w:tc>
          <w:tcPr>
            <w:tcW w:w="3118" w:type="dxa"/>
            <w:gridSpan w:val="2"/>
          </w:tcPr>
          <w:p>
            <w:pPr>
              <w:pStyle w:val="nTable"/>
              <w:spacing w:after="40"/>
              <w:ind w:right="113"/>
            </w:pPr>
            <w:r>
              <w:t>Untitled by</w:t>
            </w:r>
            <w:r>
              <w:noBreakHyphen/>
              <w:t>laws</w:t>
            </w:r>
          </w:p>
        </w:tc>
        <w:tc>
          <w:tcPr>
            <w:tcW w:w="1278" w:type="dxa"/>
            <w:gridSpan w:val="2"/>
          </w:tcPr>
          <w:p>
            <w:pPr>
              <w:pStyle w:val="nTable"/>
              <w:spacing w:after="40"/>
            </w:pPr>
            <w:r>
              <w:t>29 Jun 1979 p. 1792</w:t>
            </w:r>
            <w:r>
              <w:noBreakHyphen/>
              <w:t>4</w:t>
            </w:r>
          </w:p>
        </w:tc>
        <w:tc>
          <w:tcPr>
            <w:tcW w:w="2693" w:type="dxa"/>
            <w:gridSpan w:val="2"/>
          </w:tcPr>
          <w:p>
            <w:pPr>
              <w:pStyle w:val="nTable"/>
              <w:spacing w:after="40"/>
            </w:pPr>
            <w:r>
              <w:t>29 Jun 1979</w:t>
            </w:r>
          </w:p>
        </w:tc>
      </w:tr>
      <w:tr>
        <w:trPr>
          <w:gridBefore w:val="1"/>
          <w:gridAfter w:val="1"/>
          <w:wBefore w:w="28" w:type="dxa"/>
          <w:wAfter w:w="4" w:type="dxa"/>
          <w:cantSplit/>
          <w:trHeight w:val="40"/>
        </w:trPr>
        <w:tc>
          <w:tcPr>
            <w:tcW w:w="3118" w:type="dxa"/>
            <w:gridSpan w:val="2"/>
          </w:tcPr>
          <w:p>
            <w:pPr>
              <w:pStyle w:val="nTable"/>
              <w:spacing w:after="40"/>
              <w:ind w:right="113"/>
            </w:pPr>
            <w:r>
              <w:t>Untitled by</w:t>
            </w:r>
            <w:r>
              <w:noBreakHyphen/>
              <w:t>laws</w:t>
            </w:r>
          </w:p>
        </w:tc>
        <w:tc>
          <w:tcPr>
            <w:tcW w:w="1278" w:type="dxa"/>
            <w:gridSpan w:val="2"/>
          </w:tcPr>
          <w:p>
            <w:pPr>
              <w:pStyle w:val="nTable"/>
              <w:spacing w:after="40"/>
            </w:pPr>
            <w:r>
              <w:t>27 Jun 1980 p. 1965</w:t>
            </w:r>
            <w:r>
              <w:noBreakHyphen/>
              <w:t>7</w:t>
            </w:r>
          </w:p>
        </w:tc>
        <w:tc>
          <w:tcPr>
            <w:tcW w:w="2693" w:type="dxa"/>
            <w:gridSpan w:val="2"/>
          </w:tcPr>
          <w:p>
            <w:pPr>
              <w:pStyle w:val="nTable"/>
              <w:spacing w:after="40"/>
            </w:pPr>
            <w:r>
              <w:t>1 Jul 1980 (see bl. 2)</w:t>
            </w:r>
          </w:p>
        </w:tc>
      </w:tr>
      <w:tr>
        <w:trPr>
          <w:gridBefore w:val="1"/>
          <w:gridAfter w:val="1"/>
          <w:wBefore w:w="28" w:type="dxa"/>
          <w:wAfter w:w="4" w:type="dxa"/>
          <w:cantSplit/>
          <w:trHeight w:val="40"/>
        </w:trPr>
        <w:tc>
          <w:tcPr>
            <w:tcW w:w="3118" w:type="dxa"/>
            <w:gridSpan w:val="2"/>
          </w:tcPr>
          <w:p>
            <w:pPr>
              <w:pStyle w:val="nTable"/>
              <w:spacing w:after="40"/>
              <w:ind w:right="113"/>
              <w:rPr>
                <w:i/>
              </w:rPr>
            </w:pPr>
            <w:r>
              <w:rPr>
                <w:i/>
              </w:rPr>
              <w:t>Country Areas Water Supply Act Amendment By</w:t>
            </w:r>
            <w:r>
              <w:rPr>
                <w:i/>
              </w:rPr>
              <w:noBreakHyphen/>
              <w:t>laws 1981</w:t>
            </w:r>
          </w:p>
        </w:tc>
        <w:tc>
          <w:tcPr>
            <w:tcW w:w="1278" w:type="dxa"/>
            <w:gridSpan w:val="2"/>
          </w:tcPr>
          <w:p>
            <w:pPr>
              <w:pStyle w:val="nTable"/>
              <w:spacing w:after="40"/>
            </w:pPr>
            <w:r>
              <w:t>26 Jun 1981 p. 2318</w:t>
            </w:r>
            <w:r>
              <w:noBreakHyphen/>
              <w:t>20</w:t>
            </w:r>
          </w:p>
        </w:tc>
        <w:tc>
          <w:tcPr>
            <w:tcW w:w="2693" w:type="dxa"/>
            <w:gridSpan w:val="2"/>
          </w:tcPr>
          <w:p>
            <w:pPr>
              <w:pStyle w:val="nTable"/>
              <w:spacing w:after="40"/>
            </w:pPr>
            <w:r>
              <w:t>1 Jul 1981 (see bl. 2)</w:t>
            </w:r>
          </w:p>
        </w:tc>
      </w:tr>
      <w:tr>
        <w:trPr>
          <w:gridBefore w:val="1"/>
          <w:gridAfter w:val="1"/>
          <w:wBefore w:w="28" w:type="dxa"/>
          <w:wAfter w:w="4" w:type="dxa"/>
          <w:cantSplit/>
          <w:trHeight w:val="40"/>
        </w:trPr>
        <w:tc>
          <w:tcPr>
            <w:tcW w:w="3118" w:type="dxa"/>
            <w:gridSpan w:val="2"/>
          </w:tcPr>
          <w:p>
            <w:pPr>
              <w:pStyle w:val="nTable"/>
              <w:spacing w:after="40"/>
              <w:ind w:right="113"/>
            </w:pPr>
            <w:r>
              <w:rPr>
                <w:i/>
              </w:rPr>
              <w:t>Country Areas Water Supply Act Amendment By</w:t>
            </w:r>
            <w:r>
              <w:rPr>
                <w:i/>
              </w:rPr>
              <w:noBreakHyphen/>
              <w:t>laws 1982</w:t>
            </w:r>
          </w:p>
        </w:tc>
        <w:tc>
          <w:tcPr>
            <w:tcW w:w="1278" w:type="dxa"/>
            <w:gridSpan w:val="2"/>
          </w:tcPr>
          <w:p>
            <w:pPr>
              <w:pStyle w:val="nTable"/>
              <w:spacing w:after="40"/>
            </w:pPr>
            <w:r>
              <w:t>25 Jun 1982 p. 2127</w:t>
            </w:r>
            <w:r>
              <w:noBreakHyphen/>
              <w:t>9</w:t>
            </w:r>
          </w:p>
        </w:tc>
        <w:tc>
          <w:tcPr>
            <w:tcW w:w="2693" w:type="dxa"/>
            <w:gridSpan w:val="2"/>
          </w:tcPr>
          <w:p>
            <w:pPr>
              <w:pStyle w:val="nTable"/>
              <w:spacing w:after="40"/>
            </w:pPr>
            <w:r>
              <w:t>1 Jul 1982 (see bl. 2)</w:t>
            </w:r>
          </w:p>
        </w:tc>
      </w:tr>
      <w:tr>
        <w:trPr>
          <w:gridBefore w:val="1"/>
          <w:gridAfter w:val="1"/>
          <w:wBefore w:w="28" w:type="dxa"/>
          <w:wAfter w:w="4" w:type="dxa"/>
          <w:cantSplit/>
          <w:trHeight w:val="40"/>
        </w:trPr>
        <w:tc>
          <w:tcPr>
            <w:tcW w:w="3118" w:type="dxa"/>
            <w:gridSpan w:val="2"/>
          </w:tcPr>
          <w:p>
            <w:pPr>
              <w:pStyle w:val="nTable"/>
              <w:spacing w:after="40"/>
              <w:ind w:right="113"/>
            </w:pPr>
            <w:r>
              <w:rPr>
                <w:i/>
              </w:rPr>
              <w:t>Country Areas Water Supply Act Amendment By</w:t>
            </w:r>
            <w:r>
              <w:rPr>
                <w:i/>
              </w:rPr>
              <w:noBreakHyphen/>
              <w:t>laws (No. 2) 1982</w:t>
            </w:r>
          </w:p>
        </w:tc>
        <w:tc>
          <w:tcPr>
            <w:tcW w:w="1278" w:type="dxa"/>
            <w:gridSpan w:val="2"/>
          </w:tcPr>
          <w:p>
            <w:pPr>
              <w:pStyle w:val="nTable"/>
              <w:spacing w:after="40"/>
            </w:pPr>
            <w:r>
              <w:t>20 Aug 1982 p. 3318</w:t>
            </w:r>
            <w:r>
              <w:noBreakHyphen/>
              <w:t>19</w:t>
            </w:r>
          </w:p>
        </w:tc>
        <w:tc>
          <w:tcPr>
            <w:tcW w:w="2693" w:type="dxa"/>
            <w:gridSpan w:val="2"/>
          </w:tcPr>
          <w:p>
            <w:pPr>
              <w:pStyle w:val="nTable"/>
              <w:spacing w:after="40"/>
            </w:pPr>
            <w:r>
              <w:t>20 Aug 1982</w:t>
            </w:r>
          </w:p>
        </w:tc>
      </w:tr>
      <w:tr>
        <w:trPr>
          <w:gridBefore w:val="1"/>
          <w:gridAfter w:val="1"/>
          <w:wBefore w:w="28" w:type="dxa"/>
          <w:wAfter w:w="4" w:type="dxa"/>
          <w:cantSplit/>
          <w:trHeight w:val="40"/>
        </w:trPr>
        <w:tc>
          <w:tcPr>
            <w:tcW w:w="3118" w:type="dxa"/>
            <w:gridSpan w:val="2"/>
          </w:tcPr>
          <w:p>
            <w:pPr>
              <w:pStyle w:val="nTable"/>
              <w:spacing w:after="40"/>
              <w:ind w:right="113"/>
            </w:pPr>
            <w:r>
              <w:rPr>
                <w:i/>
              </w:rPr>
              <w:t>Country Areas Water Supply Amendment By</w:t>
            </w:r>
            <w:r>
              <w:rPr>
                <w:i/>
              </w:rPr>
              <w:noBreakHyphen/>
              <w:t>laws 1983</w:t>
            </w:r>
          </w:p>
        </w:tc>
        <w:tc>
          <w:tcPr>
            <w:tcW w:w="1278" w:type="dxa"/>
            <w:gridSpan w:val="2"/>
          </w:tcPr>
          <w:p>
            <w:pPr>
              <w:pStyle w:val="nTable"/>
              <w:spacing w:after="40"/>
            </w:pPr>
            <w:r>
              <w:t>1 Jul 1983 p. 2138</w:t>
            </w:r>
            <w:r>
              <w:noBreakHyphen/>
              <w:t>40</w:t>
            </w:r>
          </w:p>
        </w:tc>
        <w:tc>
          <w:tcPr>
            <w:tcW w:w="2693" w:type="dxa"/>
            <w:gridSpan w:val="2"/>
          </w:tcPr>
          <w:p>
            <w:pPr>
              <w:pStyle w:val="nTable"/>
              <w:spacing w:after="40"/>
            </w:pPr>
            <w:r>
              <w:t>1 Jul 1983 (see bl. 2)</w:t>
            </w:r>
          </w:p>
        </w:tc>
      </w:tr>
      <w:tr>
        <w:trPr>
          <w:gridBefore w:val="1"/>
          <w:gridAfter w:val="1"/>
          <w:wBefore w:w="28" w:type="dxa"/>
          <w:wAfter w:w="4" w:type="dxa"/>
          <w:cantSplit/>
          <w:trHeight w:val="40"/>
        </w:trPr>
        <w:tc>
          <w:tcPr>
            <w:tcW w:w="3118" w:type="dxa"/>
            <w:gridSpan w:val="2"/>
          </w:tcPr>
          <w:p>
            <w:pPr>
              <w:pStyle w:val="nTable"/>
              <w:spacing w:after="40"/>
              <w:ind w:right="113"/>
            </w:pPr>
            <w:r>
              <w:rPr>
                <w:i/>
              </w:rPr>
              <w:t>Country Areas Water Supply Amendment By</w:t>
            </w:r>
            <w:r>
              <w:rPr>
                <w:i/>
              </w:rPr>
              <w:noBreakHyphen/>
              <w:t>laws (No. 2) 1983</w:t>
            </w:r>
          </w:p>
        </w:tc>
        <w:tc>
          <w:tcPr>
            <w:tcW w:w="1278" w:type="dxa"/>
            <w:gridSpan w:val="2"/>
          </w:tcPr>
          <w:p>
            <w:pPr>
              <w:pStyle w:val="nTable"/>
              <w:spacing w:after="40"/>
            </w:pPr>
            <w:r>
              <w:t>11 Nov 1983 p. 4525</w:t>
            </w:r>
            <w:r>
              <w:noBreakHyphen/>
              <w:t>6</w:t>
            </w:r>
          </w:p>
        </w:tc>
        <w:tc>
          <w:tcPr>
            <w:tcW w:w="2693" w:type="dxa"/>
            <w:gridSpan w:val="2"/>
          </w:tcPr>
          <w:p>
            <w:pPr>
              <w:pStyle w:val="nTable"/>
              <w:spacing w:after="40"/>
            </w:pPr>
            <w:r>
              <w:t>11 Nov 1983</w:t>
            </w:r>
          </w:p>
        </w:tc>
      </w:tr>
      <w:tr>
        <w:trPr>
          <w:gridBefore w:val="1"/>
          <w:gridAfter w:val="1"/>
          <w:wBefore w:w="28" w:type="dxa"/>
          <w:wAfter w:w="4" w:type="dxa"/>
          <w:cantSplit/>
          <w:trHeight w:val="40"/>
        </w:trPr>
        <w:tc>
          <w:tcPr>
            <w:tcW w:w="3118" w:type="dxa"/>
            <w:gridSpan w:val="2"/>
          </w:tcPr>
          <w:p>
            <w:pPr>
              <w:pStyle w:val="nTable"/>
              <w:spacing w:after="40"/>
              <w:ind w:right="113"/>
            </w:pPr>
            <w:r>
              <w:rPr>
                <w:i/>
              </w:rPr>
              <w:t>Country Areas Water Supply Amendment By</w:t>
            </w:r>
            <w:r>
              <w:rPr>
                <w:i/>
              </w:rPr>
              <w:noBreakHyphen/>
              <w:t>laws 1984</w:t>
            </w:r>
          </w:p>
        </w:tc>
        <w:tc>
          <w:tcPr>
            <w:tcW w:w="1278" w:type="dxa"/>
            <w:gridSpan w:val="2"/>
          </w:tcPr>
          <w:p>
            <w:pPr>
              <w:pStyle w:val="nTable"/>
              <w:spacing w:after="40"/>
            </w:pPr>
            <w:r>
              <w:t>29 Jun 1984 p. 1788</w:t>
            </w:r>
            <w:r>
              <w:noBreakHyphen/>
              <w:t>90</w:t>
            </w:r>
          </w:p>
        </w:tc>
        <w:tc>
          <w:tcPr>
            <w:tcW w:w="2693" w:type="dxa"/>
            <w:gridSpan w:val="2"/>
          </w:tcPr>
          <w:p>
            <w:pPr>
              <w:pStyle w:val="nTable"/>
              <w:spacing w:after="40"/>
            </w:pPr>
            <w:r>
              <w:t>29 Jun 1984</w:t>
            </w:r>
          </w:p>
        </w:tc>
      </w:tr>
      <w:tr>
        <w:trPr>
          <w:gridBefore w:val="1"/>
          <w:gridAfter w:val="1"/>
          <w:wBefore w:w="28" w:type="dxa"/>
          <w:wAfter w:w="4" w:type="dxa"/>
          <w:cantSplit/>
          <w:trHeight w:val="40"/>
        </w:trPr>
        <w:tc>
          <w:tcPr>
            <w:tcW w:w="3118" w:type="dxa"/>
            <w:gridSpan w:val="2"/>
          </w:tcPr>
          <w:p>
            <w:pPr>
              <w:pStyle w:val="nTable"/>
              <w:spacing w:after="40"/>
              <w:ind w:right="113"/>
            </w:pPr>
            <w:r>
              <w:rPr>
                <w:i/>
              </w:rPr>
              <w:t>Country Areas Water Supply Amendment By</w:t>
            </w:r>
            <w:r>
              <w:rPr>
                <w:i/>
              </w:rPr>
              <w:noBreakHyphen/>
              <w:t>laws (No. 2) 1984</w:t>
            </w:r>
          </w:p>
        </w:tc>
        <w:tc>
          <w:tcPr>
            <w:tcW w:w="1278" w:type="dxa"/>
            <w:gridSpan w:val="2"/>
          </w:tcPr>
          <w:p>
            <w:pPr>
              <w:pStyle w:val="nTable"/>
              <w:spacing w:after="40"/>
            </w:pPr>
            <w:r>
              <w:t>7 Sep 1984 p. 2873</w:t>
            </w:r>
          </w:p>
        </w:tc>
        <w:tc>
          <w:tcPr>
            <w:tcW w:w="2693" w:type="dxa"/>
            <w:gridSpan w:val="2"/>
          </w:tcPr>
          <w:p>
            <w:pPr>
              <w:pStyle w:val="nTable"/>
              <w:spacing w:after="40"/>
            </w:pPr>
            <w:r>
              <w:t>7 Sep 1984</w:t>
            </w:r>
          </w:p>
        </w:tc>
      </w:tr>
      <w:tr>
        <w:trPr>
          <w:gridBefore w:val="1"/>
          <w:gridAfter w:val="1"/>
          <w:wBefore w:w="28" w:type="dxa"/>
          <w:wAfter w:w="4" w:type="dxa"/>
          <w:cantSplit/>
          <w:trHeight w:val="40"/>
        </w:trPr>
        <w:tc>
          <w:tcPr>
            <w:tcW w:w="3118" w:type="dxa"/>
            <w:gridSpan w:val="2"/>
          </w:tcPr>
          <w:p>
            <w:pPr>
              <w:pStyle w:val="nTable"/>
              <w:spacing w:after="40"/>
              <w:ind w:right="113"/>
            </w:pPr>
            <w:r>
              <w:rPr>
                <w:i/>
              </w:rPr>
              <w:t>Country Areas Water Supply Amendment By</w:t>
            </w:r>
            <w:r>
              <w:rPr>
                <w:i/>
              </w:rPr>
              <w:noBreakHyphen/>
              <w:t>laws 1985</w:t>
            </w:r>
          </w:p>
        </w:tc>
        <w:tc>
          <w:tcPr>
            <w:tcW w:w="1278" w:type="dxa"/>
            <w:gridSpan w:val="2"/>
          </w:tcPr>
          <w:p>
            <w:pPr>
              <w:pStyle w:val="nTable"/>
              <w:spacing w:after="40"/>
            </w:pPr>
            <w:r>
              <w:t>22 Feb 1985 p. 690</w:t>
            </w:r>
          </w:p>
        </w:tc>
        <w:tc>
          <w:tcPr>
            <w:tcW w:w="2693" w:type="dxa"/>
            <w:gridSpan w:val="2"/>
          </w:tcPr>
          <w:p>
            <w:pPr>
              <w:pStyle w:val="nTable"/>
              <w:spacing w:after="40"/>
            </w:pPr>
            <w:r>
              <w:t>22 Feb 1985</w:t>
            </w:r>
          </w:p>
        </w:tc>
      </w:tr>
      <w:tr>
        <w:trPr>
          <w:gridBefore w:val="1"/>
          <w:gridAfter w:val="1"/>
          <w:wBefore w:w="28" w:type="dxa"/>
          <w:wAfter w:w="4" w:type="dxa"/>
          <w:cantSplit/>
          <w:trHeight w:val="40"/>
        </w:trPr>
        <w:tc>
          <w:tcPr>
            <w:tcW w:w="3118" w:type="dxa"/>
            <w:gridSpan w:val="2"/>
          </w:tcPr>
          <w:p>
            <w:pPr>
              <w:pStyle w:val="nTable"/>
              <w:spacing w:after="40"/>
              <w:ind w:right="113"/>
            </w:pPr>
            <w:r>
              <w:rPr>
                <w:i/>
              </w:rPr>
              <w:t>Country Areas Water Supply Amendment By</w:t>
            </w:r>
            <w:r>
              <w:rPr>
                <w:i/>
              </w:rPr>
              <w:noBreakHyphen/>
              <w:t>laws (No. 2) 1985</w:t>
            </w:r>
          </w:p>
        </w:tc>
        <w:tc>
          <w:tcPr>
            <w:tcW w:w="1278" w:type="dxa"/>
            <w:gridSpan w:val="2"/>
          </w:tcPr>
          <w:p>
            <w:pPr>
              <w:pStyle w:val="nTable"/>
              <w:spacing w:after="40"/>
            </w:pPr>
            <w:r>
              <w:t>28 Jun 1985 p. 2336</w:t>
            </w:r>
            <w:r>
              <w:noBreakHyphen/>
              <w:t>8</w:t>
            </w:r>
          </w:p>
        </w:tc>
        <w:tc>
          <w:tcPr>
            <w:tcW w:w="2693" w:type="dxa"/>
            <w:gridSpan w:val="2"/>
          </w:tcPr>
          <w:p>
            <w:pPr>
              <w:pStyle w:val="nTable"/>
              <w:spacing w:after="40"/>
            </w:pPr>
            <w:r>
              <w:t>1 Jul 1985 (see bl. 3)</w:t>
            </w:r>
          </w:p>
        </w:tc>
      </w:tr>
      <w:tr>
        <w:trPr>
          <w:gridBefore w:val="1"/>
          <w:gridAfter w:val="1"/>
          <w:wBefore w:w="28" w:type="dxa"/>
          <w:wAfter w:w="4" w:type="dxa"/>
          <w:cantSplit/>
          <w:trHeight w:val="40"/>
        </w:trPr>
        <w:tc>
          <w:tcPr>
            <w:tcW w:w="3118" w:type="dxa"/>
            <w:gridSpan w:val="2"/>
          </w:tcPr>
          <w:p>
            <w:pPr>
              <w:pStyle w:val="nTable"/>
              <w:spacing w:after="40"/>
              <w:ind w:right="113"/>
            </w:pPr>
            <w:r>
              <w:rPr>
                <w:i/>
              </w:rPr>
              <w:t>Country Areas Water Supply Amendment By</w:t>
            </w:r>
            <w:r>
              <w:rPr>
                <w:i/>
              </w:rPr>
              <w:noBreakHyphen/>
              <w:t>laws (No. 3) 1985</w:t>
            </w:r>
          </w:p>
        </w:tc>
        <w:tc>
          <w:tcPr>
            <w:tcW w:w="1278" w:type="dxa"/>
            <w:gridSpan w:val="2"/>
          </w:tcPr>
          <w:p>
            <w:pPr>
              <w:pStyle w:val="nTable"/>
              <w:spacing w:after="40"/>
            </w:pPr>
            <w:r>
              <w:t>22 Nov 1985 p. 4413</w:t>
            </w:r>
            <w:r>
              <w:noBreakHyphen/>
              <w:t>14</w:t>
            </w:r>
          </w:p>
        </w:tc>
        <w:tc>
          <w:tcPr>
            <w:tcW w:w="2693" w:type="dxa"/>
            <w:gridSpan w:val="2"/>
          </w:tcPr>
          <w:p>
            <w:pPr>
              <w:pStyle w:val="nTable"/>
              <w:spacing w:after="40"/>
            </w:pPr>
            <w:r>
              <w:t xml:space="preserve">22 Nov 1985 </w:t>
            </w:r>
          </w:p>
        </w:tc>
      </w:tr>
      <w:tr>
        <w:trPr>
          <w:gridBefore w:val="1"/>
          <w:gridAfter w:val="1"/>
          <w:wBefore w:w="28" w:type="dxa"/>
          <w:wAfter w:w="4" w:type="dxa"/>
          <w:cantSplit/>
          <w:trHeight w:val="40"/>
        </w:trPr>
        <w:tc>
          <w:tcPr>
            <w:tcW w:w="3118" w:type="dxa"/>
            <w:gridSpan w:val="2"/>
          </w:tcPr>
          <w:p>
            <w:pPr>
              <w:pStyle w:val="nTable"/>
              <w:keepNext/>
              <w:spacing w:after="40"/>
              <w:ind w:right="113"/>
            </w:pPr>
            <w:r>
              <w:rPr>
                <w:i/>
              </w:rPr>
              <w:t>Country Areas Water Supply Amendment By</w:t>
            </w:r>
            <w:r>
              <w:rPr>
                <w:i/>
              </w:rPr>
              <w:noBreakHyphen/>
              <w:t>laws 1986</w:t>
            </w:r>
          </w:p>
        </w:tc>
        <w:tc>
          <w:tcPr>
            <w:tcW w:w="1278" w:type="dxa"/>
            <w:gridSpan w:val="2"/>
          </w:tcPr>
          <w:p>
            <w:pPr>
              <w:pStyle w:val="nTable"/>
              <w:keepNext/>
              <w:spacing w:after="40"/>
            </w:pPr>
            <w:r>
              <w:t>27 Jun 1986 p. 2132</w:t>
            </w:r>
            <w:r>
              <w:noBreakHyphen/>
              <w:t>4</w:t>
            </w:r>
          </w:p>
        </w:tc>
        <w:tc>
          <w:tcPr>
            <w:tcW w:w="2693" w:type="dxa"/>
            <w:gridSpan w:val="2"/>
          </w:tcPr>
          <w:p>
            <w:pPr>
              <w:pStyle w:val="nTable"/>
              <w:keepNext/>
              <w:spacing w:after="40"/>
            </w:pPr>
            <w:r>
              <w:t>27 Jun 1986</w:t>
            </w:r>
          </w:p>
        </w:tc>
      </w:tr>
      <w:tr>
        <w:trPr>
          <w:gridBefore w:val="1"/>
          <w:gridAfter w:val="1"/>
          <w:wBefore w:w="28" w:type="dxa"/>
          <w:wAfter w:w="4" w:type="dxa"/>
          <w:cantSplit/>
          <w:trHeight w:val="40"/>
        </w:trPr>
        <w:tc>
          <w:tcPr>
            <w:tcW w:w="3118" w:type="dxa"/>
            <w:gridSpan w:val="2"/>
          </w:tcPr>
          <w:p>
            <w:pPr>
              <w:pStyle w:val="nTable"/>
              <w:spacing w:after="40"/>
              <w:ind w:right="113"/>
            </w:pPr>
            <w:r>
              <w:rPr>
                <w:i/>
              </w:rPr>
              <w:t>Country Areas Water Supply Amendment By</w:t>
            </w:r>
            <w:r>
              <w:rPr>
                <w:i/>
              </w:rPr>
              <w:noBreakHyphen/>
              <w:t>laws (No. 2) 1986</w:t>
            </w:r>
          </w:p>
        </w:tc>
        <w:tc>
          <w:tcPr>
            <w:tcW w:w="1278" w:type="dxa"/>
            <w:gridSpan w:val="2"/>
          </w:tcPr>
          <w:p>
            <w:pPr>
              <w:pStyle w:val="nTable"/>
              <w:spacing w:after="40"/>
            </w:pPr>
            <w:r>
              <w:t>22 Aug 1986 p. 2992</w:t>
            </w:r>
          </w:p>
        </w:tc>
        <w:tc>
          <w:tcPr>
            <w:tcW w:w="2693" w:type="dxa"/>
            <w:gridSpan w:val="2"/>
          </w:tcPr>
          <w:p>
            <w:pPr>
              <w:pStyle w:val="nTable"/>
              <w:spacing w:after="40"/>
            </w:pPr>
            <w:r>
              <w:t>22 Aug 1986</w:t>
            </w:r>
          </w:p>
        </w:tc>
      </w:tr>
      <w:tr>
        <w:trPr>
          <w:gridBefore w:val="1"/>
          <w:gridAfter w:val="1"/>
          <w:wBefore w:w="28" w:type="dxa"/>
          <w:wAfter w:w="4" w:type="dxa"/>
          <w:cantSplit/>
          <w:trHeight w:val="40"/>
        </w:trPr>
        <w:tc>
          <w:tcPr>
            <w:tcW w:w="3118" w:type="dxa"/>
            <w:gridSpan w:val="2"/>
          </w:tcPr>
          <w:p>
            <w:pPr>
              <w:pStyle w:val="nTable"/>
              <w:spacing w:after="40"/>
              <w:ind w:right="113"/>
              <w:rPr>
                <w:iCs/>
              </w:rPr>
            </w:pPr>
            <w:r>
              <w:rPr>
                <w:i/>
              </w:rPr>
              <w:t>Water Authority Amendment By</w:t>
            </w:r>
            <w:r>
              <w:rPr>
                <w:i/>
              </w:rPr>
              <w:noBreakHyphen/>
              <w:t>laws 1987</w:t>
            </w:r>
            <w:r>
              <w:rPr>
                <w:iCs/>
              </w:rPr>
              <w:t xml:space="preserve"> bl. 3 and Pt. II</w:t>
            </w:r>
          </w:p>
        </w:tc>
        <w:tc>
          <w:tcPr>
            <w:tcW w:w="1278" w:type="dxa"/>
            <w:gridSpan w:val="2"/>
          </w:tcPr>
          <w:p>
            <w:pPr>
              <w:pStyle w:val="nTable"/>
              <w:spacing w:after="40"/>
            </w:pPr>
            <w:r>
              <w:t>14 Jul 1987 p. 2649</w:t>
            </w:r>
            <w:r>
              <w:noBreakHyphen/>
              <w:t>58 (erratum 24 Jul 1987 p. 2841)</w:t>
            </w:r>
          </w:p>
        </w:tc>
        <w:tc>
          <w:tcPr>
            <w:tcW w:w="2693" w:type="dxa"/>
            <w:gridSpan w:val="2"/>
          </w:tcPr>
          <w:p>
            <w:pPr>
              <w:pStyle w:val="nTable"/>
              <w:spacing w:after="40"/>
            </w:pPr>
            <w:r>
              <w:t>14 Jul 1987</w:t>
            </w:r>
          </w:p>
        </w:tc>
      </w:tr>
      <w:tr>
        <w:trPr>
          <w:gridBefore w:val="1"/>
          <w:gridAfter w:val="1"/>
          <w:wBefore w:w="28" w:type="dxa"/>
          <w:wAfter w:w="4" w:type="dxa"/>
          <w:cantSplit/>
          <w:trHeight w:val="40"/>
        </w:trPr>
        <w:tc>
          <w:tcPr>
            <w:tcW w:w="3118" w:type="dxa"/>
            <w:gridSpan w:val="2"/>
          </w:tcPr>
          <w:p>
            <w:pPr>
              <w:pStyle w:val="nTable"/>
              <w:spacing w:after="40"/>
              <w:ind w:right="113"/>
            </w:pPr>
            <w:r>
              <w:rPr>
                <w:i/>
              </w:rPr>
              <w:t>Water Authority Amendment</w:t>
            </w:r>
            <w:r>
              <w:rPr>
                <w:i/>
              </w:rPr>
              <w:br/>
              <w:t>By</w:t>
            </w:r>
            <w:r>
              <w:rPr>
                <w:i/>
              </w:rPr>
              <w:noBreakHyphen/>
              <w:t>laws 1988</w:t>
            </w:r>
            <w:r>
              <w:t xml:space="preserve"> Pt. 2</w:t>
            </w:r>
          </w:p>
        </w:tc>
        <w:tc>
          <w:tcPr>
            <w:tcW w:w="1278" w:type="dxa"/>
            <w:gridSpan w:val="2"/>
          </w:tcPr>
          <w:p>
            <w:pPr>
              <w:pStyle w:val="nTable"/>
              <w:spacing w:after="40"/>
            </w:pPr>
            <w:r>
              <w:t>29 Jun 1988 p. 2122</w:t>
            </w:r>
            <w:r>
              <w:noBreakHyphen/>
              <w:t>6</w:t>
            </w:r>
          </w:p>
        </w:tc>
        <w:tc>
          <w:tcPr>
            <w:tcW w:w="2693" w:type="dxa"/>
            <w:gridSpan w:val="2"/>
          </w:tcPr>
          <w:p>
            <w:pPr>
              <w:pStyle w:val="nTable"/>
              <w:spacing w:after="40"/>
            </w:pPr>
            <w:r>
              <w:t>1 Jul 1988 (see bl. 3)</w:t>
            </w:r>
          </w:p>
        </w:tc>
      </w:tr>
      <w:tr>
        <w:trPr>
          <w:gridBefore w:val="1"/>
          <w:gridAfter w:val="1"/>
          <w:wBefore w:w="28" w:type="dxa"/>
          <w:wAfter w:w="4" w:type="dxa"/>
          <w:cantSplit/>
          <w:trHeight w:val="40"/>
        </w:trPr>
        <w:tc>
          <w:tcPr>
            <w:tcW w:w="3118" w:type="dxa"/>
            <w:gridSpan w:val="2"/>
          </w:tcPr>
          <w:p>
            <w:pPr>
              <w:pStyle w:val="nTable"/>
              <w:spacing w:after="40"/>
              <w:ind w:right="113"/>
            </w:pPr>
            <w:r>
              <w:rPr>
                <w:i/>
              </w:rPr>
              <w:t>Country Areas Water Supply Amendment By</w:t>
            </w:r>
            <w:r>
              <w:rPr>
                <w:i/>
              </w:rPr>
              <w:noBreakHyphen/>
              <w:t>laws 1988</w:t>
            </w:r>
          </w:p>
        </w:tc>
        <w:tc>
          <w:tcPr>
            <w:tcW w:w="1278" w:type="dxa"/>
            <w:gridSpan w:val="2"/>
          </w:tcPr>
          <w:p>
            <w:pPr>
              <w:pStyle w:val="nTable"/>
              <w:spacing w:after="40"/>
            </w:pPr>
            <w:r>
              <w:t>14 Oct 1988 p. 4172</w:t>
            </w:r>
          </w:p>
        </w:tc>
        <w:tc>
          <w:tcPr>
            <w:tcW w:w="2693" w:type="dxa"/>
            <w:gridSpan w:val="2"/>
          </w:tcPr>
          <w:p>
            <w:pPr>
              <w:pStyle w:val="nTable"/>
              <w:spacing w:after="40"/>
            </w:pPr>
            <w:r>
              <w:t>14 Oct 1988</w:t>
            </w:r>
          </w:p>
        </w:tc>
      </w:tr>
      <w:tr>
        <w:trPr>
          <w:gridBefore w:val="1"/>
          <w:gridAfter w:val="1"/>
          <w:wBefore w:w="28" w:type="dxa"/>
          <w:wAfter w:w="4" w:type="dxa"/>
          <w:cantSplit/>
          <w:trHeight w:val="40"/>
        </w:trPr>
        <w:tc>
          <w:tcPr>
            <w:tcW w:w="3118" w:type="dxa"/>
            <w:gridSpan w:val="2"/>
          </w:tcPr>
          <w:p>
            <w:pPr>
              <w:pStyle w:val="nTable"/>
              <w:spacing w:after="40"/>
              <w:ind w:right="113"/>
            </w:pPr>
            <w:r>
              <w:rPr>
                <w:i/>
              </w:rPr>
              <w:t>Country Areas Water Supply Amendment By</w:t>
            </w:r>
            <w:r>
              <w:rPr>
                <w:i/>
              </w:rPr>
              <w:noBreakHyphen/>
              <w:t>laws 1989</w:t>
            </w:r>
          </w:p>
        </w:tc>
        <w:tc>
          <w:tcPr>
            <w:tcW w:w="1278" w:type="dxa"/>
            <w:gridSpan w:val="2"/>
          </w:tcPr>
          <w:p>
            <w:pPr>
              <w:pStyle w:val="nTable"/>
              <w:spacing w:after="40"/>
            </w:pPr>
            <w:r>
              <w:t>21 Apr 1989 p. 1174</w:t>
            </w:r>
          </w:p>
        </w:tc>
        <w:tc>
          <w:tcPr>
            <w:tcW w:w="2693" w:type="dxa"/>
            <w:gridSpan w:val="2"/>
          </w:tcPr>
          <w:p>
            <w:pPr>
              <w:pStyle w:val="nTable"/>
              <w:spacing w:after="40"/>
            </w:pPr>
            <w:r>
              <w:t>21 Apr 1989</w:t>
            </w:r>
          </w:p>
        </w:tc>
      </w:tr>
      <w:tr>
        <w:trPr>
          <w:gridBefore w:val="1"/>
          <w:gridAfter w:val="1"/>
          <w:wBefore w:w="28" w:type="dxa"/>
          <w:wAfter w:w="4" w:type="dxa"/>
          <w:cantSplit/>
          <w:trHeight w:val="40"/>
        </w:trPr>
        <w:tc>
          <w:tcPr>
            <w:tcW w:w="3118" w:type="dxa"/>
            <w:gridSpan w:val="2"/>
          </w:tcPr>
          <w:p>
            <w:pPr>
              <w:pStyle w:val="nTable"/>
              <w:spacing w:after="40"/>
              <w:ind w:right="113"/>
            </w:pPr>
            <w:r>
              <w:rPr>
                <w:i/>
              </w:rPr>
              <w:t>Water Authority Amendment</w:t>
            </w:r>
            <w:r>
              <w:rPr>
                <w:i/>
              </w:rPr>
              <w:br/>
              <w:t>By</w:t>
            </w:r>
            <w:r>
              <w:rPr>
                <w:i/>
              </w:rPr>
              <w:noBreakHyphen/>
              <w:t>laws 1989</w:t>
            </w:r>
            <w:r>
              <w:t xml:space="preserve"> Pt. 2</w:t>
            </w:r>
          </w:p>
        </w:tc>
        <w:tc>
          <w:tcPr>
            <w:tcW w:w="1278" w:type="dxa"/>
            <w:gridSpan w:val="2"/>
          </w:tcPr>
          <w:p>
            <w:pPr>
              <w:pStyle w:val="nTable"/>
              <w:spacing w:after="40"/>
            </w:pPr>
            <w:r>
              <w:t>29 Jun 1989 p. 1883</w:t>
            </w:r>
            <w:r>
              <w:noBreakHyphen/>
              <w:t>91</w:t>
            </w:r>
          </w:p>
        </w:tc>
        <w:tc>
          <w:tcPr>
            <w:tcW w:w="2693" w:type="dxa"/>
            <w:gridSpan w:val="2"/>
          </w:tcPr>
          <w:p>
            <w:pPr>
              <w:pStyle w:val="nTable"/>
              <w:spacing w:after="40"/>
            </w:pPr>
            <w:r>
              <w:t>1 Jul 1989 (see bl. 3)</w:t>
            </w:r>
          </w:p>
        </w:tc>
      </w:tr>
      <w:tr>
        <w:trPr>
          <w:gridBefore w:val="1"/>
          <w:gridAfter w:val="1"/>
          <w:wBefore w:w="28" w:type="dxa"/>
          <w:wAfter w:w="4" w:type="dxa"/>
          <w:cantSplit/>
          <w:trHeight w:val="40"/>
        </w:trPr>
        <w:tc>
          <w:tcPr>
            <w:tcW w:w="3118" w:type="dxa"/>
            <w:gridSpan w:val="2"/>
          </w:tcPr>
          <w:p>
            <w:pPr>
              <w:pStyle w:val="nTable"/>
              <w:spacing w:after="40"/>
              <w:ind w:right="113"/>
            </w:pPr>
            <w:r>
              <w:rPr>
                <w:i/>
              </w:rPr>
              <w:t>Country Areas Water Supply Amendment By</w:t>
            </w:r>
            <w:r>
              <w:rPr>
                <w:i/>
              </w:rPr>
              <w:noBreakHyphen/>
              <w:t>laws (No. 2) 1989</w:t>
            </w:r>
          </w:p>
        </w:tc>
        <w:tc>
          <w:tcPr>
            <w:tcW w:w="1278" w:type="dxa"/>
            <w:gridSpan w:val="2"/>
          </w:tcPr>
          <w:p>
            <w:pPr>
              <w:pStyle w:val="nTable"/>
              <w:spacing w:after="40"/>
            </w:pPr>
            <w:r>
              <w:t>22 Dec 1989 p. 4627</w:t>
            </w:r>
            <w:r>
              <w:noBreakHyphen/>
              <w:t>30</w:t>
            </w:r>
          </w:p>
        </w:tc>
        <w:tc>
          <w:tcPr>
            <w:tcW w:w="2693" w:type="dxa"/>
            <w:gridSpan w:val="2"/>
          </w:tcPr>
          <w:p>
            <w:pPr>
              <w:pStyle w:val="nTable"/>
              <w:spacing w:after="40"/>
            </w:pPr>
            <w:r>
              <w:t>1 Feb 1990 (see bl. 2 and </w:t>
            </w:r>
            <w:r>
              <w:rPr>
                <w:i/>
              </w:rPr>
              <w:t>Gazette</w:t>
            </w:r>
            <w:r>
              <w:t xml:space="preserve"> 5 Jan 1990 p. 38)</w:t>
            </w:r>
          </w:p>
        </w:tc>
      </w:tr>
      <w:tr>
        <w:trPr>
          <w:gridBefore w:val="1"/>
          <w:gridAfter w:val="1"/>
          <w:wBefore w:w="28" w:type="dxa"/>
          <w:wAfter w:w="4" w:type="dxa"/>
          <w:cantSplit/>
          <w:trHeight w:val="40"/>
        </w:trPr>
        <w:tc>
          <w:tcPr>
            <w:tcW w:w="3118" w:type="dxa"/>
            <w:gridSpan w:val="2"/>
          </w:tcPr>
          <w:p>
            <w:pPr>
              <w:pStyle w:val="nTable"/>
              <w:spacing w:after="40"/>
              <w:ind w:right="113"/>
              <w:rPr>
                <w:i/>
              </w:rPr>
            </w:pPr>
            <w:r>
              <w:rPr>
                <w:i/>
              </w:rPr>
              <w:t>Country Areas Water Supply Amendment By</w:t>
            </w:r>
            <w:r>
              <w:rPr>
                <w:i/>
              </w:rPr>
              <w:noBreakHyphen/>
              <w:t>laws (No. 3) 1989</w:t>
            </w:r>
          </w:p>
        </w:tc>
        <w:tc>
          <w:tcPr>
            <w:tcW w:w="1278" w:type="dxa"/>
            <w:gridSpan w:val="2"/>
          </w:tcPr>
          <w:p>
            <w:pPr>
              <w:pStyle w:val="nTable"/>
              <w:spacing w:after="40"/>
            </w:pPr>
            <w:r>
              <w:t>22 Dec 1989 p. 4634</w:t>
            </w:r>
            <w:r>
              <w:noBreakHyphen/>
              <w:t>5</w:t>
            </w:r>
          </w:p>
        </w:tc>
        <w:tc>
          <w:tcPr>
            <w:tcW w:w="2693" w:type="dxa"/>
            <w:gridSpan w:val="2"/>
          </w:tcPr>
          <w:p>
            <w:pPr>
              <w:pStyle w:val="nTable"/>
              <w:spacing w:after="40"/>
            </w:pPr>
            <w:r>
              <w:t>1 Feb 1990 (see bl. 2 and </w:t>
            </w:r>
            <w:r>
              <w:rPr>
                <w:i/>
              </w:rPr>
              <w:t>Gazette</w:t>
            </w:r>
            <w:r>
              <w:t xml:space="preserve"> 5 Jan 1990 p. 38)</w:t>
            </w:r>
          </w:p>
        </w:tc>
      </w:tr>
      <w:tr>
        <w:trPr>
          <w:gridBefore w:val="1"/>
          <w:gridAfter w:val="1"/>
          <w:wBefore w:w="28" w:type="dxa"/>
          <w:wAfter w:w="4" w:type="dxa"/>
          <w:cantSplit/>
          <w:trHeight w:val="40"/>
        </w:trPr>
        <w:tc>
          <w:tcPr>
            <w:tcW w:w="3118" w:type="dxa"/>
            <w:gridSpan w:val="2"/>
          </w:tcPr>
          <w:p>
            <w:pPr>
              <w:pStyle w:val="nTable"/>
              <w:spacing w:after="40"/>
              <w:ind w:right="113"/>
            </w:pPr>
            <w:r>
              <w:rPr>
                <w:i/>
              </w:rPr>
              <w:t>Water Authority Amendment By</w:t>
            </w:r>
            <w:r>
              <w:rPr>
                <w:i/>
              </w:rPr>
              <w:noBreakHyphen/>
              <w:t>laws 1990</w:t>
            </w:r>
            <w:r>
              <w:t xml:space="preserve"> Pt. 2</w:t>
            </w:r>
          </w:p>
        </w:tc>
        <w:tc>
          <w:tcPr>
            <w:tcW w:w="1278" w:type="dxa"/>
            <w:gridSpan w:val="2"/>
          </w:tcPr>
          <w:p>
            <w:pPr>
              <w:pStyle w:val="nTable"/>
              <w:spacing w:after="40"/>
            </w:pPr>
            <w:r>
              <w:t>29 Jun 1990 p. 3240</w:t>
            </w:r>
            <w:r>
              <w:noBreakHyphen/>
              <w:t xml:space="preserve">8 (errata </w:t>
            </w:r>
            <w:r>
              <w:br/>
              <w:t>6 Jul 1990 p. 3318)</w:t>
            </w:r>
          </w:p>
        </w:tc>
        <w:tc>
          <w:tcPr>
            <w:tcW w:w="2693" w:type="dxa"/>
            <w:gridSpan w:val="2"/>
          </w:tcPr>
          <w:p>
            <w:pPr>
              <w:pStyle w:val="nTable"/>
              <w:spacing w:after="40"/>
            </w:pPr>
            <w:r>
              <w:t>1 Jul 1990 (see bl. 3)</w:t>
            </w:r>
          </w:p>
        </w:tc>
      </w:tr>
      <w:tr>
        <w:trPr>
          <w:gridBefore w:val="1"/>
          <w:gridAfter w:val="1"/>
          <w:wBefore w:w="28" w:type="dxa"/>
          <w:wAfter w:w="4" w:type="dxa"/>
          <w:cantSplit/>
          <w:trHeight w:val="40"/>
        </w:trPr>
        <w:tc>
          <w:tcPr>
            <w:tcW w:w="3118" w:type="dxa"/>
            <w:gridSpan w:val="2"/>
          </w:tcPr>
          <w:p>
            <w:pPr>
              <w:pStyle w:val="nTable"/>
              <w:spacing w:after="40"/>
              <w:ind w:right="113"/>
              <w:rPr>
                <w:i/>
              </w:rPr>
            </w:pPr>
            <w:r>
              <w:rPr>
                <w:i/>
              </w:rPr>
              <w:t>Country Areas Water Supply Amendment By</w:t>
            </w:r>
            <w:r>
              <w:rPr>
                <w:i/>
              </w:rPr>
              <w:noBreakHyphen/>
              <w:t xml:space="preserve">laws 1990 </w:t>
            </w:r>
          </w:p>
        </w:tc>
        <w:tc>
          <w:tcPr>
            <w:tcW w:w="1278" w:type="dxa"/>
            <w:gridSpan w:val="2"/>
          </w:tcPr>
          <w:p>
            <w:pPr>
              <w:pStyle w:val="nTable"/>
              <w:spacing w:after="40"/>
            </w:pPr>
            <w:r>
              <w:t>27 Jul 1990 p. 3617</w:t>
            </w:r>
            <w:r>
              <w:noBreakHyphen/>
              <w:t>18 (erratum 10 Aug 1990 p. 3922)</w:t>
            </w:r>
          </w:p>
        </w:tc>
        <w:tc>
          <w:tcPr>
            <w:tcW w:w="2693" w:type="dxa"/>
            <w:gridSpan w:val="2"/>
          </w:tcPr>
          <w:p>
            <w:pPr>
              <w:pStyle w:val="nTable"/>
              <w:spacing w:after="40"/>
            </w:pPr>
            <w:r>
              <w:t>27 Jul 1990</w:t>
            </w:r>
          </w:p>
        </w:tc>
      </w:tr>
      <w:tr>
        <w:trPr>
          <w:gridBefore w:val="1"/>
          <w:gridAfter w:val="1"/>
          <w:wBefore w:w="28" w:type="dxa"/>
          <w:wAfter w:w="4" w:type="dxa"/>
          <w:cantSplit/>
          <w:trHeight w:val="40"/>
        </w:trPr>
        <w:tc>
          <w:tcPr>
            <w:tcW w:w="3118" w:type="dxa"/>
            <w:gridSpan w:val="2"/>
          </w:tcPr>
          <w:p>
            <w:pPr>
              <w:pStyle w:val="nTable"/>
              <w:spacing w:after="40"/>
              <w:ind w:right="113"/>
            </w:pPr>
            <w:r>
              <w:rPr>
                <w:i/>
              </w:rPr>
              <w:t>Country Areas Water Supply Amendment By</w:t>
            </w:r>
            <w:r>
              <w:rPr>
                <w:i/>
              </w:rPr>
              <w:noBreakHyphen/>
              <w:t>laws (No. 2) 1990</w:t>
            </w:r>
          </w:p>
        </w:tc>
        <w:tc>
          <w:tcPr>
            <w:tcW w:w="1278" w:type="dxa"/>
            <w:gridSpan w:val="2"/>
          </w:tcPr>
          <w:p>
            <w:pPr>
              <w:pStyle w:val="nTable"/>
              <w:spacing w:after="40"/>
            </w:pPr>
            <w:r>
              <w:t>21 Sep 1990 p. 4952</w:t>
            </w:r>
            <w:r>
              <w:noBreakHyphen/>
              <w:t>3</w:t>
            </w:r>
          </w:p>
        </w:tc>
        <w:tc>
          <w:tcPr>
            <w:tcW w:w="2693" w:type="dxa"/>
            <w:gridSpan w:val="2"/>
          </w:tcPr>
          <w:p>
            <w:pPr>
              <w:pStyle w:val="nTable"/>
              <w:spacing w:after="40"/>
            </w:pPr>
            <w:r>
              <w:t>21 Sep 1990</w:t>
            </w:r>
          </w:p>
        </w:tc>
      </w:tr>
      <w:tr>
        <w:trPr>
          <w:gridBefore w:val="1"/>
          <w:gridAfter w:val="1"/>
          <w:wBefore w:w="28" w:type="dxa"/>
          <w:wAfter w:w="4" w:type="dxa"/>
          <w:cantSplit/>
          <w:trHeight w:val="40"/>
        </w:trPr>
        <w:tc>
          <w:tcPr>
            <w:tcW w:w="3118" w:type="dxa"/>
            <w:gridSpan w:val="2"/>
          </w:tcPr>
          <w:p>
            <w:pPr>
              <w:pStyle w:val="nTable"/>
              <w:spacing w:after="40"/>
              <w:ind w:right="113"/>
              <w:rPr>
                <w:iCs/>
              </w:rPr>
            </w:pPr>
            <w:r>
              <w:rPr>
                <w:i/>
              </w:rPr>
              <w:t>Water Authority Amendment</w:t>
            </w:r>
            <w:r>
              <w:rPr>
                <w:i/>
              </w:rPr>
              <w:br/>
              <w:t>By</w:t>
            </w:r>
            <w:r>
              <w:rPr>
                <w:i/>
              </w:rPr>
              <w:noBreakHyphen/>
              <w:t>laws 1991</w:t>
            </w:r>
            <w:r>
              <w:rPr>
                <w:iCs/>
              </w:rPr>
              <w:t xml:space="preserve"> Pt. 2</w:t>
            </w:r>
          </w:p>
        </w:tc>
        <w:tc>
          <w:tcPr>
            <w:tcW w:w="1278" w:type="dxa"/>
            <w:gridSpan w:val="2"/>
          </w:tcPr>
          <w:p>
            <w:pPr>
              <w:pStyle w:val="nTable"/>
              <w:spacing w:after="40"/>
            </w:pPr>
            <w:r>
              <w:t>28 Jun 1991 p. 3281</w:t>
            </w:r>
            <w:r>
              <w:noBreakHyphen/>
              <w:t>9</w:t>
            </w:r>
          </w:p>
        </w:tc>
        <w:tc>
          <w:tcPr>
            <w:tcW w:w="2693" w:type="dxa"/>
            <w:gridSpan w:val="2"/>
          </w:tcPr>
          <w:p>
            <w:pPr>
              <w:pStyle w:val="nTable"/>
              <w:spacing w:after="40"/>
            </w:pPr>
            <w:r>
              <w:t>1 Jul 1991 (see bl. 3)</w:t>
            </w:r>
          </w:p>
        </w:tc>
      </w:tr>
      <w:tr>
        <w:trPr>
          <w:gridBefore w:val="1"/>
          <w:gridAfter w:val="1"/>
          <w:wBefore w:w="28" w:type="dxa"/>
          <w:wAfter w:w="4" w:type="dxa"/>
          <w:cantSplit/>
          <w:trHeight w:val="40"/>
        </w:trPr>
        <w:tc>
          <w:tcPr>
            <w:tcW w:w="3118" w:type="dxa"/>
            <w:gridSpan w:val="2"/>
          </w:tcPr>
          <w:p>
            <w:pPr>
              <w:pStyle w:val="nTable"/>
              <w:spacing w:after="40"/>
              <w:ind w:right="113"/>
            </w:pPr>
            <w:r>
              <w:rPr>
                <w:i/>
              </w:rPr>
              <w:t>Country Areas Water Supply Amendment By</w:t>
            </w:r>
            <w:r>
              <w:rPr>
                <w:i/>
              </w:rPr>
              <w:noBreakHyphen/>
              <w:t>laws 1991</w:t>
            </w:r>
          </w:p>
        </w:tc>
        <w:tc>
          <w:tcPr>
            <w:tcW w:w="1278" w:type="dxa"/>
            <w:gridSpan w:val="2"/>
          </w:tcPr>
          <w:p>
            <w:pPr>
              <w:pStyle w:val="nTable"/>
              <w:spacing w:after="40"/>
            </w:pPr>
            <w:r>
              <w:t>3 Jan 1992 p. 33</w:t>
            </w:r>
          </w:p>
        </w:tc>
        <w:tc>
          <w:tcPr>
            <w:tcW w:w="2693" w:type="dxa"/>
            <w:gridSpan w:val="2"/>
          </w:tcPr>
          <w:p>
            <w:pPr>
              <w:pStyle w:val="nTable"/>
              <w:spacing w:after="40"/>
            </w:pPr>
            <w:r>
              <w:t>3 Jan 1992</w:t>
            </w:r>
          </w:p>
        </w:tc>
      </w:tr>
      <w:tr>
        <w:trPr>
          <w:gridBefore w:val="1"/>
          <w:gridAfter w:val="1"/>
          <w:wBefore w:w="28" w:type="dxa"/>
          <w:wAfter w:w="4" w:type="dxa"/>
          <w:cantSplit/>
          <w:trHeight w:val="40"/>
        </w:trPr>
        <w:tc>
          <w:tcPr>
            <w:tcW w:w="3118" w:type="dxa"/>
            <w:gridSpan w:val="2"/>
          </w:tcPr>
          <w:p>
            <w:pPr>
              <w:pStyle w:val="nTable"/>
              <w:spacing w:after="40"/>
              <w:ind w:right="113"/>
            </w:pPr>
            <w:r>
              <w:rPr>
                <w:i/>
              </w:rPr>
              <w:t xml:space="preserve">Water Authority Amendment </w:t>
            </w:r>
            <w:r>
              <w:rPr>
                <w:i/>
              </w:rPr>
              <w:br/>
              <w:t>By</w:t>
            </w:r>
            <w:r>
              <w:rPr>
                <w:i/>
              </w:rPr>
              <w:noBreakHyphen/>
              <w:t xml:space="preserve">laws 1992 </w:t>
            </w:r>
            <w:r>
              <w:t>Pt. 2</w:t>
            </w:r>
          </w:p>
        </w:tc>
        <w:tc>
          <w:tcPr>
            <w:tcW w:w="1278" w:type="dxa"/>
            <w:gridSpan w:val="2"/>
          </w:tcPr>
          <w:p>
            <w:pPr>
              <w:pStyle w:val="nTable"/>
              <w:spacing w:after="40"/>
            </w:pPr>
            <w:r>
              <w:t>26 Jun 1992 p. 2832</w:t>
            </w:r>
            <w:r>
              <w:noBreakHyphen/>
              <w:t>44</w:t>
            </w:r>
          </w:p>
        </w:tc>
        <w:tc>
          <w:tcPr>
            <w:tcW w:w="2693" w:type="dxa"/>
            <w:gridSpan w:val="2"/>
          </w:tcPr>
          <w:p>
            <w:pPr>
              <w:pStyle w:val="nTable"/>
              <w:spacing w:after="40"/>
            </w:pPr>
            <w:r>
              <w:t>1 Jul 1992 (see bl. 3)</w:t>
            </w:r>
          </w:p>
        </w:tc>
      </w:tr>
      <w:tr>
        <w:trPr>
          <w:gridBefore w:val="1"/>
          <w:gridAfter w:val="1"/>
          <w:wBefore w:w="28" w:type="dxa"/>
          <w:wAfter w:w="4" w:type="dxa"/>
          <w:cantSplit/>
          <w:trHeight w:val="40"/>
        </w:trPr>
        <w:tc>
          <w:tcPr>
            <w:tcW w:w="3118" w:type="dxa"/>
            <w:gridSpan w:val="2"/>
          </w:tcPr>
          <w:p>
            <w:pPr>
              <w:pStyle w:val="nTable"/>
              <w:spacing w:after="40"/>
              <w:ind w:right="113"/>
            </w:pPr>
            <w:r>
              <w:rPr>
                <w:i/>
              </w:rPr>
              <w:t xml:space="preserve">Water Authority Amendment </w:t>
            </w:r>
            <w:r>
              <w:rPr>
                <w:i/>
              </w:rPr>
              <w:br/>
              <w:t>By</w:t>
            </w:r>
            <w:r>
              <w:rPr>
                <w:i/>
              </w:rPr>
              <w:noBreakHyphen/>
              <w:t>laws (No. 2) 1992</w:t>
            </w:r>
            <w:r>
              <w:t xml:space="preserve"> Pt. 4</w:t>
            </w:r>
          </w:p>
        </w:tc>
        <w:tc>
          <w:tcPr>
            <w:tcW w:w="1278" w:type="dxa"/>
            <w:gridSpan w:val="2"/>
          </w:tcPr>
          <w:p>
            <w:pPr>
              <w:pStyle w:val="nTable"/>
              <w:spacing w:after="40"/>
            </w:pPr>
            <w:r>
              <w:t>31 Dec 1992 p. 6414</w:t>
            </w:r>
            <w:r>
              <w:noBreakHyphen/>
              <w:t>17</w:t>
            </w:r>
          </w:p>
        </w:tc>
        <w:tc>
          <w:tcPr>
            <w:tcW w:w="2693" w:type="dxa"/>
            <w:gridSpan w:val="2"/>
          </w:tcPr>
          <w:p>
            <w:pPr>
              <w:pStyle w:val="nTable"/>
              <w:spacing w:after="40"/>
            </w:pPr>
            <w:r>
              <w:t>1 Jan 1993 (see bl. 2)</w:t>
            </w:r>
          </w:p>
        </w:tc>
      </w:tr>
      <w:tr>
        <w:trPr>
          <w:gridBefore w:val="1"/>
          <w:gridAfter w:val="1"/>
          <w:wBefore w:w="28" w:type="dxa"/>
          <w:wAfter w:w="4" w:type="dxa"/>
          <w:cantSplit/>
          <w:trHeight w:val="40"/>
        </w:trPr>
        <w:tc>
          <w:tcPr>
            <w:tcW w:w="3118" w:type="dxa"/>
            <w:gridSpan w:val="2"/>
          </w:tcPr>
          <w:p>
            <w:pPr>
              <w:pStyle w:val="nTable"/>
              <w:spacing w:after="40"/>
              <w:ind w:right="113"/>
            </w:pPr>
            <w:r>
              <w:rPr>
                <w:i/>
              </w:rPr>
              <w:t>Country Areas Water Supply Amendment By</w:t>
            </w:r>
            <w:r>
              <w:rPr>
                <w:i/>
              </w:rPr>
              <w:noBreakHyphen/>
              <w:t>laws 1993</w:t>
            </w:r>
          </w:p>
        </w:tc>
        <w:tc>
          <w:tcPr>
            <w:tcW w:w="1278" w:type="dxa"/>
            <w:gridSpan w:val="2"/>
          </w:tcPr>
          <w:p>
            <w:pPr>
              <w:pStyle w:val="nTable"/>
              <w:spacing w:after="40"/>
            </w:pPr>
            <w:r>
              <w:t>4 May 1993 p. 2327</w:t>
            </w:r>
            <w:r>
              <w:noBreakHyphen/>
              <w:t>8</w:t>
            </w:r>
          </w:p>
        </w:tc>
        <w:tc>
          <w:tcPr>
            <w:tcW w:w="2693" w:type="dxa"/>
            <w:gridSpan w:val="2"/>
          </w:tcPr>
          <w:p>
            <w:pPr>
              <w:pStyle w:val="nTable"/>
              <w:spacing w:after="40"/>
            </w:pPr>
            <w:r>
              <w:t>4 May 1993</w:t>
            </w:r>
          </w:p>
        </w:tc>
      </w:tr>
      <w:tr>
        <w:trPr>
          <w:gridBefore w:val="1"/>
          <w:gridAfter w:val="1"/>
          <w:wBefore w:w="28" w:type="dxa"/>
          <w:wAfter w:w="4" w:type="dxa"/>
          <w:cantSplit/>
          <w:trHeight w:val="40"/>
        </w:trPr>
        <w:tc>
          <w:tcPr>
            <w:tcW w:w="3118" w:type="dxa"/>
            <w:gridSpan w:val="2"/>
          </w:tcPr>
          <w:p>
            <w:pPr>
              <w:pStyle w:val="nTable"/>
              <w:spacing w:after="40"/>
              <w:ind w:right="113"/>
            </w:pPr>
            <w:r>
              <w:rPr>
                <w:i/>
              </w:rPr>
              <w:t xml:space="preserve">Water Authority Amendment </w:t>
            </w:r>
            <w:r>
              <w:rPr>
                <w:i/>
              </w:rPr>
              <w:br/>
              <w:t>By</w:t>
            </w:r>
            <w:r>
              <w:rPr>
                <w:i/>
              </w:rPr>
              <w:noBreakHyphen/>
              <w:t>laws 1993</w:t>
            </w:r>
            <w:r>
              <w:t xml:space="preserve"> Pt. 2 </w:t>
            </w:r>
            <w:r>
              <w:rPr>
                <w:vertAlign w:val="superscript"/>
              </w:rPr>
              <w:t>7</w:t>
            </w:r>
          </w:p>
        </w:tc>
        <w:tc>
          <w:tcPr>
            <w:tcW w:w="1278" w:type="dxa"/>
            <w:gridSpan w:val="2"/>
          </w:tcPr>
          <w:p>
            <w:pPr>
              <w:pStyle w:val="nTable"/>
              <w:spacing w:after="40"/>
            </w:pPr>
            <w:r>
              <w:t>1 Jul 1993 p. 3238</w:t>
            </w:r>
            <w:r>
              <w:noBreakHyphen/>
              <w:t>50</w:t>
            </w:r>
          </w:p>
        </w:tc>
        <w:tc>
          <w:tcPr>
            <w:tcW w:w="2693" w:type="dxa"/>
            <w:gridSpan w:val="2"/>
          </w:tcPr>
          <w:p>
            <w:pPr>
              <w:pStyle w:val="nTable"/>
              <w:spacing w:after="40"/>
            </w:pPr>
            <w:r>
              <w:t>1 Jul 1993</w:t>
            </w:r>
          </w:p>
        </w:tc>
      </w:tr>
      <w:tr>
        <w:trPr>
          <w:gridBefore w:val="1"/>
          <w:gridAfter w:val="1"/>
          <w:wBefore w:w="28" w:type="dxa"/>
          <w:wAfter w:w="4" w:type="dxa"/>
          <w:cantSplit/>
          <w:trHeight w:val="40"/>
        </w:trPr>
        <w:tc>
          <w:tcPr>
            <w:tcW w:w="3118" w:type="dxa"/>
            <w:gridSpan w:val="2"/>
          </w:tcPr>
          <w:p>
            <w:pPr>
              <w:pStyle w:val="nTable"/>
              <w:spacing w:after="40"/>
              <w:ind w:right="113"/>
            </w:pPr>
            <w:r>
              <w:rPr>
                <w:i/>
              </w:rPr>
              <w:t xml:space="preserve">Water Authority Amendment </w:t>
            </w:r>
            <w:r>
              <w:rPr>
                <w:i/>
              </w:rPr>
              <w:br/>
              <w:t>By</w:t>
            </w:r>
            <w:r>
              <w:rPr>
                <w:i/>
              </w:rPr>
              <w:noBreakHyphen/>
              <w:t xml:space="preserve">laws 1994 </w:t>
            </w:r>
            <w:r>
              <w:t xml:space="preserve">Pt. 2 </w:t>
            </w:r>
            <w:r>
              <w:rPr>
                <w:vertAlign w:val="superscript"/>
              </w:rPr>
              <w:t>7</w:t>
            </w:r>
          </w:p>
        </w:tc>
        <w:tc>
          <w:tcPr>
            <w:tcW w:w="1278" w:type="dxa"/>
            <w:gridSpan w:val="2"/>
          </w:tcPr>
          <w:p>
            <w:pPr>
              <w:pStyle w:val="nTable"/>
              <w:spacing w:after="40"/>
            </w:pPr>
            <w:r>
              <w:t>29 Jun 1994 p. 3159</w:t>
            </w:r>
            <w:r>
              <w:noBreakHyphen/>
              <w:t>70</w:t>
            </w:r>
          </w:p>
        </w:tc>
        <w:tc>
          <w:tcPr>
            <w:tcW w:w="2693" w:type="dxa"/>
            <w:gridSpan w:val="2"/>
          </w:tcPr>
          <w:p>
            <w:pPr>
              <w:pStyle w:val="nTable"/>
              <w:spacing w:after="40"/>
            </w:pPr>
            <w:r>
              <w:t>1 Jul 1994 (see bl. 2)</w:t>
            </w:r>
          </w:p>
        </w:tc>
      </w:tr>
      <w:tr>
        <w:trPr>
          <w:gridBefore w:val="1"/>
          <w:gridAfter w:val="1"/>
          <w:wBefore w:w="28" w:type="dxa"/>
          <w:wAfter w:w="4" w:type="dxa"/>
          <w:cantSplit/>
          <w:trHeight w:val="40"/>
        </w:trPr>
        <w:tc>
          <w:tcPr>
            <w:tcW w:w="3118" w:type="dxa"/>
            <w:gridSpan w:val="2"/>
          </w:tcPr>
          <w:p>
            <w:pPr>
              <w:pStyle w:val="nTable"/>
              <w:spacing w:after="40"/>
              <w:ind w:right="113"/>
              <w:rPr>
                <w:vertAlign w:val="superscript"/>
              </w:rPr>
            </w:pPr>
            <w:r>
              <w:rPr>
                <w:i/>
              </w:rPr>
              <w:t xml:space="preserve">Water Authority Amendment </w:t>
            </w:r>
            <w:r>
              <w:rPr>
                <w:i/>
              </w:rPr>
              <w:br/>
              <w:t>By</w:t>
            </w:r>
            <w:r>
              <w:rPr>
                <w:i/>
              </w:rPr>
              <w:noBreakHyphen/>
              <w:t xml:space="preserve">laws 1995 </w:t>
            </w:r>
            <w:r>
              <w:t>Pt. 2</w:t>
            </w:r>
            <w:r>
              <w:rPr>
                <w:vertAlign w:val="superscript"/>
              </w:rPr>
              <w:t> 7</w:t>
            </w:r>
          </w:p>
        </w:tc>
        <w:tc>
          <w:tcPr>
            <w:tcW w:w="1278" w:type="dxa"/>
            <w:gridSpan w:val="2"/>
          </w:tcPr>
          <w:p>
            <w:pPr>
              <w:pStyle w:val="nTable"/>
              <w:spacing w:after="40"/>
            </w:pPr>
            <w:r>
              <w:t>30 Jun 1995 p. 2767</w:t>
            </w:r>
            <w:r>
              <w:noBreakHyphen/>
              <w:t>76</w:t>
            </w:r>
          </w:p>
        </w:tc>
        <w:tc>
          <w:tcPr>
            <w:tcW w:w="2693" w:type="dxa"/>
            <w:gridSpan w:val="2"/>
          </w:tcPr>
          <w:p>
            <w:pPr>
              <w:pStyle w:val="nTable"/>
              <w:spacing w:after="40"/>
            </w:pPr>
            <w:r>
              <w:t>1 Jul 1995 (see bl. 2)</w:t>
            </w:r>
          </w:p>
        </w:tc>
      </w:tr>
      <w:tr>
        <w:trPr>
          <w:gridBefore w:val="1"/>
          <w:gridAfter w:val="1"/>
          <w:wBefore w:w="28" w:type="dxa"/>
          <w:wAfter w:w="4" w:type="dxa"/>
          <w:cantSplit/>
          <w:trHeight w:val="40"/>
        </w:trPr>
        <w:tc>
          <w:tcPr>
            <w:tcW w:w="3118" w:type="dxa"/>
            <w:gridSpan w:val="2"/>
          </w:tcPr>
          <w:p>
            <w:pPr>
              <w:pStyle w:val="nTable"/>
              <w:spacing w:after="40"/>
              <w:ind w:right="113"/>
            </w:pPr>
            <w:r>
              <w:rPr>
                <w:i/>
              </w:rPr>
              <w:t>Country Areas Water Supply Amendment By</w:t>
            </w:r>
            <w:r>
              <w:rPr>
                <w:i/>
              </w:rPr>
              <w:noBreakHyphen/>
              <w:t>laws 1995</w:t>
            </w:r>
          </w:p>
        </w:tc>
        <w:tc>
          <w:tcPr>
            <w:tcW w:w="1278" w:type="dxa"/>
            <w:gridSpan w:val="2"/>
          </w:tcPr>
          <w:p>
            <w:pPr>
              <w:pStyle w:val="nTable"/>
              <w:spacing w:after="40"/>
            </w:pPr>
            <w:r>
              <w:t>30 Jun 1995 p. 2777</w:t>
            </w:r>
          </w:p>
        </w:tc>
        <w:tc>
          <w:tcPr>
            <w:tcW w:w="2693" w:type="dxa"/>
            <w:gridSpan w:val="2"/>
          </w:tcPr>
          <w:p>
            <w:pPr>
              <w:pStyle w:val="nTable"/>
              <w:spacing w:after="40"/>
            </w:pPr>
            <w:r>
              <w:t>30 Jun 1995</w:t>
            </w:r>
          </w:p>
        </w:tc>
      </w:tr>
      <w:tr>
        <w:trPr>
          <w:gridBefore w:val="1"/>
          <w:gridAfter w:val="1"/>
          <w:wBefore w:w="28" w:type="dxa"/>
          <w:wAfter w:w="4" w:type="dxa"/>
          <w:cantSplit/>
          <w:trHeight w:val="40"/>
        </w:trPr>
        <w:tc>
          <w:tcPr>
            <w:tcW w:w="3118" w:type="dxa"/>
            <w:gridSpan w:val="2"/>
          </w:tcPr>
          <w:p>
            <w:pPr>
              <w:pStyle w:val="nTable"/>
              <w:spacing w:after="40"/>
              <w:ind w:right="113"/>
            </w:pPr>
            <w:r>
              <w:rPr>
                <w:i/>
              </w:rPr>
              <w:t>Water Agencies (Amendment and Repeal) By</w:t>
            </w:r>
            <w:r>
              <w:rPr>
                <w:i/>
              </w:rPr>
              <w:noBreakHyphen/>
              <w:t xml:space="preserve">laws 1995 </w:t>
            </w:r>
            <w:r>
              <w:t>Pt. 3</w:t>
            </w:r>
          </w:p>
        </w:tc>
        <w:tc>
          <w:tcPr>
            <w:tcW w:w="1278" w:type="dxa"/>
            <w:gridSpan w:val="2"/>
          </w:tcPr>
          <w:p>
            <w:pPr>
              <w:pStyle w:val="nTable"/>
              <w:spacing w:after="40"/>
            </w:pPr>
            <w:r>
              <w:t>29 Dec 1995 p. 6305</w:t>
            </w:r>
            <w:r>
              <w:noBreakHyphen/>
              <w:t>32</w:t>
            </w:r>
          </w:p>
        </w:tc>
        <w:tc>
          <w:tcPr>
            <w:tcW w:w="2693" w:type="dxa"/>
            <w:gridSpan w:val="2"/>
          </w:tcPr>
          <w:p>
            <w:pPr>
              <w:pStyle w:val="nTable"/>
              <w:spacing w:after="40"/>
            </w:pPr>
            <w:r>
              <w:t>1 Jan 1996 (see bl. 2 and </w:t>
            </w:r>
            <w:r>
              <w:rPr>
                <w:i/>
              </w:rPr>
              <w:t>Gazette</w:t>
            </w:r>
            <w:r>
              <w:t xml:space="preserve"> 29 Dec 1995 p. 6291)</w:t>
            </w:r>
          </w:p>
        </w:tc>
      </w:tr>
      <w:tr>
        <w:trPr>
          <w:gridBefore w:val="1"/>
          <w:gridAfter w:val="1"/>
          <w:wBefore w:w="28" w:type="dxa"/>
          <w:wAfter w:w="4" w:type="dxa"/>
          <w:cantSplit/>
          <w:trHeight w:val="40"/>
        </w:trPr>
        <w:tc>
          <w:tcPr>
            <w:tcW w:w="3118" w:type="dxa"/>
            <w:gridSpan w:val="2"/>
          </w:tcPr>
          <w:p>
            <w:pPr>
              <w:pStyle w:val="nTable"/>
              <w:spacing w:after="40"/>
              <w:ind w:right="113"/>
              <w:rPr>
                <w:vertAlign w:val="superscript"/>
              </w:rPr>
            </w:pPr>
            <w:r>
              <w:rPr>
                <w:i/>
              </w:rPr>
              <w:t xml:space="preserve">Water Agencies Amendment </w:t>
            </w:r>
            <w:r>
              <w:rPr>
                <w:i/>
              </w:rPr>
              <w:br/>
              <w:t>By</w:t>
            </w:r>
            <w:r>
              <w:rPr>
                <w:i/>
              </w:rPr>
              <w:noBreakHyphen/>
              <w:t xml:space="preserve">laws 1997 </w:t>
            </w:r>
            <w:r>
              <w:t>Pt. 2</w:t>
            </w:r>
            <w:r>
              <w:rPr>
                <w:vertAlign w:val="superscript"/>
              </w:rPr>
              <w:t> 7</w:t>
            </w:r>
          </w:p>
        </w:tc>
        <w:tc>
          <w:tcPr>
            <w:tcW w:w="1278" w:type="dxa"/>
            <w:gridSpan w:val="2"/>
          </w:tcPr>
          <w:p>
            <w:pPr>
              <w:pStyle w:val="nTable"/>
              <w:spacing w:after="40"/>
            </w:pPr>
            <w:r>
              <w:t>27 Jun 1997 p. 3204</w:t>
            </w:r>
            <w:r>
              <w:noBreakHyphen/>
              <w:t>20</w:t>
            </w:r>
          </w:p>
        </w:tc>
        <w:tc>
          <w:tcPr>
            <w:tcW w:w="2693" w:type="dxa"/>
            <w:gridSpan w:val="2"/>
          </w:tcPr>
          <w:p>
            <w:pPr>
              <w:pStyle w:val="nTable"/>
              <w:spacing w:after="40"/>
            </w:pPr>
            <w:r>
              <w:t>1 Jul 1997 (see bl. 2)</w:t>
            </w:r>
          </w:p>
        </w:tc>
      </w:tr>
      <w:tr>
        <w:trPr>
          <w:gridBefore w:val="1"/>
          <w:gridAfter w:val="1"/>
          <w:wBefore w:w="28" w:type="dxa"/>
          <w:wAfter w:w="4" w:type="dxa"/>
          <w:cantSplit/>
          <w:trHeight w:val="40"/>
        </w:trPr>
        <w:tc>
          <w:tcPr>
            <w:tcW w:w="3118" w:type="dxa"/>
            <w:gridSpan w:val="2"/>
          </w:tcPr>
          <w:p>
            <w:pPr>
              <w:pStyle w:val="nTable"/>
              <w:spacing w:after="40"/>
              <w:ind w:right="113"/>
            </w:pPr>
            <w:r>
              <w:rPr>
                <w:i/>
              </w:rPr>
              <w:t xml:space="preserve">Water Agencies Amendment </w:t>
            </w:r>
            <w:r>
              <w:rPr>
                <w:i/>
              </w:rPr>
              <w:br/>
              <w:t>By</w:t>
            </w:r>
            <w:r>
              <w:rPr>
                <w:i/>
              </w:rPr>
              <w:noBreakHyphen/>
              <w:t xml:space="preserve">laws 1998 </w:t>
            </w:r>
            <w:r>
              <w:t>Pt. 2</w:t>
            </w:r>
            <w:r>
              <w:rPr>
                <w:vertAlign w:val="superscript"/>
              </w:rPr>
              <w:t> 7</w:t>
            </w:r>
          </w:p>
        </w:tc>
        <w:tc>
          <w:tcPr>
            <w:tcW w:w="1278" w:type="dxa"/>
            <w:gridSpan w:val="2"/>
          </w:tcPr>
          <w:p>
            <w:pPr>
              <w:pStyle w:val="nTable"/>
              <w:spacing w:after="40"/>
            </w:pPr>
            <w:r>
              <w:t>26 Jun 1998 p. 3417</w:t>
            </w:r>
            <w:r>
              <w:noBreakHyphen/>
              <w:t>21</w:t>
            </w:r>
          </w:p>
        </w:tc>
        <w:tc>
          <w:tcPr>
            <w:tcW w:w="2693" w:type="dxa"/>
            <w:gridSpan w:val="2"/>
          </w:tcPr>
          <w:p>
            <w:pPr>
              <w:pStyle w:val="nTable"/>
              <w:spacing w:after="40"/>
            </w:pPr>
            <w:r>
              <w:t>1 Jul 1998 (see bl. 2)</w:t>
            </w:r>
          </w:p>
        </w:tc>
      </w:tr>
      <w:tr>
        <w:trPr>
          <w:gridBefore w:val="1"/>
          <w:gridAfter w:val="1"/>
          <w:wBefore w:w="28" w:type="dxa"/>
          <w:wAfter w:w="4" w:type="dxa"/>
          <w:cantSplit/>
          <w:trHeight w:val="40"/>
        </w:trPr>
        <w:tc>
          <w:tcPr>
            <w:tcW w:w="3118" w:type="dxa"/>
            <w:gridSpan w:val="2"/>
          </w:tcPr>
          <w:p>
            <w:pPr>
              <w:pStyle w:val="nTable"/>
              <w:spacing w:after="40"/>
              <w:ind w:right="113"/>
              <w:rPr>
                <w:i/>
              </w:rPr>
            </w:pPr>
            <w:r>
              <w:rPr>
                <w:i/>
              </w:rPr>
              <w:t>Country Areas Water Supply Amendment By</w:t>
            </w:r>
            <w:r>
              <w:rPr>
                <w:i/>
              </w:rPr>
              <w:noBreakHyphen/>
              <w:t>laws (No. 2) 1998</w:t>
            </w:r>
          </w:p>
        </w:tc>
        <w:tc>
          <w:tcPr>
            <w:tcW w:w="1278" w:type="dxa"/>
            <w:gridSpan w:val="2"/>
          </w:tcPr>
          <w:p>
            <w:pPr>
              <w:pStyle w:val="nTable"/>
              <w:spacing w:after="40"/>
            </w:pPr>
            <w:r>
              <w:t>25 Aug 1998 p. 4735</w:t>
            </w:r>
            <w:r>
              <w:noBreakHyphen/>
              <w:t>7</w:t>
            </w:r>
          </w:p>
        </w:tc>
        <w:tc>
          <w:tcPr>
            <w:tcW w:w="2693" w:type="dxa"/>
            <w:gridSpan w:val="2"/>
          </w:tcPr>
          <w:p>
            <w:pPr>
              <w:pStyle w:val="nTable"/>
              <w:spacing w:after="40"/>
            </w:pPr>
            <w:r>
              <w:t>25 Aug 1998</w:t>
            </w:r>
          </w:p>
        </w:tc>
      </w:tr>
      <w:tr>
        <w:trPr>
          <w:gridBefore w:val="1"/>
          <w:gridAfter w:val="1"/>
          <w:wBefore w:w="28" w:type="dxa"/>
          <w:wAfter w:w="4" w:type="dxa"/>
          <w:cantSplit/>
          <w:trHeight w:val="40"/>
        </w:trPr>
        <w:tc>
          <w:tcPr>
            <w:tcW w:w="3118" w:type="dxa"/>
            <w:gridSpan w:val="2"/>
          </w:tcPr>
          <w:p>
            <w:pPr>
              <w:pStyle w:val="nTable"/>
              <w:spacing w:after="40"/>
              <w:ind w:right="113"/>
              <w:rPr>
                <w:i/>
              </w:rPr>
            </w:pPr>
            <w:r>
              <w:rPr>
                <w:i/>
              </w:rPr>
              <w:t>Country Areas Water Supply Amendment By</w:t>
            </w:r>
            <w:r>
              <w:rPr>
                <w:i/>
              </w:rPr>
              <w:noBreakHyphen/>
              <w:t>laws 1998</w:t>
            </w:r>
          </w:p>
        </w:tc>
        <w:tc>
          <w:tcPr>
            <w:tcW w:w="1278" w:type="dxa"/>
            <w:gridSpan w:val="2"/>
          </w:tcPr>
          <w:p>
            <w:pPr>
              <w:pStyle w:val="nTable"/>
              <w:spacing w:after="40"/>
            </w:pPr>
            <w:r>
              <w:t>29 Sep 1998 p. 5406</w:t>
            </w:r>
          </w:p>
        </w:tc>
        <w:tc>
          <w:tcPr>
            <w:tcW w:w="2693" w:type="dxa"/>
            <w:gridSpan w:val="2"/>
          </w:tcPr>
          <w:p>
            <w:pPr>
              <w:pStyle w:val="nTable"/>
              <w:spacing w:after="40"/>
            </w:pPr>
            <w:r>
              <w:t>29 Sep 1998 (see bl. 2)</w:t>
            </w:r>
          </w:p>
        </w:tc>
      </w:tr>
      <w:tr>
        <w:trPr>
          <w:gridBefore w:val="1"/>
          <w:gridAfter w:val="1"/>
          <w:wBefore w:w="28" w:type="dxa"/>
          <w:wAfter w:w="4" w:type="dxa"/>
          <w:cantSplit/>
          <w:trHeight w:val="40"/>
        </w:trPr>
        <w:tc>
          <w:tcPr>
            <w:tcW w:w="3118" w:type="dxa"/>
            <w:gridSpan w:val="2"/>
          </w:tcPr>
          <w:p>
            <w:pPr>
              <w:pStyle w:val="nTable"/>
              <w:spacing w:after="40"/>
              <w:ind w:right="113"/>
              <w:rPr>
                <w:vertAlign w:val="superscript"/>
              </w:rPr>
            </w:pPr>
            <w:r>
              <w:rPr>
                <w:i/>
              </w:rPr>
              <w:t xml:space="preserve">Water Agencies Amendment </w:t>
            </w:r>
            <w:r>
              <w:rPr>
                <w:i/>
              </w:rPr>
              <w:br/>
              <w:t>By</w:t>
            </w:r>
            <w:r>
              <w:rPr>
                <w:i/>
              </w:rPr>
              <w:noBreakHyphen/>
              <w:t xml:space="preserve">laws 1999 </w:t>
            </w:r>
            <w:r>
              <w:t>Pt. 3</w:t>
            </w:r>
            <w:r>
              <w:rPr>
                <w:vertAlign w:val="superscript"/>
              </w:rPr>
              <w:t> 7</w:t>
            </w:r>
          </w:p>
        </w:tc>
        <w:tc>
          <w:tcPr>
            <w:tcW w:w="1278" w:type="dxa"/>
            <w:gridSpan w:val="2"/>
          </w:tcPr>
          <w:p>
            <w:pPr>
              <w:pStyle w:val="nTable"/>
              <w:spacing w:after="40"/>
            </w:pPr>
            <w:r>
              <w:t>29 Jun 1999 p. 2775</w:t>
            </w:r>
            <w:r>
              <w:noBreakHyphen/>
              <w:t>87</w:t>
            </w:r>
          </w:p>
        </w:tc>
        <w:tc>
          <w:tcPr>
            <w:tcW w:w="2693" w:type="dxa"/>
            <w:gridSpan w:val="2"/>
          </w:tcPr>
          <w:p>
            <w:pPr>
              <w:pStyle w:val="nTable"/>
              <w:spacing w:after="40"/>
            </w:pPr>
            <w:r>
              <w:t>1 Jul 1999 (see bl. 2)</w:t>
            </w:r>
          </w:p>
        </w:tc>
      </w:tr>
      <w:tr>
        <w:trPr>
          <w:gridBefore w:val="1"/>
          <w:gridAfter w:val="1"/>
          <w:wBefore w:w="28" w:type="dxa"/>
          <w:wAfter w:w="4" w:type="dxa"/>
          <w:cantSplit/>
          <w:trHeight w:val="40"/>
        </w:trPr>
        <w:tc>
          <w:tcPr>
            <w:tcW w:w="3118" w:type="dxa"/>
            <w:gridSpan w:val="2"/>
          </w:tcPr>
          <w:p>
            <w:pPr>
              <w:pStyle w:val="nTable"/>
              <w:spacing w:after="40"/>
              <w:ind w:right="113"/>
              <w:rPr>
                <w:i/>
              </w:rPr>
            </w:pPr>
            <w:r>
              <w:rPr>
                <w:i/>
              </w:rPr>
              <w:t>Country Areas Water Supply Amendment By</w:t>
            </w:r>
            <w:r>
              <w:rPr>
                <w:i/>
              </w:rPr>
              <w:noBreakHyphen/>
              <w:t>laws 2000</w:t>
            </w:r>
          </w:p>
        </w:tc>
        <w:tc>
          <w:tcPr>
            <w:tcW w:w="1278" w:type="dxa"/>
            <w:gridSpan w:val="2"/>
          </w:tcPr>
          <w:p>
            <w:pPr>
              <w:pStyle w:val="nTable"/>
              <w:spacing w:after="40"/>
            </w:pPr>
            <w:r>
              <w:t>14 Apr 2000</w:t>
            </w:r>
            <w:r>
              <w:br/>
              <w:t>p. 1893</w:t>
            </w:r>
          </w:p>
        </w:tc>
        <w:tc>
          <w:tcPr>
            <w:tcW w:w="2693" w:type="dxa"/>
            <w:gridSpan w:val="2"/>
          </w:tcPr>
          <w:p>
            <w:pPr>
              <w:pStyle w:val="nTable"/>
              <w:spacing w:after="40"/>
            </w:pPr>
            <w:r>
              <w:t>14 Apr 2000</w:t>
            </w:r>
          </w:p>
        </w:tc>
      </w:tr>
      <w:tr>
        <w:trPr>
          <w:gridBefore w:val="1"/>
          <w:gridAfter w:val="1"/>
          <w:wBefore w:w="28" w:type="dxa"/>
          <w:wAfter w:w="4" w:type="dxa"/>
          <w:cantSplit/>
          <w:trHeight w:val="40"/>
        </w:trPr>
        <w:tc>
          <w:tcPr>
            <w:tcW w:w="3118" w:type="dxa"/>
            <w:gridSpan w:val="2"/>
          </w:tcPr>
          <w:p>
            <w:pPr>
              <w:pStyle w:val="nTable"/>
              <w:spacing w:after="40"/>
              <w:ind w:right="113"/>
              <w:rPr>
                <w:i/>
              </w:rPr>
            </w:pPr>
            <w:r>
              <w:rPr>
                <w:i/>
              </w:rPr>
              <w:t>Country Areas Water Supply Amendment By</w:t>
            </w:r>
            <w:r>
              <w:rPr>
                <w:i/>
              </w:rPr>
              <w:noBreakHyphen/>
              <w:t>laws (No. 2) 2000</w:t>
            </w:r>
          </w:p>
        </w:tc>
        <w:tc>
          <w:tcPr>
            <w:tcW w:w="1278" w:type="dxa"/>
            <w:gridSpan w:val="2"/>
          </w:tcPr>
          <w:p>
            <w:pPr>
              <w:pStyle w:val="nTable"/>
              <w:spacing w:after="40"/>
            </w:pPr>
            <w:r>
              <w:t>16 Jun 2000</w:t>
            </w:r>
            <w:r>
              <w:br/>
              <w:t>p. 2960</w:t>
            </w:r>
            <w:r>
              <w:noBreakHyphen/>
              <w:t>2</w:t>
            </w:r>
          </w:p>
        </w:tc>
        <w:tc>
          <w:tcPr>
            <w:tcW w:w="2693" w:type="dxa"/>
            <w:gridSpan w:val="2"/>
          </w:tcPr>
          <w:p>
            <w:pPr>
              <w:pStyle w:val="nTable"/>
              <w:spacing w:after="40"/>
            </w:pPr>
            <w:r>
              <w:t xml:space="preserve">19 Jun 2000 (see bl. 2 and </w:t>
            </w:r>
            <w:r>
              <w:rPr>
                <w:i/>
              </w:rPr>
              <w:t>Gazette</w:t>
            </w:r>
            <w:r>
              <w:t xml:space="preserve"> 16 Jun 2000 p. 2939)</w:t>
            </w:r>
          </w:p>
        </w:tc>
      </w:tr>
      <w:tr>
        <w:trPr>
          <w:gridBefore w:val="1"/>
          <w:gridAfter w:val="1"/>
          <w:wBefore w:w="28" w:type="dxa"/>
          <w:wAfter w:w="4" w:type="dxa"/>
          <w:cantSplit/>
          <w:trHeight w:val="40"/>
        </w:trPr>
        <w:tc>
          <w:tcPr>
            <w:tcW w:w="3118" w:type="dxa"/>
            <w:gridSpan w:val="2"/>
          </w:tcPr>
          <w:p>
            <w:pPr>
              <w:pStyle w:val="nTable"/>
              <w:spacing w:after="40"/>
              <w:ind w:right="113"/>
              <w:rPr>
                <w:vertAlign w:val="superscript"/>
              </w:rPr>
            </w:pPr>
            <w:r>
              <w:rPr>
                <w:i/>
              </w:rPr>
              <w:t xml:space="preserve">Water Agencies Amendment </w:t>
            </w:r>
            <w:r>
              <w:rPr>
                <w:i/>
              </w:rPr>
              <w:br/>
              <w:t>By</w:t>
            </w:r>
            <w:r>
              <w:rPr>
                <w:i/>
              </w:rPr>
              <w:noBreakHyphen/>
              <w:t xml:space="preserve">laws 2000 </w:t>
            </w:r>
            <w:r>
              <w:t>Pt. 3 </w:t>
            </w:r>
            <w:r>
              <w:rPr>
                <w:vertAlign w:val="superscript"/>
              </w:rPr>
              <w:t>7</w:t>
            </w:r>
          </w:p>
        </w:tc>
        <w:tc>
          <w:tcPr>
            <w:tcW w:w="1278" w:type="dxa"/>
            <w:gridSpan w:val="2"/>
          </w:tcPr>
          <w:p>
            <w:pPr>
              <w:pStyle w:val="nTable"/>
              <w:spacing w:after="40"/>
            </w:pPr>
            <w:r>
              <w:t>29 Jun 2000 p. 3365</w:t>
            </w:r>
            <w:r>
              <w:noBreakHyphen/>
              <w:t>79</w:t>
            </w:r>
          </w:p>
        </w:tc>
        <w:tc>
          <w:tcPr>
            <w:tcW w:w="2693" w:type="dxa"/>
            <w:gridSpan w:val="2"/>
          </w:tcPr>
          <w:p>
            <w:pPr>
              <w:pStyle w:val="nTable"/>
              <w:spacing w:after="40"/>
            </w:pPr>
            <w:r>
              <w:t>1 Jul 2000 (see bl. 2)</w:t>
            </w:r>
          </w:p>
        </w:tc>
      </w:tr>
      <w:tr>
        <w:trPr>
          <w:gridBefore w:val="1"/>
          <w:gridAfter w:val="1"/>
          <w:wBefore w:w="28" w:type="dxa"/>
          <w:wAfter w:w="4" w:type="dxa"/>
          <w:cantSplit/>
          <w:trHeight w:val="40"/>
        </w:trPr>
        <w:tc>
          <w:tcPr>
            <w:tcW w:w="3118" w:type="dxa"/>
            <w:gridSpan w:val="2"/>
          </w:tcPr>
          <w:p>
            <w:pPr>
              <w:pStyle w:val="nTable"/>
              <w:spacing w:after="40"/>
              <w:ind w:right="113"/>
              <w:rPr>
                <w:i/>
              </w:rPr>
            </w:pPr>
            <w:r>
              <w:rPr>
                <w:i/>
              </w:rPr>
              <w:t>Country Areas Water Supply Amendment By</w:t>
            </w:r>
            <w:r>
              <w:rPr>
                <w:i/>
              </w:rPr>
              <w:noBreakHyphen/>
              <w:t>laws (No. 4) 2000</w:t>
            </w:r>
          </w:p>
        </w:tc>
        <w:tc>
          <w:tcPr>
            <w:tcW w:w="1278" w:type="dxa"/>
            <w:gridSpan w:val="2"/>
          </w:tcPr>
          <w:p>
            <w:pPr>
              <w:pStyle w:val="nTable"/>
              <w:spacing w:after="40"/>
            </w:pPr>
            <w:r>
              <w:t>29 Sep 2000 p. 5550</w:t>
            </w:r>
            <w:r>
              <w:noBreakHyphen/>
              <w:t>1</w:t>
            </w:r>
          </w:p>
        </w:tc>
        <w:tc>
          <w:tcPr>
            <w:tcW w:w="2693" w:type="dxa"/>
            <w:gridSpan w:val="2"/>
          </w:tcPr>
          <w:p>
            <w:pPr>
              <w:pStyle w:val="nTable"/>
              <w:spacing w:after="40"/>
            </w:pPr>
            <w:r>
              <w:t>29 Sep 2000</w:t>
            </w:r>
          </w:p>
        </w:tc>
      </w:tr>
      <w:tr>
        <w:trPr>
          <w:gridBefore w:val="1"/>
          <w:gridAfter w:val="1"/>
          <w:wBefore w:w="28" w:type="dxa"/>
          <w:wAfter w:w="4" w:type="dxa"/>
          <w:cantSplit/>
          <w:trHeight w:val="40"/>
        </w:trPr>
        <w:tc>
          <w:tcPr>
            <w:tcW w:w="3118" w:type="dxa"/>
            <w:gridSpan w:val="2"/>
          </w:tcPr>
          <w:p>
            <w:pPr>
              <w:pStyle w:val="nTable"/>
              <w:spacing w:after="40"/>
              <w:ind w:right="113"/>
              <w:rPr>
                <w:vertAlign w:val="superscript"/>
              </w:rPr>
            </w:pPr>
            <w:r>
              <w:rPr>
                <w:i/>
              </w:rPr>
              <w:t>Country Areas Water Supply Amendment By</w:t>
            </w:r>
            <w:r>
              <w:rPr>
                <w:i/>
              </w:rPr>
              <w:noBreakHyphen/>
              <w:t>laws 2001</w:t>
            </w:r>
          </w:p>
        </w:tc>
        <w:tc>
          <w:tcPr>
            <w:tcW w:w="1278" w:type="dxa"/>
            <w:gridSpan w:val="2"/>
          </w:tcPr>
          <w:p>
            <w:pPr>
              <w:pStyle w:val="nTable"/>
              <w:spacing w:after="40"/>
            </w:pPr>
            <w:r>
              <w:t>29 May 2001 p. 2705</w:t>
            </w:r>
            <w:r>
              <w:noBreakHyphen/>
              <w:t>9</w:t>
            </w:r>
          </w:p>
        </w:tc>
        <w:tc>
          <w:tcPr>
            <w:tcW w:w="2693" w:type="dxa"/>
            <w:gridSpan w:val="2"/>
          </w:tcPr>
          <w:p>
            <w:pPr>
              <w:pStyle w:val="nTable"/>
              <w:spacing w:after="40"/>
            </w:pPr>
            <w:r>
              <w:t>29 May 2001</w:t>
            </w:r>
          </w:p>
        </w:tc>
      </w:tr>
      <w:tr>
        <w:trPr>
          <w:gridBefore w:val="1"/>
          <w:gridAfter w:val="1"/>
          <w:wBefore w:w="28" w:type="dxa"/>
          <w:wAfter w:w="4" w:type="dxa"/>
          <w:cantSplit/>
          <w:trHeight w:val="40"/>
        </w:trPr>
        <w:tc>
          <w:tcPr>
            <w:tcW w:w="3118" w:type="dxa"/>
            <w:gridSpan w:val="2"/>
          </w:tcPr>
          <w:p>
            <w:pPr>
              <w:pStyle w:val="nTable"/>
              <w:spacing w:after="40"/>
              <w:ind w:right="113"/>
              <w:rPr>
                <w:i/>
                <w:vertAlign w:val="superscript"/>
              </w:rPr>
            </w:pPr>
            <w:r>
              <w:rPr>
                <w:i/>
              </w:rPr>
              <w:t>Water Agencies Amendment By</w:t>
            </w:r>
            <w:r>
              <w:rPr>
                <w:i/>
              </w:rPr>
              <w:noBreakHyphen/>
              <w:t xml:space="preserve">laws 2001 </w:t>
            </w:r>
            <w:r>
              <w:t>Pt. 3 </w:t>
            </w:r>
            <w:r>
              <w:rPr>
                <w:vertAlign w:val="superscript"/>
              </w:rPr>
              <w:t>7</w:t>
            </w:r>
          </w:p>
        </w:tc>
        <w:tc>
          <w:tcPr>
            <w:tcW w:w="1278" w:type="dxa"/>
            <w:gridSpan w:val="2"/>
          </w:tcPr>
          <w:p>
            <w:pPr>
              <w:pStyle w:val="nTable"/>
              <w:spacing w:after="40"/>
            </w:pPr>
            <w:r>
              <w:t>29 Jun 2001 p. 3230</w:t>
            </w:r>
            <w:r>
              <w:noBreakHyphen/>
              <w:t>42</w:t>
            </w:r>
          </w:p>
        </w:tc>
        <w:tc>
          <w:tcPr>
            <w:tcW w:w="2693" w:type="dxa"/>
            <w:gridSpan w:val="2"/>
          </w:tcPr>
          <w:p>
            <w:pPr>
              <w:pStyle w:val="nTable"/>
              <w:spacing w:after="40"/>
            </w:pPr>
            <w:r>
              <w:t>1 Jul 2001 (see bl. 2)</w:t>
            </w:r>
          </w:p>
        </w:tc>
      </w:tr>
      <w:tr>
        <w:trPr>
          <w:gridBefore w:val="1"/>
          <w:gridAfter w:val="1"/>
          <w:wBefore w:w="28" w:type="dxa"/>
          <w:wAfter w:w="6" w:type="dxa"/>
          <w:cantSplit/>
          <w:trHeight w:val="40"/>
        </w:trPr>
        <w:tc>
          <w:tcPr>
            <w:tcW w:w="7087" w:type="dxa"/>
            <w:gridSpan w:val="6"/>
          </w:tcPr>
          <w:p>
            <w:pPr>
              <w:pStyle w:val="nTable"/>
              <w:spacing w:after="40"/>
            </w:pPr>
            <w:r>
              <w:rPr>
                <w:b/>
              </w:rPr>
              <w:t xml:space="preserve">Reprint of the </w:t>
            </w:r>
            <w:r>
              <w:rPr>
                <w:b/>
                <w:i/>
              </w:rPr>
              <w:t>Country Areas Water Supply By</w:t>
            </w:r>
            <w:r>
              <w:rPr>
                <w:b/>
                <w:i/>
              </w:rPr>
              <w:noBreakHyphen/>
              <w:t>laws 1957</w:t>
            </w:r>
            <w:r>
              <w:rPr>
                <w:b/>
              </w:rPr>
              <w:t xml:space="preserve"> as at 3 Aug 2001</w:t>
            </w:r>
            <w:r>
              <w:rPr>
                <w:b/>
              </w:rPr>
              <w:br/>
            </w:r>
            <w:r>
              <w:t>(includes amendments listed above)</w:t>
            </w:r>
          </w:p>
        </w:tc>
      </w:tr>
      <w:tr>
        <w:trPr>
          <w:gridBefore w:val="1"/>
          <w:gridAfter w:val="1"/>
          <w:wBefore w:w="28" w:type="dxa"/>
          <w:wAfter w:w="4" w:type="dxa"/>
          <w:cantSplit/>
          <w:trHeight w:val="40"/>
        </w:trPr>
        <w:tc>
          <w:tcPr>
            <w:tcW w:w="3118" w:type="dxa"/>
            <w:gridSpan w:val="2"/>
          </w:tcPr>
          <w:p>
            <w:pPr>
              <w:pStyle w:val="nTable"/>
              <w:spacing w:after="40"/>
              <w:ind w:right="113"/>
            </w:pPr>
            <w:r>
              <w:rPr>
                <w:i/>
              </w:rPr>
              <w:t>Water Agencies Amendment By</w:t>
            </w:r>
            <w:r>
              <w:rPr>
                <w:i/>
              </w:rPr>
              <w:noBreakHyphen/>
              <w:t xml:space="preserve">laws 2002 </w:t>
            </w:r>
            <w:r>
              <w:t>Pt. 2</w:t>
            </w:r>
          </w:p>
        </w:tc>
        <w:tc>
          <w:tcPr>
            <w:tcW w:w="1278" w:type="dxa"/>
            <w:gridSpan w:val="2"/>
          </w:tcPr>
          <w:p>
            <w:pPr>
              <w:pStyle w:val="nTable"/>
              <w:spacing w:after="40"/>
              <w:ind w:right="113"/>
            </w:pPr>
            <w:r>
              <w:t>1 Jul 2002 p. 3137-53</w:t>
            </w:r>
          </w:p>
        </w:tc>
        <w:tc>
          <w:tcPr>
            <w:tcW w:w="2693" w:type="dxa"/>
            <w:gridSpan w:val="2"/>
          </w:tcPr>
          <w:p>
            <w:pPr>
              <w:pStyle w:val="nTable"/>
              <w:spacing w:after="40"/>
              <w:ind w:right="113"/>
            </w:pPr>
            <w:r>
              <w:t>1 Jul 2002</w:t>
            </w:r>
          </w:p>
        </w:tc>
      </w:tr>
      <w:tr>
        <w:trPr>
          <w:gridBefore w:val="1"/>
          <w:gridAfter w:val="1"/>
          <w:wBefore w:w="28" w:type="dxa"/>
          <w:wAfter w:w="4" w:type="dxa"/>
          <w:cantSplit/>
          <w:trHeight w:val="40"/>
        </w:trPr>
        <w:tc>
          <w:tcPr>
            <w:tcW w:w="3118" w:type="dxa"/>
            <w:gridSpan w:val="2"/>
          </w:tcPr>
          <w:p>
            <w:pPr>
              <w:pStyle w:val="nTable"/>
              <w:spacing w:after="40"/>
              <w:ind w:right="113"/>
              <w:rPr>
                <w:vertAlign w:val="superscript"/>
              </w:rPr>
            </w:pPr>
            <w:r>
              <w:rPr>
                <w:i/>
              </w:rPr>
              <w:t>Water Agencies Amendment By</w:t>
            </w:r>
            <w:r>
              <w:rPr>
                <w:i/>
              </w:rPr>
              <w:noBreakHyphen/>
              <w:t>laws 2003</w:t>
            </w:r>
            <w:r>
              <w:rPr>
                <w:iCs/>
              </w:rPr>
              <w:t xml:space="preserve"> Pt. 3</w:t>
            </w:r>
            <w:r>
              <w:t> </w:t>
            </w:r>
            <w:r>
              <w:rPr>
                <w:vertAlign w:val="superscript"/>
              </w:rPr>
              <w:t>7</w:t>
            </w:r>
          </w:p>
        </w:tc>
        <w:tc>
          <w:tcPr>
            <w:tcW w:w="1278" w:type="dxa"/>
            <w:gridSpan w:val="2"/>
          </w:tcPr>
          <w:p>
            <w:pPr>
              <w:pStyle w:val="nTable"/>
              <w:spacing w:after="40"/>
              <w:ind w:right="113"/>
            </w:pPr>
            <w:r>
              <w:t>27 Jun 2003 p. 2422-32</w:t>
            </w:r>
          </w:p>
        </w:tc>
        <w:tc>
          <w:tcPr>
            <w:tcW w:w="2693" w:type="dxa"/>
            <w:gridSpan w:val="2"/>
          </w:tcPr>
          <w:p>
            <w:pPr>
              <w:pStyle w:val="nTable"/>
              <w:spacing w:after="40"/>
              <w:ind w:right="113"/>
            </w:pPr>
            <w:r>
              <w:t>1 Jul 2003 (see bl. 2)</w:t>
            </w:r>
          </w:p>
        </w:tc>
      </w:tr>
      <w:tr>
        <w:trPr>
          <w:gridBefore w:val="1"/>
          <w:gridAfter w:val="1"/>
          <w:wBefore w:w="28" w:type="dxa"/>
          <w:wAfter w:w="4" w:type="dxa"/>
          <w:cantSplit/>
          <w:trHeight w:val="40"/>
        </w:trPr>
        <w:tc>
          <w:tcPr>
            <w:tcW w:w="3118" w:type="dxa"/>
            <w:gridSpan w:val="2"/>
          </w:tcPr>
          <w:p>
            <w:pPr>
              <w:pStyle w:val="nTable"/>
              <w:spacing w:after="40"/>
              <w:ind w:right="113"/>
              <w:rPr>
                <w:i/>
              </w:rPr>
            </w:pPr>
            <w:r>
              <w:rPr>
                <w:i/>
              </w:rPr>
              <w:t>Country Areas Water Supply Amendment By-laws 2004</w:t>
            </w:r>
          </w:p>
        </w:tc>
        <w:tc>
          <w:tcPr>
            <w:tcW w:w="1278" w:type="dxa"/>
            <w:gridSpan w:val="2"/>
          </w:tcPr>
          <w:p>
            <w:pPr>
              <w:pStyle w:val="nTable"/>
              <w:spacing w:after="40"/>
              <w:ind w:right="113"/>
            </w:pPr>
            <w:r>
              <w:t>28 Jun 2004 p. 2389-91</w:t>
            </w:r>
          </w:p>
        </w:tc>
        <w:tc>
          <w:tcPr>
            <w:tcW w:w="2693" w:type="dxa"/>
            <w:gridSpan w:val="2"/>
          </w:tcPr>
          <w:p>
            <w:pPr>
              <w:pStyle w:val="nTable"/>
              <w:spacing w:after="40"/>
              <w:ind w:right="113"/>
            </w:pPr>
            <w:r>
              <w:t xml:space="preserve">1 Jul 2004 (see bl. 2 and </w:t>
            </w:r>
            <w:r>
              <w:rPr>
                <w:i/>
              </w:rPr>
              <w:t>Gazette</w:t>
            </w:r>
            <w:r>
              <w:t xml:space="preserve"> 28 Jun 2004 p. 2399)</w:t>
            </w:r>
          </w:p>
        </w:tc>
      </w:tr>
      <w:tr>
        <w:trPr>
          <w:gridBefore w:val="1"/>
          <w:gridAfter w:val="1"/>
          <w:wBefore w:w="28" w:type="dxa"/>
          <w:wAfter w:w="4" w:type="dxa"/>
          <w:cantSplit/>
          <w:trHeight w:val="40"/>
        </w:trPr>
        <w:tc>
          <w:tcPr>
            <w:tcW w:w="3118" w:type="dxa"/>
            <w:gridSpan w:val="2"/>
          </w:tcPr>
          <w:p>
            <w:pPr>
              <w:pStyle w:val="nTable"/>
              <w:spacing w:after="40"/>
              <w:ind w:right="113"/>
            </w:pPr>
            <w:r>
              <w:rPr>
                <w:i/>
              </w:rPr>
              <w:t>Water Agencies Amendment By</w:t>
            </w:r>
            <w:r>
              <w:rPr>
                <w:i/>
              </w:rPr>
              <w:noBreakHyphen/>
              <w:t>laws 2004</w:t>
            </w:r>
            <w:r>
              <w:t xml:space="preserve"> Pt. 2</w:t>
            </w:r>
            <w:r>
              <w:rPr>
                <w:vertAlign w:val="superscript"/>
              </w:rPr>
              <w:t> 7</w:t>
            </w:r>
          </w:p>
        </w:tc>
        <w:tc>
          <w:tcPr>
            <w:tcW w:w="1278" w:type="dxa"/>
            <w:gridSpan w:val="2"/>
          </w:tcPr>
          <w:p>
            <w:pPr>
              <w:pStyle w:val="nTable"/>
              <w:spacing w:after="40"/>
              <w:ind w:right="113"/>
            </w:pPr>
            <w:r>
              <w:t>29 Jun 2004 p. 2497-503</w:t>
            </w:r>
          </w:p>
        </w:tc>
        <w:tc>
          <w:tcPr>
            <w:tcW w:w="2693" w:type="dxa"/>
            <w:gridSpan w:val="2"/>
          </w:tcPr>
          <w:p>
            <w:pPr>
              <w:pStyle w:val="nTable"/>
              <w:spacing w:after="40"/>
              <w:ind w:right="113"/>
            </w:pPr>
            <w:r>
              <w:t>1 Jul 2004 (see bl. 2)</w:t>
            </w:r>
          </w:p>
        </w:tc>
      </w:tr>
      <w:tr>
        <w:trPr>
          <w:gridBefore w:val="1"/>
          <w:gridAfter w:val="1"/>
          <w:wBefore w:w="28" w:type="dxa"/>
          <w:wAfter w:w="4" w:type="dxa"/>
          <w:cantSplit/>
          <w:trHeight w:val="40"/>
        </w:trPr>
        <w:tc>
          <w:tcPr>
            <w:tcW w:w="3118" w:type="dxa"/>
            <w:gridSpan w:val="2"/>
          </w:tcPr>
          <w:p>
            <w:pPr>
              <w:pStyle w:val="nTable"/>
              <w:spacing w:after="40"/>
              <w:ind w:right="113"/>
              <w:rPr>
                <w:i/>
              </w:rPr>
            </w:pPr>
            <w:r>
              <w:rPr>
                <w:i/>
              </w:rPr>
              <w:t>Country Areas Water Supply Amendment By</w:t>
            </w:r>
            <w:r>
              <w:rPr>
                <w:i/>
              </w:rPr>
              <w:noBreakHyphen/>
              <w:t>laws 2005</w:t>
            </w:r>
          </w:p>
        </w:tc>
        <w:tc>
          <w:tcPr>
            <w:tcW w:w="1278" w:type="dxa"/>
            <w:gridSpan w:val="2"/>
          </w:tcPr>
          <w:p>
            <w:pPr>
              <w:pStyle w:val="nTable"/>
              <w:spacing w:after="40"/>
              <w:ind w:right="113"/>
            </w:pPr>
            <w:r>
              <w:t>26 Apr 2005 p. 1397</w:t>
            </w:r>
            <w:r>
              <w:noBreakHyphen/>
              <w:t>8</w:t>
            </w:r>
          </w:p>
        </w:tc>
        <w:tc>
          <w:tcPr>
            <w:tcW w:w="2693" w:type="dxa"/>
            <w:gridSpan w:val="2"/>
          </w:tcPr>
          <w:p>
            <w:pPr>
              <w:pStyle w:val="nTable"/>
              <w:spacing w:after="40"/>
              <w:ind w:right="113"/>
            </w:pPr>
            <w:r>
              <w:t>26 Apr 2005</w:t>
            </w:r>
          </w:p>
        </w:tc>
      </w:tr>
      <w:tr>
        <w:trPr>
          <w:gridBefore w:val="1"/>
          <w:gridAfter w:val="1"/>
          <w:wBefore w:w="28" w:type="dxa"/>
          <w:wAfter w:w="4" w:type="dxa"/>
          <w:cantSplit/>
          <w:trHeight w:val="40"/>
        </w:trPr>
        <w:tc>
          <w:tcPr>
            <w:tcW w:w="3118" w:type="dxa"/>
            <w:gridSpan w:val="2"/>
          </w:tcPr>
          <w:p>
            <w:pPr>
              <w:pStyle w:val="nTable"/>
              <w:spacing w:after="40"/>
              <w:ind w:right="113"/>
              <w:rPr>
                <w:i/>
              </w:rPr>
            </w:pPr>
            <w:r>
              <w:rPr>
                <w:bCs/>
                <w:i/>
                <w:iCs/>
              </w:rPr>
              <w:t>Water Agencies Amendment By</w:t>
            </w:r>
            <w:r>
              <w:rPr>
                <w:bCs/>
                <w:i/>
                <w:iCs/>
              </w:rPr>
              <w:noBreakHyphen/>
              <w:t>laws 2005</w:t>
            </w:r>
            <w:r>
              <w:rPr>
                <w:bCs/>
                <w:iCs/>
              </w:rPr>
              <w:t xml:space="preserve"> Pt. 3</w:t>
            </w:r>
            <w:r>
              <w:rPr>
                <w:vertAlign w:val="superscript"/>
              </w:rPr>
              <w:t> 7</w:t>
            </w:r>
          </w:p>
        </w:tc>
        <w:tc>
          <w:tcPr>
            <w:tcW w:w="1278" w:type="dxa"/>
            <w:gridSpan w:val="2"/>
          </w:tcPr>
          <w:p>
            <w:pPr>
              <w:pStyle w:val="nTable"/>
              <w:spacing w:after="40"/>
              <w:ind w:right="113"/>
            </w:pPr>
            <w:r>
              <w:rPr>
                <w:bCs/>
              </w:rPr>
              <w:t>1 Jul 2005 p. 3009-17</w:t>
            </w:r>
          </w:p>
        </w:tc>
        <w:tc>
          <w:tcPr>
            <w:tcW w:w="2693" w:type="dxa"/>
            <w:gridSpan w:val="2"/>
          </w:tcPr>
          <w:p>
            <w:pPr>
              <w:pStyle w:val="nTable"/>
              <w:spacing w:after="40"/>
              <w:ind w:right="113"/>
            </w:pPr>
            <w:r>
              <w:rPr>
                <w:bCs/>
              </w:rPr>
              <w:t>1 Jul 2005 (see bl. 2)</w:t>
            </w:r>
          </w:p>
        </w:tc>
      </w:tr>
      <w:tr>
        <w:trPr>
          <w:gridBefore w:val="1"/>
          <w:gridAfter w:val="1"/>
          <w:wBefore w:w="28" w:type="dxa"/>
          <w:wAfter w:w="6" w:type="dxa"/>
          <w:cantSplit/>
          <w:trHeight w:val="40"/>
        </w:trPr>
        <w:tc>
          <w:tcPr>
            <w:tcW w:w="7087" w:type="dxa"/>
            <w:gridSpan w:val="6"/>
          </w:tcPr>
          <w:p>
            <w:pPr>
              <w:pStyle w:val="nTable"/>
              <w:spacing w:after="40"/>
              <w:ind w:right="113"/>
              <w:rPr>
                <w:bCs/>
              </w:rPr>
            </w:pPr>
            <w:r>
              <w:rPr>
                <w:b/>
              </w:rPr>
              <w:t xml:space="preserve">Reprint 3: The </w:t>
            </w:r>
            <w:r>
              <w:rPr>
                <w:b/>
                <w:i/>
              </w:rPr>
              <w:t>Country Areas Water Supply By</w:t>
            </w:r>
            <w:r>
              <w:rPr>
                <w:b/>
                <w:i/>
              </w:rPr>
              <w:noBreakHyphen/>
              <w:t>laws 1957</w:t>
            </w:r>
            <w:r>
              <w:rPr>
                <w:b/>
              </w:rPr>
              <w:t xml:space="preserve"> as at 17 Mar 2006</w:t>
            </w:r>
            <w:r>
              <w:rPr>
                <w:b/>
              </w:rPr>
              <w:br/>
            </w:r>
            <w:r>
              <w:t>(includes amendments listed above)</w:t>
            </w:r>
          </w:p>
        </w:tc>
      </w:tr>
      <w:tr>
        <w:trPr>
          <w:gridBefore w:val="1"/>
          <w:gridAfter w:val="1"/>
          <w:wBefore w:w="28" w:type="dxa"/>
          <w:wAfter w:w="4" w:type="dxa"/>
          <w:cantSplit/>
          <w:trHeight w:val="40"/>
        </w:trPr>
        <w:tc>
          <w:tcPr>
            <w:tcW w:w="3118" w:type="dxa"/>
            <w:gridSpan w:val="2"/>
          </w:tcPr>
          <w:p>
            <w:pPr>
              <w:pStyle w:val="nTable"/>
              <w:spacing w:after="40"/>
              <w:ind w:right="113"/>
              <w:rPr>
                <w:i/>
              </w:rPr>
            </w:pPr>
            <w:r>
              <w:rPr>
                <w:bCs/>
                <w:i/>
                <w:iCs/>
              </w:rPr>
              <w:t>Water Agencies Amendment By</w:t>
            </w:r>
            <w:r>
              <w:rPr>
                <w:bCs/>
                <w:i/>
                <w:iCs/>
              </w:rPr>
              <w:noBreakHyphen/>
              <w:t xml:space="preserve">laws 2006 </w:t>
            </w:r>
            <w:r>
              <w:rPr>
                <w:bCs/>
                <w:iCs/>
              </w:rPr>
              <w:t>Pt. 3</w:t>
            </w:r>
            <w:r>
              <w:rPr>
                <w:vertAlign w:val="superscript"/>
              </w:rPr>
              <w:t> 7</w:t>
            </w:r>
          </w:p>
        </w:tc>
        <w:tc>
          <w:tcPr>
            <w:tcW w:w="1278" w:type="dxa"/>
            <w:gridSpan w:val="2"/>
          </w:tcPr>
          <w:p>
            <w:pPr>
              <w:pStyle w:val="nTable"/>
              <w:spacing w:after="40"/>
              <w:ind w:right="113"/>
            </w:pPr>
            <w:r>
              <w:rPr>
                <w:bCs/>
              </w:rPr>
              <w:t>30 Jun 2006 p. 2399-412</w:t>
            </w:r>
          </w:p>
        </w:tc>
        <w:tc>
          <w:tcPr>
            <w:tcW w:w="2693" w:type="dxa"/>
            <w:gridSpan w:val="2"/>
          </w:tcPr>
          <w:p>
            <w:pPr>
              <w:pStyle w:val="nTable"/>
              <w:spacing w:after="40"/>
              <w:ind w:right="113"/>
            </w:pPr>
            <w:r>
              <w:rPr>
                <w:bCs/>
              </w:rPr>
              <w:t>1 Jul 2006 (see bl. 2)</w:t>
            </w:r>
          </w:p>
        </w:tc>
      </w:tr>
      <w:tr>
        <w:trPr>
          <w:gridBefore w:val="1"/>
          <w:gridAfter w:val="1"/>
          <w:wBefore w:w="28" w:type="dxa"/>
          <w:wAfter w:w="4" w:type="dxa"/>
          <w:cantSplit/>
          <w:trHeight w:val="40"/>
        </w:trPr>
        <w:tc>
          <w:tcPr>
            <w:tcW w:w="3118" w:type="dxa"/>
            <w:gridSpan w:val="2"/>
          </w:tcPr>
          <w:p>
            <w:pPr>
              <w:pStyle w:val="nTable"/>
              <w:spacing w:after="40"/>
              <w:ind w:right="113"/>
              <w:rPr>
                <w:bCs/>
                <w:i/>
                <w:iCs/>
              </w:rPr>
            </w:pPr>
            <w:r>
              <w:rPr>
                <w:bCs/>
                <w:i/>
                <w:iCs/>
              </w:rPr>
              <w:t>Water Agencies Amendment By</w:t>
            </w:r>
            <w:r>
              <w:rPr>
                <w:bCs/>
                <w:i/>
                <w:iCs/>
              </w:rPr>
              <w:noBreakHyphen/>
              <w:t>laws 2007</w:t>
            </w:r>
            <w:r>
              <w:rPr>
                <w:bCs/>
              </w:rPr>
              <w:t xml:space="preserve"> Pt. 3</w:t>
            </w:r>
            <w:r>
              <w:rPr>
                <w:bCs/>
                <w:vertAlign w:val="superscript"/>
              </w:rPr>
              <w:t> 7</w:t>
            </w:r>
          </w:p>
        </w:tc>
        <w:tc>
          <w:tcPr>
            <w:tcW w:w="1278" w:type="dxa"/>
            <w:gridSpan w:val="2"/>
          </w:tcPr>
          <w:p>
            <w:pPr>
              <w:pStyle w:val="nTable"/>
              <w:spacing w:after="40"/>
              <w:ind w:right="113"/>
              <w:rPr>
                <w:bCs/>
              </w:rPr>
            </w:pPr>
            <w:r>
              <w:rPr>
                <w:bCs/>
              </w:rPr>
              <w:t>29 Jun 2007 p. 3233-44</w:t>
            </w:r>
          </w:p>
        </w:tc>
        <w:tc>
          <w:tcPr>
            <w:tcW w:w="2693" w:type="dxa"/>
            <w:gridSpan w:val="2"/>
          </w:tcPr>
          <w:p>
            <w:pPr>
              <w:pStyle w:val="nTable"/>
              <w:spacing w:after="40"/>
              <w:ind w:right="113"/>
              <w:rPr>
                <w:bCs/>
              </w:rPr>
            </w:pPr>
            <w:r>
              <w:rPr>
                <w:bCs/>
              </w:rPr>
              <w:t>1 Jul 2007 (see bl. 2(b))</w:t>
            </w:r>
          </w:p>
        </w:tc>
      </w:tr>
      <w:tr>
        <w:trPr>
          <w:gridBefore w:val="1"/>
          <w:gridAfter w:val="1"/>
          <w:wBefore w:w="28" w:type="dxa"/>
          <w:wAfter w:w="4" w:type="dxa"/>
          <w:cantSplit/>
          <w:trHeight w:val="40"/>
        </w:trPr>
        <w:tc>
          <w:tcPr>
            <w:tcW w:w="3118" w:type="dxa"/>
            <w:gridSpan w:val="2"/>
          </w:tcPr>
          <w:p>
            <w:pPr>
              <w:pStyle w:val="nTable"/>
              <w:spacing w:after="40"/>
              <w:ind w:right="113"/>
              <w:rPr>
                <w:bCs/>
                <w:i/>
                <w:iCs/>
              </w:rPr>
            </w:pPr>
            <w:r>
              <w:rPr>
                <w:i/>
              </w:rPr>
              <w:t>Country Areas Water Supply Amendment By-laws 2008</w:t>
            </w:r>
          </w:p>
        </w:tc>
        <w:tc>
          <w:tcPr>
            <w:tcW w:w="1278" w:type="dxa"/>
            <w:gridSpan w:val="2"/>
          </w:tcPr>
          <w:p>
            <w:pPr>
              <w:pStyle w:val="nTable"/>
              <w:spacing w:after="40"/>
              <w:ind w:right="113"/>
              <w:rPr>
                <w:bCs/>
              </w:rPr>
            </w:pPr>
            <w:r>
              <w:rPr>
                <w:bCs/>
              </w:rPr>
              <w:t>23 May 2008 p. 2006</w:t>
            </w:r>
            <w:r>
              <w:rPr>
                <w:bCs/>
              </w:rPr>
              <w:noBreakHyphen/>
              <w:t>8</w:t>
            </w:r>
          </w:p>
        </w:tc>
        <w:tc>
          <w:tcPr>
            <w:tcW w:w="2693" w:type="dxa"/>
            <w:gridSpan w:val="2"/>
          </w:tcPr>
          <w:p>
            <w:pPr>
              <w:pStyle w:val="nTable"/>
              <w:spacing w:after="40"/>
              <w:ind w:right="113"/>
              <w:rPr>
                <w:bCs/>
              </w:rPr>
            </w:pPr>
            <w:r>
              <w:rPr>
                <w:bCs/>
              </w:rPr>
              <w:t>bl. 1 and 2: 23 May 2008 (see bl. 2(a));</w:t>
            </w:r>
            <w:r>
              <w:rPr>
                <w:bCs/>
              </w:rPr>
              <w:br/>
              <w:t>By-laws other than bl. 1 and 2: 24 May 2008 (see bl. 2(b))</w:t>
            </w:r>
          </w:p>
        </w:tc>
      </w:tr>
      <w:tr>
        <w:trPr>
          <w:gridBefore w:val="1"/>
          <w:gridAfter w:val="1"/>
          <w:wBefore w:w="28" w:type="dxa"/>
          <w:wAfter w:w="4" w:type="dxa"/>
          <w:cantSplit/>
          <w:trHeight w:val="40"/>
        </w:trPr>
        <w:tc>
          <w:tcPr>
            <w:tcW w:w="3118" w:type="dxa"/>
            <w:gridSpan w:val="2"/>
          </w:tcPr>
          <w:p>
            <w:pPr>
              <w:pStyle w:val="nTable"/>
              <w:spacing w:after="40"/>
              <w:ind w:right="113"/>
              <w:rPr>
                <w:bCs/>
                <w:i/>
                <w:iCs/>
              </w:rPr>
            </w:pPr>
            <w:r>
              <w:rPr>
                <w:bCs/>
                <w:i/>
                <w:iCs/>
              </w:rPr>
              <w:t>Water Agencies Amendment By</w:t>
            </w:r>
            <w:r>
              <w:rPr>
                <w:bCs/>
                <w:i/>
                <w:iCs/>
              </w:rPr>
              <w:noBreakHyphen/>
              <w:t>laws 2008</w:t>
            </w:r>
            <w:r>
              <w:rPr>
                <w:bCs/>
              </w:rPr>
              <w:t xml:space="preserve"> Pt. 3</w:t>
            </w:r>
            <w:r>
              <w:rPr>
                <w:bCs/>
                <w:vertAlign w:val="superscript"/>
              </w:rPr>
              <w:t> 8</w:t>
            </w:r>
          </w:p>
        </w:tc>
        <w:tc>
          <w:tcPr>
            <w:tcW w:w="1278" w:type="dxa"/>
            <w:gridSpan w:val="2"/>
          </w:tcPr>
          <w:p>
            <w:pPr>
              <w:pStyle w:val="nTable"/>
              <w:spacing w:after="40"/>
              <w:ind w:right="113"/>
              <w:rPr>
                <w:bCs/>
              </w:rPr>
            </w:pPr>
            <w:r>
              <w:rPr>
                <w:bCs/>
              </w:rPr>
              <w:t>27 Jun 2008 p. 3076</w:t>
            </w:r>
            <w:r>
              <w:rPr>
                <w:bCs/>
              </w:rPr>
              <w:noBreakHyphen/>
              <w:t>84</w:t>
            </w:r>
          </w:p>
        </w:tc>
        <w:tc>
          <w:tcPr>
            <w:tcW w:w="2693" w:type="dxa"/>
            <w:gridSpan w:val="2"/>
          </w:tcPr>
          <w:p>
            <w:pPr>
              <w:pStyle w:val="nTable"/>
              <w:spacing w:after="40"/>
              <w:ind w:right="113"/>
              <w:rPr>
                <w:bCs/>
              </w:rPr>
            </w:pPr>
            <w:r>
              <w:rPr>
                <w:bCs/>
                <w:snapToGrid w:val="0"/>
              </w:rPr>
              <w:t>1 Jul 2008 (see bl. 2(b))</w:t>
            </w:r>
          </w:p>
        </w:tc>
      </w:tr>
      <w:tr>
        <w:trPr>
          <w:gridBefore w:val="1"/>
          <w:gridAfter w:val="1"/>
          <w:wBefore w:w="28" w:type="dxa"/>
          <w:wAfter w:w="4" w:type="dxa"/>
          <w:cantSplit/>
          <w:trHeight w:val="40"/>
        </w:trPr>
        <w:tc>
          <w:tcPr>
            <w:tcW w:w="3118" w:type="dxa"/>
            <w:gridSpan w:val="2"/>
          </w:tcPr>
          <w:p>
            <w:pPr>
              <w:pStyle w:val="nTable"/>
              <w:spacing w:after="40"/>
              <w:ind w:right="113"/>
              <w:rPr>
                <w:bCs/>
                <w:i/>
                <w:iCs/>
              </w:rPr>
            </w:pPr>
            <w:r>
              <w:rPr>
                <w:i/>
              </w:rPr>
              <w:t>Country Areas Water Supply Amendment By-laws (No. 3) 2008</w:t>
            </w:r>
          </w:p>
        </w:tc>
        <w:tc>
          <w:tcPr>
            <w:tcW w:w="1278" w:type="dxa"/>
            <w:gridSpan w:val="2"/>
          </w:tcPr>
          <w:p>
            <w:pPr>
              <w:pStyle w:val="nTable"/>
              <w:spacing w:after="40"/>
              <w:ind w:right="113"/>
              <w:rPr>
                <w:bCs/>
              </w:rPr>
            </w:pPr>
            <w:r>
              <w:rPr>
                <w:bCs/>
              </w:rPr>
              <w:t>26 Aug 2008 p. 4032</w:t>
            </w:r>
          </w:p>
        </w:tc>
        <w:tc>
          <w:tcPr>
            <w:tcW w:w="2693" w:type="dxa"/>
            <w:gridSpan w:val="2"/>
          </w:tcPr>
          <w:p>
            <w:pPr>
              <w:pStyle w:val="nTable"/>
              <w:spacing w:after="40"/>
              <w:ind w:right="113"/>
              <w:rPr>
                <w:bCs/>
                <w:snapToGrid w:val="0"/>
              </w:rPr>
            </w:pPr>
            <w:r>
              <w:rPr>
                <w:bCs/>
              </w:rPr>
              <w:t>bl. 1 and 2: 26 Aug 2008 (see bl. 2(a));</w:t>
            </w:r>
            <w:r>
              <w:rPr>
                <w:bCs/>
              </w:rPr>
              <w:br/>
              <w:t>By-laws other than bl. 1 and 2: 27 Aug 2008 (see bl. 2(b))</w:t>
            </w:r>
          </w:p>
        </w:tc>
      </w:tr>
      <w:tr>
        <w:trPr>
          <w:gridBefore w:val="1"/>
          <w:gridAfter w:val="1"/>
          <w:wBefore w:w="28" w:type="dxa"/>
          <w:wAfter w:w="6" w:type="dxa"/>
          <w:cantSplit/>
          <w:trHeight w:val="40"/>
        </w:trPr>
        <w:tc>
          <w:tcPr>
            <w:tcW w:w="7087" w:type="dxa"/>
            <w:gridSpan w:val="6"/>
          </w:tcPr>
          <w:p>
            <w:pPr>
              <w:pStyle w:val="nTable"/>
              <w:spacing w:after="40"/>
              <w:ind w:right="113"/>
              <w:rPr>
                <w:bCs/>
              </w:rPr>
            </w:pPr>
            <w:r>
              <w:rPr>
                <w:b/>
              </w:rPr>
              <w:t xml:space="preserve">Reprint 4: The </w:t>
            </w:r>
            <w:r>
              <w:rPr>
                <w:b/>
                <w:i/>
              </w:rPr>
              <w:t>Country Areas Water Supply By</w:t>
            </w:r>
            <w:r>
              <w:rPr>
                <w:b/>
                <w:i/>
              </w:rPr>
              <w:noBreakHyphen/>
              <w:t>laws 1957</w:t>
            </w:r>
            <w:r>
              <w:rPr>
                <w:b/>
              </w:rPr>
              <w:t xml:space="preserve"> as at 19 Dec 2008</w:t>
            </w:r>
            <w:r>
              <w:rPr>
                <w:b/>
              </w:rPr>
              <w:br/>
            </w:r>
            <w:r>
              <w:t>(includes amendments listed above)</w:t>
            </w:r>
          </w:p>
        </w:tc>
      </w:tr>
      <w:tr>
        <w:trPr>
          <w:gridBefore w:val="1"/>
          <w:gridAfter w:val="1"/>
          <w:wBefore w:w="28" w:type="dxa"/>
          <w:wAfter w:w="4" w:type="dxa"/>
          <w:cantSplit/>
          <w:trHeight w:val="40"/>
        </w:trPr>
        <w:tc>
          <w:tcPr>
            <w:tcW w:w="3118" w:type="dxa"/>
            <w:gridSpan w:val="2"/>
          </w:tcPr>
          <w:p>
            <w:pPr>
              <w:pStyle w:val="nTable"/>
              <w:spacing w:after="40"/>
              <w:ind w:right="113"/>
              <w:rPr>
                <w:bCs/>
                <w:i/>
                <w:iCs/>
              </w:rPr>
            </w:pPr>
            <w:r>
              <w:rPr>
                <w:bCs/>
                <w:i/>
                <w:iCs/>
              </w:rPr>
              <w:t>Water Agencies Amendment By</w:t>
            </w:r>
            <w:r>
              <w:rPr>
                <w:bCs/>
                <w:i/>
                <w:iCs/>
              </w:rPr>
              <w:noBreakHyphen/>
              <w:t xml:space="preserve">laws 2009 </w:t>
            </w:r>
            <w:r>
              <w:rPr>
                <w:bCs/>
              </w:rPr>
              <w:t>Pt. 3</w:t>
            </w:r>
          </w:p>
        </w:tc>
        <w:tc>
          <w:tcPr>
            <w:tcW w:w="1278" w:type="dxa"/>
            <w:gridSpan w:val="2"/>
          </w:tcPr>
          <w:p>
            <w:pPr>
              <w:pStyle w:val="nTable"/>
              <w:spacing w:after="40"/>
              <w:ind w:right="113"/>
              <w:rPr>
                <w:bCs/>
              </w:rPr>
            </w:pPr>
            <w:r>
              <w:rPr>
                <w:bCs/>
              </w:rPr>
              <w:t>19 Jun 2009 p. 2393-406</w:t>
            </w:r>
          </w:p>
        </w:tc>
        <w:tc>
          <w:tcPr>
            <w:tcW w:w="2693" w:type="dxa"/>
            <w:gridSpan w:val="2"/>
          </w:tcPr>
          <w:p>
            <w:pPr>
              <w:pStyle w:val="nTable"/>
              <w:spacing w:after="40"/>
              <w:ind w:right="113"/>
              <w:rPr>
                <w:bCs/>
                <w:snapToGrid w:val="0"/>
              </w:rPr>
            </w:pPr>
            <w:r>
              <w:rPr>
                <w:bCs/>
                <w:snapToGrid w:val="0"/>
              </w:rPr>
              <w:t>1 Jul 2009 (see bl. 2(b))</w:t>
            </w:r>
          </w:p>
        </w:tc>
      </w:tr>
      <w:tr>
        <w:trPr>
          <w:gridBefore w:val="1"/>
          <w:gridAfter w:val="1"/>
          <w:wBefore w:w="28" w:type="dxa"/>
          <w:wAfter w:w="4" w:type="dxa"/>
          <w:cantSplit/>
          <w:trHeight w:val="40"/>
        </w:trPr>
        <w:tc>
          <w:tcPr>
            <w:tcW w:w="3118" w:type="dxa"/>
            <w:gridSpan w:val="2"/>
          </w:tcPr>
          <w:p>
            <w:pPr>
              <w:pStyle w:val="nTable"/>
              <w:spacing w:after="40"/>
              <w:ind w:right="113"/>
              <w:rPr>
                <w:bCs/>
                <w:i/>
                <w:iCs/>
              </w:rPr>
            </w:pPr>
            <w:r>
              <w:rPr>
                <w:bCs/>
                <w:i/>
                <w:iCs/>
              </w:rPr>
              <w:t>Country Areas Water Supply Amendment By-laws 2010</w:t>
            </w:r>
          </w:p>
        </w:tc>
        <w:tc>
          <w:tcPr>
            <w:tcW w:w="1278" w:type="dxa"/>
            <w:gridSpan w:val="2"/>
          </w:tcPr>
          <w:p>
            <w:pPr>
              <w:pStyle w:val="nTable"/>
              <w:spacing w:after="40"/>
              <w:ind w:right="113"/>
              <w:rPr>
                <w:bCs/>
              </w:rPr>
            </w:pPr>
            <w:r>
              <w:rPr>
                <w:bCs/>
              </w:rPr>
              <w:t>25 Jun 2010 p. 2884</w:t>
            </w:r>
          </w:p>
        </w:tc>
        <w:tc>
          <w:tcPr>
            <w:tcW w:w="2693" w:type="dxa"/>
            <w:gridSpan w:val="2"/>
          </w:tcPr>
          <w:p>
            <w:pPr>
              <w:pStyle w:val="nTable"/>
              <w:spacing w:after="40"/>
              <w:ind w:right="113"/>
              <w:rPr>
                <w:bCs/>
                <w:snapToGrid w:val="0"/>
              </w:rPr>
            </w:pPr>
            <w:r>
              <w:rPr>
                <w:bCs/>
                <w:snapToGrid w:val="0"/>
              </w:rPr>
              <w:t>bl. 1 and 2: 25 Jun 2010 (see bl. 2(a));</w:t>
            </w:r>
            <w:r>
              <w:rPr>
                <w:bCs/>
                <w:snapToGrid w:val="0"/>
              </w:rPr>
              <w:br/>
              <w:t>By-laws other than bl. 1 and 2: 26 Jun 2010 (see bl. 2(b))</w:t>
            </w:r>
          </w:p>
        </w:tc>
      </w:tr>
      <w:tr>
        <w:trPr>
          <w:gridAfter w:val="2"/>
          <w:wAfter w:w="32" w:type="dxa"/>
          <w:cantSplit/>
          <w:trHeight w:val="40"/>
        </w:trPr>
        <w:tc>
          <w:tcPr>
            <w:tcW w:w="3118" w:type="dxa"/>
            <w:gridSpan w:val="2"/>
          </w:tcPr>
          <w:p>
            <w:pPr>
              <w:pStyle w:val="nTable"/>
              <w:spacing w:after="40"/>
              <w:ind w:right="113"/>
              <w:rPr>
                <w:bCs/>
              </w:rPr>
            </w:pPr>
            <w:r>
              <w:rPr>
                <w:bCs/>
                <w:i/>
                <w:iCs/>
              </w:rPr>
              <w:t>Water Agencies Amendment By</w:t>
            </w:r>
            <w:r>
              <w:rPr>
                <w:bCs/>
                <w:i/>
                <w:iCs/>
              </w:rPr>
              <w:noBreakHyphen/>
              <w:t>laws 2010</w:t>
            </w:r>
            <w:r>
              <w:rPr>
                <w:bCs/>
              </w:rPr>
              <w:t xml:space="preserve"> Pt. 3</w:t>
            </w:r>
          </w:p>
        </w:tc>
        <w:tc>
          <w:tcPr>
            <w:tcW w:w="1278" w:type="dxa"/>
            <w:gridSpan w:val="2"/>
          </w:tcPr>
          <w:p>
            <w:pPr>
              <w:pStyle w:val="nTable"/>
              <w:spacing w:after="40"/>
              <w:ind w:right="113"/>
              <w:rPr>
                <w:bCs/>
              </w:rPr>
            </w:pPr>
            <w:r>
              <w:rPr>
                <w:bCs/>
              </w:rPr>
              <w:t>25 Jun 2010 p. 2983-96</w:t>
            </w:r>
          </w:p>
        </w:tc>
        <w:tc>
          <w:tcPr>
            <w:tcW w:w="2693" w:type="dxa"/>
            <w:gridSpan w:val="2"/>
          </w:tcPr>
          <w:p>
            <w:pPr>
              <w:pStyle w:val="nTable"/>
              <w:spacing w:after="40"/>
              <w:ind w:right="113"/>
              <w:rPr>
                <w:bCs/>
                <w:snapToGrid w:val="0"/>
              </w:rPr>
            </w:pPr>
            <w:r>
              <w:rPr>
                <w:bCs/>
                <w:snapToGrid w:val="0"/>
              </w:rPr>
              <w:t>1 Jul 2010 (see bl. 2(b))</w:t>
            </w:r>
          </w:p>
        </w:tc>
      </w:tr>
      <w:tr>
        <w:trPr>
          <w:gridAfter w:val="2"/>
          <w:wAfter w:w="32" w:type="dxa"/>
          <w:cantSplit/>
          <w:trHeight w:val="40"/>
        </w:trPr>
        <w:tc>
          <w:tcPr>
            <w:tcW w:w="3118" w:type="dxa"/>
            <w:gridSpan w:val="2"/>
          </w:tcPr>
          <w:p>
            <w:pPr>
              <w:pStyle w:val="nTable"/>
              <w:spacing w:after="40"/>
              <w:ind w:right="113"/>
              <w:rPr>
                <w:bCs/>
                <w:i/>
                <w:iCs/>
              </w:rPr>
            </w:pPr>
            <w:r>
              <w:rPr>
                <w:bCs/>
                <w:i/>
                <w:iCs/>
              </w:rPr>
              <w:t>Country Areas Water Supply Amendment By-laws 2011</w:t>
            </w:r>
          </w:p>
        </w:tc>
        <w:tc>
          <w:tcPr>
            <w:tcW w:w="1278" w:type="dxa"/>
            <w:gridSpan w:val="2"/>
          </w:tcPr>
          <w:p>
            <w:pPr>
              <w:pStyle w:val="nTable"/>
              <w:spacing w:after="40"/>
              <w:ind w:right="113"/>
              <w:rPr>
                <w:bCs/>
              </w:rPr>
            </w:pPr>
            <w:r>
              <w:rPr>
                <w:bCs/>
              </w:rPr>
              <w:t>21 Apr 2011 p. 1470-2</w:t>
            </w:r>
          </w:p>
        </w:tc>
        <w:tc>
          <w:tcPr>
            <w:tcW w:w="2693" w:type="dxa"/>
            <w:gridSpan w:val="2"/>
          </w:tcPr>
          <w:p>
            <w:pPr>
              <w:pStyle w:val="nTable"/>
              <w:spacing w:after="40"/>
              <w:ind w:right="113"/>
              <w:rPr>
                <w:bCs/>
                <w:snapToGrid w:val="0"/>
              </w:rPr>
            </w:pPr>
            <w:r>
              <w:rPr>
                <w:bCs/>
                <w:snapToGrid w:val="0"/>
              </w:rPr>
              <w:t>bl. 1 and 2: 21 Apr 2011 (see bl. 2(a));</w:t>
            </w:r>
            <w:r>
              <w:rPr>
                <w:bCs/>
                <w:snapToGrid w:val="0"/>
              </w:rPr>
              <w:br/>
              <w:t>By-laws other than bl. 1 and 2: 22 Apr 2011 (see bl. 2(b))</w:t>
            </w:r>
          </w:p>
        </w:tc>
      </w:tr>
      <w:tr>
        <w:trPr>
          <w:gridAfter w:val="2"/>
          <w:wAfter w:w="32" w:type="dxa"/>
          <w:cantSplit/>
          <w:trHeight w:val="40"/>
        </w:trPr>
        <w:tc>
          <w:tcPr>
            <w:tcW w:w="3118" w:type="dxa"/>
            <w:gridSpan w:val="2"/>
            <w:shd w:val="clear" w:color="auto" w:fill="auto"/>
          </w:tcPr>
          <w:p>
            <w:pPr>
              <w:pStyle w:val="nTable"/>
              <w:spacing w:after="40"/>
              <w:ind w:right="113"/>
              <w:rPr>
                <w:bCs/>
                <w:i/>
                <w:iCs/>
              </w:rPr>
            </w:pPr>
            <w:r>
              <w:rPr>
                <w:bCs/>
                <w:i/>
                <w:iCs/>
              </w:rPr>
              <w:t>Water Agencies Amendment By</w:t>
            </w:r>
            <w:r>
              <w:rPr>
                <w:bCs/>
                <w:i/>
                <w:iCs/>
              </w:rPr>
              <w:noBreakHyphen/>
              <w:t>laws 2011</w:t>
            </w:r>
            <w:r>
              <w:rPr>
                <w:bCs/>
              </w:rPr>
              <w:t xml:space="preserve"> Pt. 3</w:t>
            </w:r>
          </w:p>
        </w:tc>
        <w:tc>
          <w:tcPr>
            <w:tcW w:w="1278" w:type="dxa"/>
            <w:gridSpan w:val="2"/>
            <w:shd w:val="clear" w:color="auto" w:fill="auto"/>
          </w:tcPr>
          <w:p>
            <w:pPr>
              <w:pStyle w:val="nTable"/>
              <w:spacing w:after="40"/>
              <w:ind w:right="113"/>
              <w:rPr>
                <w:bCs/>
              </w:rPr>
            </w:pPr>
            <w:r>
              <w:rPr>
                <w:bCs/>
              </w:rPr>
              <w:t>23 Jun 2011 p. 2403-16</w:t>
            </w:r>
          </w:p>
        </w:tc>
        <w:tc>
          <w:tcPr>
            <w:tcW w:w="2693" w:type="dxa"/>
            <w:gridSpan w:val="2"/>
            <w:shd w:val="clear" w:color="auto" w:fill="auto"/>
          </w:tcPr>
          <w:p>
            <w:pPr>
              <w:pStyle w:val="nTable"/>
              <w:spacing w:after="40"/>
              <w:ind w:right="113"/>
              <w:rPr>
                <w:bCs/>
                <w:snapToGrid w:val="0"/>
              </w:rPr>
            </w:pPr>
            <w:r>
              <w:rPr>
                <w:bCs/>
                <w:snapToGrid w:val="0"/>
              </w:rPr>
              <w:t>1 Jul 2011 (see bl. 2(b))</w:t>
            </w:r>
          </w:p>
        </w:tc>
      </w:tr>
      <w:tr>
        <w:trPr>
          <w:gridAfter w:val="2"/>
          <w:wAfter w:w="34" w:type="dxa"/>
          <w:cantSplit/>
          <w:trHeight w:val="40"/>
        </w:trPr>
        <w:tc>
          <w:tcPr>
            <w:tcW w:w="7087" w:type="dxa"/>
            <w:gridSpan w:val="6"/>
            <w:shd w:val="clear" w:color="auto" w:fill="auto"/>
          </w:tcPr>
          <w:p>
            <w:pPr>
              <w:pStyle w:val="nTable"/>
              <w:spacing w:after="40"/>
              <w:ind w:right="113"/>
              <w:rPr>
                <w:bCs/>
                <w:snapToGrid w:val="0"/>
              </w:rPr>
            </w:pPr>
            <w:r>
              <w:rPr>
                <w:b/>
              </w:rPr>
              <w:t xml:space="preserve">Reprint 5: The </w:t>
            </w:r>
            <w:r>
              <w:rPr>
                <w:b/>
                <w:i/>
              </w:rPr>
              <w:t>Country Areas Water Supply By</w:t>
            </w:r>
            <w:r>
              <w:rPr>
                <w:b/>
                <w:i/>
              </w:rPr>
              <w:noBreakHyphen/>
              <w:t>laws 1957</w:t>
            </w:r>
            <w:r>
              <w:rPr>
                <w:b/>
              </w:rPr>
              <w:t xml:space="preserve"> as at 9 Mar 2012</w:t>
            </w:r>
            <w:r>
              <w:rPr>
                <w:b/>
              </w:rPr>
              <w:br/>
            </w:r>
            <w:r>
              <w:t>(includes amendments listed above)</w:t>
            </w:r>
          </w:p>
        </w:tc>
      </w:tr>
      <w:tr>
        <w:trPr>
          <w:gridAfter w:val="2"/>
          <w:wAfter w:w="32" w:type="dxa"/>
          <w:cantSplit/>
          <w:trHeight w:val="40"/>
        </w:trPr>
        <w:tc>
          <w:tcPr>
            <w:tcW w:w="3118" w:type="dxa"/>
            <w:gridSpan w:val="2"/>
            <w:shd w:val="clear" w:color="auto" w:fill="auto"/>
          </w:tcPr>
          <w:p>
            <w:pPr>
              <w:pStyle w:val="nTable"/>
              <w:spacing w:after="40"/>
              <w:ind w:right="113"/>
              <w:rPr>
                <w:bCs/>
                <w:i/>
                <w:iCs/>
              </w:rPr>
            </w:pPr>
            <w:r>
              <w:rPr>
                <w:bCs/>
                <w:i/>
                <w:iCs/>
              </w:rPr>
              <w:t>Water Agencies Amendment By</w:t>
            </w:r>
            <w:r>
              <w:rPr>
                <w:bCs/>
                <w:i/>
                <w:iCs/>
              </w:rPr>
              <w:noBreakHyphen/>
              <w:t>laws 2012</w:t>
            </w:r>
            <w:r>
              <w:rPr>
                <w:bCs/>
                <w:iCs/>
              </w:rPr>
              <w:t xml:space="preserve"> Pt. 3</w:t>
            </w:r>
          </w:p>
        </w:tc>
        <w:tc>
          <w:tcPr>
            <w:tcW w:w="1278" w:type="dxa"/>
            <w:gridSpan w:val="2"/>
            <w:shd w:val="clear" w:color="auto" w:fill="auto"/>
          </w:tcPr>
          <w:p>
            <w:pPr>
              <w:pStyle w:val="nTable"/>
              <w:spacing w:after="40"/>
              <w:ind w:right="113"/>
              <w:rPr>
                <w:bCs/>
              </w:rPr>
            </w:pPr>
            <w:r>
              <w:rPr>
                <w:bCs/>
              </w:rPr>
              <w:t>20 Jun 2012 p. 2677</w:t>
            </w:r>
            <w:r>
              <w:rPr>
                <w:bCs/>
              </w:rPr>
              <w:noBreakHyphen/>
              <w:t>92</w:t>
            </w:r>
          </w:p>
        </w:tc>
        <w:tc>
          <w:tcPr>
            <w:tcW w:w="2693" w:type="dxa"/>
            <w:gridSpan w:val="2"/>
            <w:shd w:val="clear" w:color="auto" w:fill="auto"/>
          </w:tcPr>
          <w:p>
            <w:pPr>
              <w:pStyle w:val="nTable"/>
              <w:spacing w:after="40"/>
              <w:ind w:right="113"/>
              <w:rPr>
                <w:bCs/>
                <w:snapToGrid w:val="0"/>
              </w:rPr>
            </w:pPr>
            <w:r>
              <w:rPr>
                <w:bCs/>
                <w:snapToGrid w:val="0"/>
              </w:rPr>
              <w:t>1 Jul 2012 (see bl. 2(b))</w:t>
            </w:r>
          </w:p>
        </w:tc>
      </w:tr>
      <w:tr>
        <w:trPr>
          <w:gridAfter w:val="2"/>
          <w:wAfter w:w="32" w:type="dxa"/>
          <w:cantSplit/>
          <w:trHeight w:val="40"/>
        </w:trPr>
        <w:tc>
          <w:tcPr>
            <w:tcW w:w="3118" w:type="dxa"/>
            <w:gridSpan w:val="2"/>
            <w:shd w:val="clear" w:color="auto" w:fill="auto"/>
          </w:tcPr>
          <w:p>
            <w:pPr>
              <w:pStyle w:val="nTable"/>
              <w:spacing w:after="40"/>
              <w:ind w:right="113"/>
              <w:rPr>
                <w:bCs/>
                <w:i/>
                <w:iCs/>
              </w:rPr>
            </w:pPr>
            <w:r>
              <w:rPr>
                <w:bCs/>
                <w:i/>
                <w:iCs/>
              </w:rPr>
              <w:t>Water Agencies Amendment By</w:t>
            </w:r>
            <w:r>
              <w:rPr>
                <w:bCs/>
                <w:i/>
                <w:iCs/>
              </w:rPr>
              <w:noBreakHyphen/>
              <w:t>laws 2013</w:t>
            </w:r>
            <w:r>
              <w:rPr>
                <w:bCs/>
                <w:iCs/>
              </w:rPr>
              <w:t xml:space="preserve"> Pt. 3</w:t>
            </w:r>
          </w:p>
        </w:tc>
        <w:tc>
          <w:tcPr>
            <w:tcW w:w="1278" w:type="dxa"/>
            <w:gridSpan w:val="2"/>
            <w:shd w:val="clear" w:color="auto" w:fill="auto"/>
          </w:tcPr>
          <w:p>
            <w:pPr>
              <w:pStyle w:val="nTable"/>
              <w:spacing w:after="40"/>
              <w:ind w:right="113"/>
              <w:rPr>
                <w:rFonts w:ascii="Arial" w:hAnsi="Arial"/>
                <w:b/>
                <w:bCs/>
              </w:rPr>
            </w:pPr>
            <w:r>
              <w:rPr>
                <w:bCs/>
              </w:rPr>
              <w:t>19 Jun 2013 p. 2333</w:t>
            </w:r>
            <w:r>
              <w:rPr>
                <w:bCs/>
              </w:rPr>
              <w:noBreakHyphen/>
              <w:t>46</w:t>
            </w:r>
          </w:p>
        </w:tc>
        <w:tc>
          <w:tcPr>
            <w:tcW w:w="2693" w:type="dxa"/>
            <w:gridSpan w:val="2"/>
            <w:shd w:val="clear" w:color="auto" w:fill="auto"/>
          </w:tcPr>
          <w:p>
            <w:pPr>
              <w:pStyle w:val="nTable"/>
              <w:spacing w:after="40"/>
              <w:ind w:right="113"/>
              <w:rPr>
                <w:rFonts w:ascii="Arial" w:hAnsi="Arial"/>
                <w:b/>
                <w:bCs/>
                <w:snapToGrid w:val="0"/>
              </w:rPr>
            </w:pPr>
            <w:r>
              <w:rPr>
                <w:bCs/>
                <w:snapToGrid w:val="0"/>
              </w:rPr>
              <w:t>1 Jul 2013 (see bl. 2(b))</w:t>
            </w:r>
          </w:p>
        </w:tc>
      </w:tr>
      <w:tr>
        <w:trPr>
          <w:gridAfter w:val="2"/>
          <w:wAfter w:w="32" w:type="dxa"/>
          <w:cantSplit/>
          <w:trHeight w:val="40"/>
        </w:trPr>
        <w:tc>
          <w:tcPr>
            <w:tcW w:w="3118" w:type="dxa"/>
            <w:gridSpan w:val="2"/>
            <w:shd w:val="clear" w:color="auto" w:fill="auto"/>
          </w:tcPr>
          <w:p>
            <w:pPr>
              <w:pStyle w:val="nTable"/>
              <w:spacing w:after="40"/>
              <w:ind w:right="113"/>
              <w:rPr>
                <w:bCs/>
                <w:i/>
                <w:iCs/>
              </w:rPr>
            </w:pPr>
            <w:r>
              <w:rPr>
                <w:bCs/>
                <w:i/>
                <w:iCs/>
              </w:rPr>
              <w:t>Country Areas Water Supply Amendment By</w:t>
            </w:r>
            <w:r>
              <w:rPr>
                <w:bCs/>
                <w:i/>
                <w:iCs/>
              </w:rPr>
              <w:noBreakHyphen/>
              <w:t>laws 2013</w:t>
            </w:r>
          </w:p>
        </w:tc>
        <w:tc>
          <w:tcPr>
            <w:tcW w:w="1278" w:type="dxa"/>
            <w:gridSpan w:val="2"/>
            <w:shd w:val="clear" w:color="auto" w:fill="auto"/>
          </w:tcPr>
          <w:p>
            <w:pPr>
              <w:pStyle w:val="nTable"/>
              <w:spacing w:after="40"/>
              <w:ind w:right="113"/>
              <w:rPr>
                <w:bCs/>
              </w:rPr>
            </w:pPr>
            <w:r>
              <w:rPr>
                <w:bCs/>
              </w:rPr>
              <w:t>14 Nov 2013 p. 5033-5</w:t>
            </w:r>
          </w:p>
        </w:tc>
        <w:tc>
          <w:tcPr>
            <w:tcW w:w="2693" w:type="dxa"/>
            <w:gridSpan w:val="2"/>
            <w:shd w:val="clear" w:color="auto" w:fill="auto"/>
          </w:tcPr>
          <w:p>
            <w:pPr>
              <w:pStyle w:val="nTable"/>
              <w:spacing w:after="40"/>
              <w:ind w:right="113"/>
              <w:rPr>
                <w:bCs/>
                <w:snapToGrid w:val="0"/>
              </w:rPr>
            </w:pPr>
            <w:r>
              <w:rPr>
                <w:bCs/>
                <w:snapToGrid w:val="0"/>
              </w:rPr>
              <w:t>bl. 1 and 2: 14 Nov 2013 (see bl. 2(a));</w:t>
            </w:r>
            <w:r>
              <w:rPr>
                <w:bCs/>
                <w:snapToGrid w:val="0"/>
              </w:rPr>
              <w:br/>
              <w:t xml:space="preserve">By-laws other than bl. 1 and 2: 18 Nov 2013 (see bl. 2(b) and </w:t>
            </w:r>
            <w:r>
              <w:rPr>
                <w:bCs/>
                <w:i/>
                <w:snapToGrid w:val="0"/>
              </w:rPr>
              <w:t>Gazette</w:t>
            </w:r>
            <w:r>
              <w:rPr>
                <w:bCs/>
                <w:snapToGrid w:val="0"/>
              </w:rPr>
              <w:t xml:space="preserve"> 14 Nov 2013 p. 5027)</w:t>
            </w:r>
          </w:p>
        </w:tc>
      </w:tr>
      <w:tr>
        <w:trPr>
          <w:gridAfter w:val="2"/>
          <w:wAfter w:w="32" w:type="dxa"/>
          <w:cantSplit/>
          <w:trHeight w:val="40"/>
        </w:trPr>
        <w:tc>
          <w:tcPr>
            <w:tcW w:w="3118" w:type="dxa"/>
            <w:gridSpan w:val="2"/>
            <w:shd w:val="clear" w:color="auto" w:fill="auto"/>
          </w:tcPr>
          <w:p>
            <w:pPr>
              <w:pStyle w:val="nTable"/>
              <w:spacing w:after="40"/>
              <w:ind w:right="113"/>
              <w:rPr>
                <w:bCs/>
                <w:i/>
                <w:iCs/>
              </w:rPr>
            </w:pPr>
            <w:r>
              <w:rPr>
                <w:bCs/>
                <w:i/>
                <w:iCs/>
              </w:rPr>
              <w:t>Country Areas Water Supply Amendment By</w:t>
            </w:r>
            <w:r>
              <w:rPr>
                <w:bCs/>
                <w:i/>
                <w:iCs/>
              </w:rPr>
              <w:noBreakHyphen/>
              <w:t>laws (No. 2) 2013</w:t>
            </w:r>
          </w:p>
        </w:tc>
        <w:tc>
          <w:tcPr>
            <w:tcW w:w="1278" w:type="dxa"/>
            <w:gridSpan w:val="2"/>
            <w:shd w:val="clear" w:color="auto" w:fill="auto"/>
          </w:tcPr>
          <w:p>
            <w:pPr>
              <w:pStyle w:val="nTable"/>
              <w:spacing w:after="40"/>
              <w:ind w:right="113"/>
              <w:rPr>
                <w:bCs/>
              </w:rPr>
            </w:pPr>
            <w:r>
              <w:rPr>
                <w:bCs/>
              </w:rPr>
              <w:t>15 Nov 2013 p. 5267-9</w:t>
            </w:r>
          </w:p>
        </w:tc>
        <w:tc>
          <w:tcPr>
            <w:tcW w:w="2693" w:type="dxa"/>
            <w:gridSpan w:val="2"/>
            <w:shd w:val="clear" w:color="auto" w:fill="auto"/>
          </w:tcPr>
          <w:p>
            <w:pPr>
              <w:pStyle w:val="nTable"/>
              <w:spacing w:after="40"/>
              <w:ind w:right="113"/>
              <w:rPr>
                <w:bCs/>
                <w:snapToGrid w:val="0"/>
              </w:rPr>
            </w:pPr>
            <w:r>
              <w:rPr>
                <w:bCs/>
                <w:snapToGrid w:val="0"/>
              </w:rPr>
              <w:t>bl. 1 and 2: 15 Nov 2013 (see bl. 2(a));</w:t>
            </w:r>
            <w:r>
              <w:rPr>
                <w:bCs/>
                <w:snapToGrid w:val="0"/>
              </w:rPr>
              <w:br/>
              <w:t>By-laws other than bl. 1 and 2: 16 Nov 2013 (see bl. 2(b))</w:t>
            </w:r>
          </w:p>
        </w:tc>
      </w:tr>
      <w:tr>
        <w:trPr>
          <w:gridAfter w:val="2"/>
          <w:wAfter w:w="32" w:type="dxa"/>
          <w:cantSplit/>
          <w:trHeight w:val="40"/>
        </w:trPr>
        <w:tc>
          <w:tcPr>
            <w:tcW w:w="3118" w:type="dxa"/>
            <w:gridSpan w:val="2"/>
            <w:shd w:val="clear" w:color="auto" w:fill="auto"/>
          </w:tcPr>
          <w:p>
            <w:pPr>
              <w:pStyle w:val="nTable"/>
              <w:spacing w:after="40"/>
              <w:ind w:right="113"/>
              <w:rPr>
                <w:bCs/>
                <w:i/>
                <w:iCs/>
              </w:rPr>
            </w:pPr>
            <w:r>
              <w:rPr>
                <w:bCs/>
                <w:i/>
                <w:iCs/>
              </w:rPr>
              <w:t>Country Areas Water Supply Amendment By</w:t>
            </w:r>
            <w:r>
              <w:rPr>
                <w:bCs/>
                <w:i/>
                <w:iCs/>
              </w:rPr>
              <w:noBreakHyphen/>
              <w:t>laws 2015</w:t>
            </w:r>
          </w:p>
        </w:tc>
        <w:tc>
          <w:tcPr>
            <w:tcW w:w="1278" w:type="dxa"/>
            <w:gridSpan w:val="2"/>
            <w:shd w:val="clear" w:color="auto" w:fill="auto"/>
          </w:tcPr>
          <w:p>
            <w:pPr>
              <w:pStyle w:val="nTable"/>
              <w:spacing w:after="40"/>
              <w:ind w:right="113"/>
              <w:rPr>
                <w:bCs/>
              </w:rPr>
            </w:pPr>
            <w:r>
              <w:rPr>
                <w:bCs/>
              </w:rPr>
              <w:t>8 May 2015 p. 1622</w:t>
            </w:r>
          </w:p>
        </w:tc>
        <w:tc>
          <w:tcPr>
            <w:tcW w:w="2693" w:type="dxa"/>
            <w:gridSpan w:val="2"/>
            <w:shd w:val="clear" w:color="auto" w:fill="auto"/>
          </w:tcPr>
          <w:p>
            <w:pPr>
              <w:pStyle w:val="nTable"/>
              <w:spacing w:after="40"/>
              <w:ind w:right="113"/>
              <w:rPr>
                <w:bCs/>
                <w:snapToGrid w:val="0"/>
              </w:rPr>
            </w:pPr>
            <w:r>
              <w:rPr>
                <w:bCs/>
                <w:snapToGrid w:val="0"/>
              </w:rPr>
              <w:t>bl. 1 and 2: 8 May 2015 (see bl. 2(a));</w:t>
            </w:r>
            <w:r>
              <w:rPr>
                <w:bCs/>
                <w:snapToGrid w:val="0"/>
              </w:rPr>
              <w:br/>
              <w:t>By-laws other than bl. 1 and 2: 9 May 2015 (see bl. 2(b))</w:t>
            </w:r>
          </w:p>
        </w:tc>
      </w:tr>
      <w:tr>
        <w:trPr>
          <w:gridAfter w:val="2"/>
          <w:wAfter w:w="32" w:type="dxa"/>
          <w:cantSplit/>
          <w:trHeight w:val="40"/>
        </w:trPr>
        <w:tc>
          <w:tcPr>
            <w:tcW w:w="3118" w:type="dxa"/>
            <w:gridSpan w:val="2"/>
            <w:shd w:val="clear" w:color="auto" w:fill="auto"/>
          </w:tcPr>
          <w:p>
            <w:pPr>
              <w:pStyle w:val="nTable"/>
              <w:spacing w:after="40"/>
              <w:ind w:right="113"/>
              <w:rPr>
                <w:bCs/>
                <w:i/>
                <w:iCs/>
              </w:rPr>
            </w:pPr>
            <w:r>
              <w:rPr>
                <w:i/>
              </w:rPr>
              <w:t>Country Areas Water Supply Amendment By</w:t>
            </w:r>
            <w:r>
              <w:rPr>
                <w:i/>
              </w:rPr>
              <w:noBreakHyphen/>
              <w:t>laws 2016</w:t>
            </w:r>
          </w:p>
        </w:tc>
        <w:tc>
          <w:tcPr>
            <w:tcW w:w="1278" w:type="dxa"/>
            <w:gridSpan w:val="2"/>
            <w:shd w:val="clear" w:color="auto" w:fill="auto"/>
          </w:tcPr>
          <w:p>
            <w:pPr>
              <w:pStyle w:val="nTable"/>
              <w:spacing w:after="40"/>
              <w:ind w:right="113"/>
              <w:rPr>
                <w:bCs/>
              </w:rPr>
            </w:pPr>
            <w:r>
              <w:rPr>
                <w:bCs/>
              </w:rPr>
              <w:t>7 Jun 2016 p. 1777</w:t>
            </w:r>
            <w:r>
              <w:rPr>
                <w:bCs/>
              </w:rPr>
              <w:noBreakHyphen/>
              <w:t>81</w:t>
            </w:r>
          </w:p>
        </w:tc>
        <w:tc>
          <w:tcPr>
            <w:tcW w:w="2693" w:type="dxa"/>
            <w:gridSpan w:val="2"/>
            <w:shd w:val="clear" w:color="auto" w:fill="auto"/>
          </w:tcPr>
          <w:p>
            <w:pPr>
              <w:pStyle w:val="nTable"/>
              <w:spacing w:after="40"/>
              <w:ind w:right="113"/>
              <w:rPr>
                <w:bCs/>
                <w:snapToGrid w:val="0"/>
              </w:rPr>
            </w:pPr>
            <w:r>
              <w:rPr>
                <w:bCs/>
                <w:snapToGrid w:val="0"/>
              </w:rPr>
              <w:t>bl. 1 and 2: 7 Jun 2016 (see bl. 2(a));</w:t>
            </w:r>
            <w:r>
              <w:rPr>
                <w:bCs/>
                <w:snapToGrid w:val="0"/>
              </w:rPr>
              <w:br/>
              <w:t>By-laws other than bl. 1 and 2: 8 Jun 2016 (see bl. 2(b))</w:t>
            </w:r>
          </w:p>
        </w:tc>
      </w:tr>
      <w:tr>
        <w:trPr>
          <w:gridAfter w:val="2"/>
          <w:wAfter w:w="32" w:type="dxa"/>
          <w:cantSplit/>
          <w:trHeight w:val="40"/>
        </w:trPr>
        <w:tc>
          <w:tcPr>
            <w:tcW w:w="3118" w:type="dxa"/>
            <w:gridSpan w:val="2"/>
            <w:shd w:val="clear" w:color="auto" w:fill="auto"/>
          </w:tcPr>
          <w:p>
            <w:pPr>
              <w:pStyle w:val="nTable"/>
              <w:spacing w:after="40"/>
              <w:ind w:right="113"/>
              <w:rPr>
                <w:i/>
              </w:rPr>
            </w:pPr>
            <w:r>
              <w:rPr>
                <w:i/>
              </w:rPr>
              <w:t>Water By</w:t>
            </w:r>
            <w:r>
              <w:rPr>
                <w:i/>
              </w:rPr>
              <w:noBreakHyphen/>
              <w:t>laws Amendment (Public Health) By</w:t>
            </w:r>
            <w:r>
              <w:rPr>
                <w:i/>
              </w:rPr>
              <w:noBreakHyphen/>
              <w:t xml:space="preserve">laws 2016 </w:t>
            </w:r>
            <w:r>
              <w:t>Pt. 2</w:t>
            </w:r>
          </w:p>
        </w:tc>
        <w:tc>
          <w:tcPr>
            <w:tcW w:w="1278" w:type="dxa"/>
            <w:gridSpan w:val="2"/>
            <w:shd w:val="clear" w:color="auto" w:fill="auto"/>
          </w:tcPr>
          <w:p>
            <w:pPr>
              <w:pStyle w:val="nTable"/>
              <w:spacing w:after="40"/>
              <w:ind w:right="113"/>
              <w:rPr>
                <w:bCs/>
              </w:rPr>
            </w:pPr>
            <w:r>
              <w:t>10 Jan 2017 p. 233-5</w:t>
            </w:r>
          </w:p>
        </w:tc>
        <w:tc>
          <w:tcPr>
            <w:tcW w:w="2693" w:type="dxa"/>
            <w:gridSpan w:val="2"/>
            <w:shd w:val="clear" w:color="auto" w:fill="auto"/>
          </w:tcPr>
          <w:p>
            <w:pPr>
              <w:pStyle w:val="nTable"/>
              <w:spacing w:after="40"/>
              <w:ind w:right="113"/>
              <w:rPr>
                <w:bCs/>
                <w:snapToGrid w:val="0"/>
              </w:rPr>
            </w:pPr>
            <w:r>
              <w:t xml:space="preserve">24 Jan 2017 (see bl. 2(b) and </w:t>
            </w:r>
            <w:r>
              <w:rPr>
                <w:i/>
              </w:rPr>
              <w:t>Gazette</w:t>
            </w:r>
            <w:r>
              <w:t xml:space="preserve"> 10 Jan 2017 p. 165)</w:t>
            </w:r>
          </w:p>
        </w:tc>
      </w:tr>
      <w:tr>
        <w:trPr>
          <w:gridAfter w:val="2"/>
          <w:wAfter w:w="34" w:type="dxa"/>
          <w:cantSplit/>
          <w:trHeight w:val="40"/>
        </w:trPr>
        <w:tc>
          <w:tcPr>
            <w:tcW w:w="7087" w:type="dxa"/>
            <w:gridSpan w:val="6"/>
            <w:tcBorders>
              <w:bottom w:val="single" w:sz="8" w:space="0" w:color="auto"/>
            </w:tcBorders>
            <w:shd w:val="clear" w:color="auto" w:fill="auto"/>
          </w:tcPr>
          <w:p>
            <w:pPr>
              <w:pStyle w:val="nTable"/>
              <w:spacing w:after="40"/>
              <w:ind w:right="113"/>
            </w:pPr>
            <w:r>
              <w:rPr>
                <w:b/>
              </w:rPr>
              <w:t xml:space="preserve">Reprint 6: The </w:t>
            </w:r>
            <w:r>
              <w:rPr>
                <w:b/>
                <w:i/>
                <w:noProof/>
              </w:rPr>
              <w:t>Country Areas Water Supply By-laws 1957</w:t>
            </w:r>
            <w:r>
              <w:rPr>
                <w:b/>
              </w:rPr>
              <w:t xml:space="preserve"> as at 19 May 2017</w:t>
            </w:r>
            <w:r>
              <w:t xml:space="preserve"> (includes amendments listed above)</w:t>
            </w:r>
          </w:p>
        </w:tc>
      </w:tr>
    </w:tbl>
    <w:p>
      <w:pPr>
        <w:pStyle w:val="nSubsection"/>
        <w:rPr>
          <w:snapToGrid w:val="0"/>
        </w:rPr>
      </w:pPr>
      <w:r>
        <w:rPr>
          <w:snapToGrid w:val="0"/>
          <w:vertAlign w:val="superscript"/>
        </w:rPr>
        <w:t>2</w:t>
      </w:r>
      <w:r>
        <w:rPr>
          <w:snapToGrid w:val="0"/>
        </w:rPr>
        <w:tab/>
        <w:t xml:space="preserve">These by-laws have effect for the purposes of the </w:t>
      </w:r>
      <w:r>
        <w:rPr>
          <w:i/>
          <w:iCs/>
          <w:snapToGrid w:val="0"/>
        </w:rPr>
        <w:t>Country Areas Water Supply Act 1947</w:t>
      </w:r>
      <w:r>
        <w:rPr>
          <w:snapToGrid w:val="0"/>
        </w:rPr>
        <w:t xml:space="preserve"> but the formal power to make them is now given by the </w:t>
      </w:r>
      <w:r>
        <w:rPr>
          <w:i/>
          <w:snapToGrid w:val="0"/>
        </w:rPr>
        <w:t>Water Agencies (Powers) Act 1984</w:t>
      </w:r>
      <w:r>
        <w:rPr>
          <w:snapToGrid w:val="0"/>
        </w:rPr>
        <w:t xml:space="preserve"> s. 34.</w:t>
      </w:r>
    </w:p>
    <w:p>
      <w:pPr>
        <w:pStyle w:val="nSubsection"/>
        <w:ind w:left="450" w:hanging="450"/>
        <w:rPr>
          <w:i/>
          <w:snapToGrid w:val="0"/>
        </w:rPr>
      </w:pPr>
      <w:r>
        <w:rPr>
          <w:snapToGrid w:val="0"/>
          <w:vertAlign w:val="superscript"/>
        </w:rPr>
        <w:t>3</w:t>
      </w:r>
      <w:r>
        <w:rPr>
          <w:snapToGrid w:val="0"/>
        </w:rPr>
        <w:tab/>
        <w:t xml:space="preserve">Repealed by the </w:t>
      </w:r>
      <w:r>
        <w:rPr>
          <w:i/>
          <w:snapToGrid w:val="0"/>
        </w:rPr>
        <w:t>Liquor Act 1970</w:t>
      </w:r>
      <w:r>
        <w:rPr>
          <w:iCs/>
          <w:snapToGrid w:val="0"/>
        </w:rPr>
        <w:t>,</w:t>
      </w:r>
      <w:r>
        <w:rPr>
          <w:snapToGrid w:val="0"/>
        </w:rPr>
        <w:t xml:space="preserve"> which was repealed by the </w:t>
      </w:r>
      <w:r>
        <w:rPr>
          <w:i/>
          <w:snapToGrid w:val="0"/>
        </w:rPr>
        <w:t>Liquor Licensing Act 1988</w:t>
      </w:r>
      <w:r>
        <w:rPr>
          <w:snapToGrid w:val="0"/>
        </w:rPr>
        <w:t>,</w:t>
      </w:r>
      <w:r>
        <w:rPr>
          <w:iCs/>
          <w:snapToGrid w:val="0"/>
        </w:rPr>
        <w:t xml:space="preserve"> which is now known as the </w:t>
      </w:r>
      <w:r>
        <w:rPr>
          <w:i/>
          <w:snapToGrid w:val="0"/>
        </w:rPr>
        <w:t>Liquor Control Act 1988.</w:t>
      </w:r>
    </w:p>
    <w:p>
      <w:pPr>
        <w:pStyle w:val="nSubsection"/>
        <w:ind w:left="450" w:hanging="450"/>
        <w:rPr>
          <w:snapToGrid w:val="0"/>
        </w:rPr>
      </w:pPr>
      <w:r>
        <w:rPr>
          <w:snapToGrid w:val="0"/>
          <w:vertAlign w:val="superscript"/>
        </w:rPr>
        <w:t>4</w:t>
      </w:r>
      <w:r>
        <w:rPr>
          <w:snapToGrid w:val="0"/>
        </w:rPr>
        <w:tab/>
        <w:t xml:space="preserve">Repealed by the </w:t>
      </w:r>
      <w:r>
        <w:rPr>
          <w:i/>
          <w:snapToGrid w:val="0"/>
        </w:rPr>
        <w:t>Factories and Shops Act 1963</w:t>
      </w:r>
      <w:r>
        <w:rPr>
          <w:iCs/>
          <w:snapToGrid w:val="0"/>
        </w:rPr>
        <w:t>,</w:t>
      </w:r>
      <w:r>
        <w:rPr>
          <w:i/>
          <w:snapToGrid w:val="0"/>
        </w:rPr>
        <w:t xml:space="preserve"> </w:t>
      </w:r>
      <w:r>
        <w:rPr>
          <w:snapToGrid w:val="0"/>
        </w:rPr>
        <w:t xml:space="preserve">which was repealed by the </w:t>
      </w:r>
      <w:r>
        <w:rPr>
          <w:i/>
        </w:rPr>
        <w:t>Industrial Relations Legislation Amendment and Repeal Act 1995</w:t>
      </w:r>
      <w:r>
        <w:rPr>
          <w:snapToGrid w:val="0"/>
        </w:rPr>
        <w:t>.</w:t>
      </w:r>
    </w:p>
    <w:p>
      <w:pPr>
        <w:pStyle w:val="nSubsection"/>
        <w:ind w:left="450" w:hanging="450"/>
        <w:rPr>
          <w:snapToGrid w:val="0"/>
        </w:rPr>
      </w:pPr>
      <w:r>
        <w:rPr>
          <w:snapToGrid w:val="0"/>
          <w:vertAlign w:val="superscript"/>
        </w:rPr>
        <w:t>5</w:t>
      </w:r>
      <w:r>
        <w:rPr>
          <w:snapToGrid w:val="0"/>
        </w:rPr>
        <w:tab/>
        <w:t>These by</w:t>
      </w:r>
      <w:r>
        <w:rPr>
          <w:snapToGrid w:val="0"/>
        </w:rPr>
        <w:noBreakHyphen/>
        <w:t xml:space="preserve">laws included headings immediately before various by-laws.  Those headings were progressively deleted in </w:t>
      </w:r>
      <w:r>
        <w:rPr>
          <w:i/>
          <w:snapToGrid w:val="0"/>
        </w:rPr>
        <w:t>Gazette</w:t>
      </w:r>
      <w:r>
        <w:rPr>
          <w:snapToGrid w:val="0"/>
        </w:rPr>
        <w:t xml:space="preserve"> 22 Dec 1964 p. 4070-72, 16 Jun 2000 p. 2962 and 29 May 2001 p. 2708.</w:t>
      </w:r>
    </w:p>
    <w:p>
      <w:pPr>
        <w:pStyle w:val="nSubsection"/>
        <w:rPr>
          <w:snapToGrid w:val="0"/>
        </w:rPr>
      </w:pPr>
      <w:r>
        <w:rPr>
          <w:snapToGrid w:val="0"/>
          <w:vertAlign w:val="superscript"/>
        </w:rPr>
        <w:t>6</w:t>
      </w:r>
      <w:r>
        <w:rPr>
          <w:snapToGrid w:val="0"/>
          <w:vertAlign w:val="superscript"/>
        </w:rPr>
        <w:tab/>
      </w:r>
      <w:r>
        <w:rPr>
          <w:snapToGrid w:val="0"/>
        </w:rPr>
        <w:t xml:space="preserve">Now known as the </w:t>
      </w:r>
      <w:r>
        <w:rPr>
          <w:i/>
        </w:rPr>
        <w:t>Country Areas Water Supply By</w:t>
      </w:r>
      <w:r>
        <w:rPr>
          <w:i/>
        </w:rPr>
        <w:noBreakHyphen/>
        <w:t>laws 1957</w:t>
      </w:r>
      <w:r>
        <w:rPr>
          <w:snapToGrid w:val="0"/>
        </w:rPr>
        <w:t>; citation changed (see note under bl. 1).</w:t>
      </w:r>
    </w:p>
    <w:p>
      <w:pPr>
        <w:pStyle w:val="nSubsection"/>
        <w:rPr>
          <w:snapToGrid w:val="0"/>
        </w:rPr>
      </w:pPr>
      <w:r>
        <w:rPr>
          <w:snapToGrid w:val="0"/>
          <w:vertAlign w:val="superscript"/>
        </w:rPr>
        <w:t>7</w:t>
      </w:r>
      <w:r>
        <w:rPr>
          <w:snapToGrid w:val="0"/>
        </w:rPr>
        <w:tab/>
        <w:t>These by-laws contain an application provision concerning fees and charges for a period commencing before, or for a matter or thing done before, the by-laws came into operation.</w:t>
      </w:r>
    </w:p>
    <w:p>
      <w:pPr>
        <w:pStyle w:val="nSubsection"/>
        <w:keepNext/>
        <w:keepLines/>
        <w:rPr>
          <w:snapToGrid w:val="0"/>
        </w:rPr>
      </w:pPr>
      <w:r>
        <w:rPr>
          <w:snapToGrid w:val="0"/>
          <w:vertAlign w:val="superscript"/>
        </w:rPr>
        <w:t>8</w:t>
      </w:r>
      <w:r>
        <w:rPr>
          <w:snapToGrid w:val="0"/>
        </w:rPr>
        <w:tab/>
        <w:t xml:space="preserve">The </w:t>
      </w:r>
      <w:r>
        <w:rPr>
          <w:i/>
          <w:snapToGrid w:val="0"/>
        </w:rPr>
        <w:t>Water Agencies Amendment By</w:t>
      </w:r>
      <w:r>
        <w:rPr>
          <w:i/>
          <w:snapToGrid w:val="0"/>
        </w:rPr>
        <w:noBreakHyphen/>
        <w:t xml:space="preserve">laws 2008 </w:t>
      </w:r>
      <w:r>
        <w:rPr>
          <w:snapToGrid w:val="0"/>
        </w:rPr>
        <w:t>bl. 3 reads as follows:</w:t>
      </w:r>
    </w:p>
    <w:p>
      <w:pPr>
        <w:pStyle w:val="BlankOpen"/>
        <w:rPr>
          <w:snapToGrid w:val="0"/>
        </w:rPr>
      </w:pPr>
    </w:p>
    <w:p>
      <w:pPr>
        <w:pStyle w:val="nzHeading5"/>
        <w:rPr>
          <w:snapToGrid w:val="0"/>
        </w:rPr>
      </w:pPr>
      <w:r>
        <w:rPr>
          <w:rStyle w:val="CharSectno"/>
        </w:rPr>
        <w:t>3</w:t>
      </w:r>
      <w:r>
        <w:rPr>
          <w:snapToGrid w:val="0"/>
        </w:rPr>
        <w:t>.</w:t>
      </w:r>
      <w:r>
        <w:rPr>
          <w:snapToGrid w:val="0"/>
        </w:rPr>
        <w:tab/>
        <w:t>Application</w:t>
      </w:r>
    </w:p>
    <w:p>
      <w:pPr>
        <w:pStyle w:val="nzSubsection"/>
        <w:keepNext/>
        <w:keepLines/>
      </w:pPr>
      <w:r>
        <w:tab/>
      </w:r>
      <w:r>
        <w:tab/>
        <w:t>Nothing in these by</w:t>
      </w:r>
      <w:r>
        <w:noBreakHyphen/>
        <w:t>laws affects the application after 1 July 2008 of a by</w:t>
      </w:r>
      <w:r>
        <w:noBreakHyphen/>
        <w:t>law in force before that day insofar as that by</w:t>
      </w:r>
      <w:r>
        <w:noBreakHyphen/>
        <w:t>law relates to a fee or charge for a period commencing before that day or to a fee or charge for any matter or thing done before that day.</w:t>
      </w:r>
    </w:p>
    <w:p>
      <w:pPr>
        <w:pStyle w:val="BlankClose"/>
      </w:pPr>
    </w:p>
    <w:p>
      <w:pPr>
        <w:rPr>
          <w:b/>
          <w:bCs/>
        </w:rPr>
      </w:pPr>
    </w:p>
    <w:p>
      <w:pPr>
        <w:rPr>
          <w:b/>
          <w:bCs/>
        </w:rPr>
        <w:sectPr>
          <w:headerReference w:type="even" r:id="rId32"/>
          <w:headerReference w:type="default" r:id="rId33"/>
          <w:headerReference w:type="first" r:id="rId34"/>
          <w:pgSz w:w="11907" w:h="16840" w:code="9"/>
          <w:pgMar w:top="2376" w:right="2404" w:bottom="3544" w:left="2404" w:header="720" w:footer="3380" w:gutter="0"/>
          <w:cols w:space="720"/>
          <w:noEndnote/>
          <w:docGrid w:linePitch="326"/>
        </w:sectPr>
      </w:pPr>
    </w:p>
    <w:p>
      <w:pPr>
        <w:pStyle w:val="nHeading2"/>
        <w:rPr>
          <w:sz w:val="28"/>
        </w:rPr>
      </w:pPr>
      <w:bookmarkStart w:id="86" w:name="_Toc478720789"/>
      <w:bookmarkStart w:id="87" w:name="_Toc483215349"/>
      <w:bookmarkStart w:id="88" w:name="_Toc483383700"/>
      <w:bookmarkStart w:id="89" w:name="_Toc483476869"/>
      <w:r>
        <w:rPr>
          <w:sz w:val="28"/>
        </w:rPr>
        <w:t>Defined terms</w:t>
      </w:r>
      <w:bookmarkEnd w:id="86"/>
      <w:bookmarkEnd w:id="87"/>
      <w:bookmarkEnd w:id="88"/>
      <w:bookmarkEnd w:id="89"/>
    </w:p>
    <w:p>
      <w:pPr>
        <w:ind w:left="850" w:right="850"/>
        <w:jc w:val="center"/>
        <w:rPr>
          <w:i/>
          <w:sz w:val="18"/>
        </w:rPr>
      </w:pPr>
    </w:p>
    <w:p>
      <w:pPr>
        <w:ind w:left="850" w:right="850"/>
        <w:jc w:val="center"/>
        <w:rPr>
          <w:i/>
          <w:sz w:val="18"/>
        </w:rPr>
      </w:pPr>
      <w:r>
        <w:rPr>
          <w:i/>
          <w:sz w:val="18"/>
        </w:rPr>
        <w:t>[This is a list of terms defined and the provisions where they are defined.  The list is not part of the law.]</w:t>
      </w:r>
    </w:p>
    <w:p>
      <w:pPr>
        <w:pBdr>
          <w:bottom w:val="single" w:sz="4" w:space="1" w:color="auto"/>
        </w:pBdr>
        <w:tabs>
          <w:tab w:val="right" w:pos="7070"/>
        </w:tabs>
        <w:ind w:left="578"/>
        <w:rPr>
          <w:b/>
          <w:sz w:val="20"/>
        </w:rPr>
      </w:pPr>
      <w:r>
        <w:rPr>
          <w:b/>
          <w:sz w:val="20"/>
        </w:rPr>
        <w:t>Defined term</w:t>
      </w:r>
      <w:r>
        <w:rPr>
          <w:b/>
          <w:sz w:val="20"/>
        </w:rPr>
        <w:tab/>
        <w:t>Provision(s)</w:t>
      </w:r>
    </w:p>
    <w:p>
      <w:pPr>
        <w:pStyle w:val="DefinedTerms"/>
      </w:pPr>
      <w:r>
        <w:t>Aboriginal customary purpose</w:t>
      </w:r>
      <w:r>
        <w:tab/>
        <w:t>1A(1)</w:t>
      </w:r>
    </w:p>
    <w:p>
      <w:pPr>
        <w:pStyle w:val="DefinedTerms"/>
      </w:pPr>
      <w:r>
        <w:t>cesspool</w:t>
      </w:r>
      <w:r>
        <w:tab/>
        <w:t>1A(3)</w:t>
      </w:r>
    </w:p>
    <w:p>
      <w:pPr>
        <w:pStyle w:val="DefinedTerms"/>
      </w:pPr>
      <w:r>
        <w:t>coordinates</w:t>
      </w:r>
      <w:r>
        <w:tab/>
        <w:t>1(4)</w:t>
      </w:r>
    </w:p>
    <w:p>
      <w:pPr>
        <w:pStyle w:val="DefinedTerms"/>
      </w:pPr>
      <w:r>
        <w:t>drain</w:t>
      </w:r>
      <w:r>
        <w:tab/>
        <w:t>1A(3)</w:t>
      </w:r>
    </w:p>
    <w:p>
      <w:pPr>
        <w:pStyle w:val="DefinedTerms"/>
      </w:pPr>
      <w:r>
        <w:t>feeder</w:t>
      </w:r>
      <w:r>
        <w:tab/>
        <w:t>1A(1)</w:t>
      </w:r>
    </w:p>
    <w:p>
      <w:pPr>
        <w:pStyle w:val="DefinedTerms"/>
      </w:pPr>
      <w:r>
        <w:t>hand</w:t>
      </w:r>
      <w:r>
        <w:noBreakHyphen/>
        <w:t>held tool</w:t>
      </w:r>
      <w:r>
        <w:tab/>
        <w:t>35(1)</w:t>
      </w:r>
    </w:p>
    <w:p>
      <w:pPr>
        <w:pStyle w:val="DefinedTerms"/>
      </w:pPr>
      <w:r>
        <w:t>house</w:t>
      </w:r>
      <w:r>
        <w:tab/>
        <w:t>1A(3)</w:t>
      </w:r>
    </w:p>
    <w:p>
      <w:pPr>
        <w:pStyle w:val="DefinedTerms"/>
      </w:pPr>
      <w:r>
        <w:t>inspector</w:t>
      </w:r>
      <w:r>
        <w:tab/>
        <w:t>1A(1)</w:t>
      </w:r>
    </w:p>
    <w:p>
      <w:pPr>
        <w:pStyle w:val="DefinedTerms"/>
      </w:pPr>
      <w:r>
        <w:t>land</w:t>
      </w:r>
      <w:r>
        <w:tab/>
        <w:t>1A(3)</w:t>
      </w:r>
    </w:p>
    <w:p>
      <w:pPr>
        <w:pStyle w:val="DefinedTerms"/>
      </w:pPr>
      <w:r>
        <w:t>liquid waste</w:t>
      </w:r>
      <w:r>
        <w:tab/>
        <w:t>1A(1)</w:t>
      </w:r>
    </w:p>
    <w:p>
      <w:pPr>
        <w:pStyle w:val="DefinedTerms"/>
      </w:pPr>
      <w:r>
        <w:t>Noongar people</w:t>
      </w:r>
      <w:r>
        <w:tab/>
        <w:t>1A(1)</w:t>
      </w:r>
    </w:p>
    <w:p>
      <w:pPr>
        <w:pStyle w:val="DefinedTerms"/>
      </w:pPr>
      <w:r>
        <w:t>owner</w:t>
      </w:r>
      <w:r>
        <w:tab/>
        <w:t>1A(3)</w:t>
      </w:r>
    </w:p>
    <w:p>
      <w:pPr>
        <w:pStyle w:val="DefinedTerms"/>
      </w:pPr>
      <w:r>
        <w:t>principal Act</w:t>
      </w:r>
      <w:r>
        <w:tab/>
        <w:t>1A(1)</w:t>
      </w:r>
    </w:p>
    <w:p>
      <w:pPr>
        <w:pStyle w:val="DefinedTerms"/>
      </w:pPr>
      <w:r>
        <w:t>South West Settlement Area</w:t>
      </w:r>
      <w:r>
        <w:tab/>
        <w:t>1A(1)</w:t>
      </w:r>
    </w:p>
    <w:p>
      <w:pPr>
        <w:pStyle w:val="DefinedTerms"/>
      </w:pPr>
      <w:r>
        <w:t>special provision catchment area</w:t>
      </w:r>
      <w:r>
        <w:tab/>
        <w:t>1A(1)</w:t>
      </w:r>
    </w:p>
    <w:p/>
    <w:p>
      <w:pPr>
        <w:sectPr>
          <w:headerReference w:type="even" r:id="rId35"/>
          <w:headerReference w:type="default" r:id="rId36"/>
          <w:pgSz w:w="11907" w:h="16840" w:code="9"/>
          <w:pgMar w:top="2381" w:right="2409" w:bottom="3543" w:left="2409" w:header="720" w:footer="3380" w:gutter="0"/>
          <w:cols w:space="720"/>
          <w:noEndnote/>
          <w:docGrid w:linePitch="326"/>
        </w:sectPr>
      </w:pPr>
    </w:p>
    <w:p>
      <w:r>
        <w:rPr>
          <w:noProof/>
        </w:rPr>
        <mc:AlternateContent>
          <mc:Choice Requires="wps">
            <w:drawing>
              <wp:anchor distT="0" distB="0" distL="114300" distR="114300" simplePos="0" relativeHeight="251663360" behindDoc="0" locked="0" layoutInCell="1" allowOverlap="1">
                <wp:simplePos x="0" y="0"/>
                <wp:positionH relativeFrom="page">
                  <wp:align>center</wp:align>
                </wp:positionH>
                <wp:positionV relativeFrom="page">
                  <wp:align>bottom</wp:align>
                </wp:positionV>
                <wp:extent cx="122830" cy="2451100"/>
                <wp:effectExtent l="0" t="0" r="1905" b="6350"/>
                <wp:wrapNone/>
                <wp:docPr id="1" name="Authority"/>
                <wp:cNvGraphicFramePr/>
                <a:graphic xmlns:a="http://schemas.openxmlformats.org/drawingml/2006/main">
                  <a:graphicData uri="http://schemas.microsoft.com/office/word/2010/wordprocessingShape">
                    <wps:wsp>
                      <wps:cNvSpPr txBox="1"/>
                      <wps:spPr>
                        <a:xfrm>
                          <a:off x="0" y="0"/>
                          <a:ext cx="122830" cy="2451100"/>
                        </a:xfrm>
                        <a:prstGeom prst="rect">
                          <a:avLst/>
                        </a:prstGeom>
                        <a:solidFill>
                          <a:srgbClr val="FFFFFF"/>
                        </a:solid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Bdr>
                                <w:top w:val="double" w:sz="4" w:space="0" w:color="auto"/>
                              </w:pBdr>
                              <w:ind w:left="2381" w:right="2381"/>
                              <w:jc w:val="center"/>
                              <w:rPr>
                                <w:rFonts w:ascii="Arial" w:hAnsi="Arial" w:cs="Arial"/>
                                <w:sz w:val="12"/>
                              </w:rPr>
                            </w:pPr>
                            <w:r>
                              <w:rPr>
                                <w:rFonts w:ascii="Arial" w:hAnsi="Arial" w:cs="Arial"/>
                                <w:sz w:val="12"/>
                              </w:rPr>
                              <w:t>By Authority: KEVIN J. McRAE, Government Printer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100000</wp14:pctWidth>
                </wp14:sizeRelH>
                <wp14:sizeRelV relativeFrom="margin">
                  <wp14:pctHeight>0</wp14:pctHeight>
                </wp14:sizeRelV>
              </wp:anchor>
            </w:drawing>
          </mc:Choice>
          <mc:Fallback>
            <w:pict>
              <v:shape id="Authority" o:spid="_x0000_s1041" type="#_x0000_t202" style="position:absolute;margin-left:0;margin-top:0;width:9.65pt;height:193pt;z-index:251663360;visibility:visible;mso-wrap-style:square;mso-width-percent:1000;mso-height-percent:0;mso-wrap-distance-left:9pt;mso-wrap-distance-top:0;mso-wrap-distance-right:9pt;mso-wrap-distance-bottom:0;mso-position-horizontal:center;mso-position-horizontal-relative:page;mso-position-vertical:bottom;mso-position-vertical-relative:page;mso-width-percent:100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" stroked="f" strokeweight=".5pt">
                <v:textbox>
                  <w:txbxContent>
                    <w:p w:rsidR="00496AF7" w:rsidRDefault="00764566">
                      <w:pPr>
                        <w:pBdr>
                          <w:top w:val="double" w:sz="4" w:space="0" w:color="auto"/>
                        </w:pBdr>
                        <w:ind w:left="2381" w:right="2381"/>
                        <w:jc w:val="center"/>
                        <w:rPr>
                          <w:rFonts w:ascii="Arial" w:hAnsi="Arial" w:cs="Arial"/>
                          <w:sz w:val="12"/>
                        </w:rPr>
                      </w:pPr>
                      <w:r>
                        <w:rPr>
                          <w:rFonts w:ascii="Arial" w:hAnsi="Arial" w:cs="Arial"/>
                          <w:sz w:val="12"/>
                        </w:rPr>
                        <w:t>By Authority: KEVIN J. McRAE, Government Printer</w:t>
                      </w:r>
                    </w:p>
                  </w:txbxContent>
                </v:textbox>
                <w10:wrap anchorx="page" anchory="page"/>
              </v:shape>
            </w:pict>
          </mc:Fallback>
        </mc:AlternateContent>
      </w:r>
    </w:p>
    <w:sectPr>
      <w:headerReference w:type="even" r:id="rId37"/>
      <w:headerReference w:type="default" r:id="rId38"/>
      <w:footerReference w:type="even" r:id="rId39"/>
      <w:footerReference w:type="default" r:id="rId40"/>
      <w:headerReference w:type="first" r:id="rId41"/>
      <w:footerReference w:type="first" r:id="rId42"/>
      <w:type w:val="continuous"/>
      <w:pgSz w:w="11907" w:h="16840" w:code="9"/>
      <w:pgMar w:top="2376" w:right="2404" w:bottom="3544" w:left="2404" w:header="720" w:footer="3379" w:gutter="0"/>
      <w:pgNumType w:start="1"/>
      <w:cols w:space="720"/>
      <w:noEndnote/>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Bdr>
        <w:bottom w:val="single" w:sz="4" w:space="1" w:color="auto"/>
      </w:pBdr>
      <w:rPr>
        <w:sz w:val="20"/>
      </w:rPr>
    </w:pPr>
  </w:p>
  <w:p>
    <w:pPr>
      <w:pStyle w:val="Footer"/>
      <w:tabs>
        <w:tab w:val="right" w:pos="7088"/>
      </w:tabs>
      <w:rPr>
        <w:sz w:val="20"/>
      </w:rPr>
    </w:pPr>
    <w:r>
      <w:rPr>
        <w:sz w:val="20"/>
      </w:rPr>
      <w:t xml:space="preserve">page </w:t>
    </w:r>
    <w:r>
      <w:rPr>
        <w:sz w:val="20"/>
      </w:rPr>
      <w:fldChar w:fldCharType="begin"/>
    </w:r>
    <w:r>
      <w:rPr>
        <w:sz w:val="20"/>
      </w:rPr>
      <w:instrText xml:space="preserve"> PAGE </w:instrText>
    </w:r>
    <w:r>
      <w:rPr>
        <w:sz w:val="20"/>
      </w:rPr>
      <w:fldChar w:fldCharType="separate"/>
    </w:r>
    <w:r>
      <w:rPr>
        <w:noProof/>
        <w:sz w:val="20"/>
      </w:rPr>
      <w:t>34</w:t>
    </w:r>
    <w:r>
      <w:rPr>
        <w:sz w:val="20"/>
      </w:rPr>
      <w:fldChar w:fldCharType="end"/>
    </w:r>
    <w:r>
      <w:rPr>
        <w:sz w:val="20"/>
      </w:rPr>
      <w:tab/>
      <w:t xml:space="preserve">Reprint </w:t>
    </w:r>
    <w:r>
      <w:rPr>
        <w:sz w:val="20"/>
      </w:rPr>
      <w:fldChar w:fldCharType="begin"/>
    </w:r>
    <w:r>
      <w:rPr>
        <w:sz w:val="20"/>
      </w:rPr>
      <w:instrText xml:space="preserve"> DOCPROPERTY "ReprintNo" </w:instrText>
    </w:r>
    <w:r>
      <w:rPr>
        <w:sz w:val="20"/>
      </w:rPr>
      <w:fldChar w:fldCharType="separate"/>
    </w:r>
    <w:r>
      <w:rPr>
        <w:sz w:val="20"/>
      </w:rPr>
      <w:t>6</w:t>
    </w:r>
    <w:r>
      <w:rPr>
        <w:sz w:val="20"/>
      </w:rPr>
      <w:fldChar w:fldCharType="end"/>
    </w:r>
  </w:p>
  <w:p>
    <w:pPr>
      <w:pStyle w:val="Footer"/>
      <w:rPr>
        <w:sz w:val="16"/>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Bdr>
        <w:bottom w:val="single" w:sz="4" w:space="1" w:color="auto"/>
      </w:pBdr>
      <w:rPr>
        <w:sz w:val="20"/>
      </w:rPr>
    </w:pPr>
  </w:p>
  <w:p>
    <w:pPr>
      <w:pStyle w:val="Footer"/>
      <w:tabs>
        <w:tab w:val="right" w:pos="7088"/>
      </w:tabs>
      <w:rPr>
        <w:sz w:val="20"/>
      </w:rPr>
    </w:pPr>
    <w:r>
      <w:rPr>
        <w:sz w:val="20"/>
      </w:rPr>
      <w:t xml:space="preserve">Reprint </w:t>
    </w:r>
    <w:r>
      <w:rPr>
        <w:sz w:val="20"/>
      </w:rPr>
      <w:fldChar w:fldCharType="begin"/>
    </w:r>
    <w:r>
      <w:rPr>
        <w:sz w:val="20"/>
      </w:rPr>
      <w:instrText xml:space="preserve"> DOCPROPERTY "ReprintNo" </w:instrText>
    </w:r>
    <w:r>
      <w:rPr>
        <w:sz w:val="20"/>
      </w:rPr>
      <w:fldChar w:fldCharType="separate"/>
    </w:r>
    <w:r>
      <w:rPr>
        <w:sz w:val="20"/>
      </w:rPr>
      <w:t>6</w:t>
    </w:r>
    <w:r>
      <w:rPr>
        <w:sz w:val="20"/>
      </w:rPr>
      <w:fldChar w:fldCharType="end"/>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35</w:t>
    </w:r>
    <w:r>
      <w:rPr>
        <w:sz w:val="20"/>
      </w:rPr>
      <w:fldChar w:fldCharType="end"/>
    </w:r>
  </w:p>
  <w:p>
    <w:pPr>
      <w:pStyle w:val="Footer"/>
      <w:rPr>
        <w:sz w:val="16"/>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Bdr>
        <w:bottom w:val="single" w:sz="4" w:space="1" w:color="auto"/>
      </w:pBdr>
      <w:rPr>
        <w:sz w:val="20"/>
      </w:rPr>
    </w:pPr>
  </w:p>
  <w:p>
    <w:pPr>
      <w:pStyle w:val="Footer"/>
      <w:tabs>
        <w:tab w:val="right" w:pos="7088"/>
      </w:tabs>
      <w:rPr>
        <w:sz w:val="20"/>
      </w:rPr>
    </w:pPr>
    <w:r>
      <w:rPr>
        <w:sz w:val="20"/>
      </w:rPr>
      <w:t xml:space="preserve">Reprint </w:t>
    </w:r>
    <w:r>
      <w:rPr>
        <w:sz w:val="20"/>
      </w:rPr>
      <w:fldChar w:fldCharType="begin"/>
    </w:r>
    <w:r>
      <w:rPr>
        <w:sz w:val="20"/>
      </w:rPr>
      <w:instrText xml:space="preserve"> DOCPROPERTY "ReprintNo" </w:instrText>
    </w:r>
    <w:r>
      <w:rPr>
        <w:sz w:val="20"/>
      </w:rPr>
      <w:fldChar w:fldCharType="separate"/>
    </w:r>
    <w:r>
      <w:rPr>
        <w:sz w:val="20"/>
      </w:rPr>
      <w:t>6</w:t>
    </w:r>
    <w:r>
      <w:rPr>
        <w:sz w:val="20"/>
      </w:rPr>
      <w:fldChar w:fldCharType="end"/>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p>
  <w:p>
    <w:pPr>
      <w:pStyle w:val="Footer"/>
      <w:rPr>
        <w:sz w:val="16"/>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
          </w:pPr>
          <w:r>
            <w:rPr>
              <w:b/>
              <w:i/>
            </w:rPr>
            <w:fldChar w:fldCharType="begin"/>
          </w:r>
          <w:r>
            <w:rPr>
              <w:b/>
              <w:i/>
            </w:rPr>
            <w:instrText xml:space="preserve"> STYLEREF "Name of Act/Reg" </w:instrText>
          </w:r>
          <w:r>
            <w:rPr>
              <w:b/>
              <w:i/>
            </w:rPr>
            <w:fldChar w:fldCharType="separate"/>
          </w:r>
          <w:r>
            <w:rPr>
              <w:b/>
              <w:i/>
            </w:rPr>
            <w:t>Country Areas Water Supply By-laws 1957</w:t>
          </w:r>
          <w:r>
            <w:rPr>
              <w:b/>
              <w:i/>
            </w:rPr>
            <w:fldChar w:fldCharType="end"/>
          </w:r>
        </w:p>
      </w:tc>
    </w:tr>
    <w:tr>
      <w:tc>
        <w:tcPr>
          <w:tcW w:w="1548" w:type="dxa"/>
        </w:tcPr>
        <w:p>
          <w:pPr>
            <w:pStyle w:val="Header"/>
            <w:spacing w:before="40"/>
          </w:pPr>
          <w:r>
            <w:rPr>
              <w:b/>
            </w:rPr>
            <w:fldChar w:fldCharType="begin"/>
          </w:r>
          <w:r>
            <w:rPr>
              <w:b/>
            </w:rPr>
            <w:instrText>STYLEREF CharSchno</w:instrText>
          </w:r>
          <w:r>
            <w:rPr>
              <w:b/>
            </w:rPr>
            <w:fldChar w:fldCharType="end"/>
          </w:r>
        </w:p>
      </w:tc>
      <w:tc>
        <w:tcPr>
          <w:tcW w:w="5715" w:type="dxa"/>
        </w:tcPr>
        <w:p>
          <w:pPr>
            <w:pStyle w:val="Header"/>
            <w:spacing w:before="40"/>
          </w:pPr>
          <w:r>
            <w:fldChar w:fldCharType="begin"/>
          </w:r>
          <w:r>
            <w:instrText xml:space="preserve"> styleref CharSchText </w:instrText>
          </w:r>
          <w:r>
            <w:fldChar w:fldCharType="end"/>
          </w:r>
        </w:p>
      </w:tc>
    </w:tr>
    <w:tr>
      <w:tc>
        <w:tcPr>
          <w:tcW w:w="1548" w:type="dxa"/>
        </w:tcPr>
        <w:p>
          <w:pPr>
            <w:pStyle w:val="Header"/>
            <w:spacing w:before="40"/>
          </w:pPr>
          <w:r>
            <w:rPr>
              <w:b/>
            </w:rPr>
            <w:fldChar w:fldCharType="begin"/>
          </w:r>
          <w:r>
            <w:rPr>
              <w:b/>
            </w:rPr>
            <w:instrText>STYLEREF CharSDivNo</w:instrText>
          </w:r>
          <w:r>
            <w:rPr>
              <w:b/>
            </w:rPr>
            <w:fldChar w:fldCharType="end"/>
          </w:r>
        </w:p>
      </w:tc>
      <w:tc>
        <w:tcPr>
          <w:tcW w:w="5715" w:type="dxa"/>
        </w:tcPr>
        <w:p>
          <w:pPr>
            <w:pStyle w:val="Header"/>
            <w:spacing w:before="40"/>
          </w:pPr>
          <w:r>
            <w:fldChar w:fldCharType="begin"/>
          </w:r>
          <w:r>
            <w:instrText xml:space="preserve"> styleref CharSDivText </w:instrText>
          </w:r>
          <w:r>
            <w:fldChar w:fldCharType="end"/>
          </w:r>
        </w:p>
      </w:tc>
    </w:tr>
    <w:tr>
      <w:tc>
        <w:tcPr>
          <w:tcW w:w="7258" w:type="dxa"/>
          <w:gridSpan w:val="2"/>
        </w:tcPr>
        <w:p>
          <w:pPr>
            <w:pStyle w:val="Header"/>
            <w:spacing w:before="40"/>
          </w:pPr>
        </w:p>
      </w:tc>
    </w:tr>
  </w:tbl>
  <w:p>
    <w:pPr>
      <w:pStyle w:val="Header"/>
      <w:pBdr>
        <w:top w:val="single" w:sz="4" w:space="1" w:color="auto"/>
      </w:pBd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63" w:type="dxa"/>
      <w:tblLayout w:type="fixed"/>
      <w:tblCellMar>
        <w:left w:w="72" w:type="dxa"/>
        <w:right w:w="72" w:type="dxa"/>
      </w:tblCellMar>
      <w:tblLook w:val="0000" w:firstRow="0" w:lastRow="0" w:firstColumn="0" w:lastColumn="0" w:noHBand="0" w:noVBand="0"/>
    </w:tblPr>
    <w:tblGrid>
      <w:gridCol w:w="5797"/>
      <w:gridCol w:w="1466"/>
    </w:tblGrid>
    <w:tr>
      <w:tc>
        <w:tcPr>
          <w:tcW w:w="7160" w:type="dxa"/>
          <w:gridSpan w:val="2"/>
        </w:tcPr>
        <w:p>
          <w:pPr>
            <w:pStyle w:val="Header"/>
            <w:jc w:val="right"/>
          </w:pPr>
          <w:r>
            <w:rPr>
              <w:b/>
              <w:i/>
            </w:rPr>
            <w:fldChar w:fldCharType="begin"/>
          </w:r>
          <w:r>
            <w:rPr>
              <w:b/>
              <w:i/>
            </w:rPr>
            <w:instrText xml:space="preserve"> STYLEREF "Name of Act/Reg" </w:instrText>
          </w:r>
          <w:r>
            <w:rPr>
              <w:b/>
              <w:i/>
            </w:rPr>
            <w:fldChar w:fldCharType="separate"/>
          </w:r>
          <w:r>
            <w:rPr>
              <w:b/>
              <w:i/>
            </w:rPr>
            <w:t>Country Areas Water Supply By-laws 1957</w:t>
          </w:r>
          <w:r>
            <w:rPr>
              <w:b/>
              <w:i/>
            </w:rPr>
            <w:fldChar w:fldCharType="end"/>
          </w:r>
        </w:p>
      </w:tc>
    </w:tr>
    <w:tr>
      <w:tc>
        <w:tcPr>
          <w:tcW w:w="5715" w:type="dxa"/>
        </w:tcPr>
        <w:p>
          <w:pPr>
            <w:pStyle w:val="Header"/>
            <w:spacing w:before="40"/>
            <w:jc w:val="right"/>
          </w:pPr>
          <w:r>
            <w:fldChar w:fldCharType="begin"/>
          </w:r>
          <w:r>
            <w:instrText xml:space="preserve"> styleref CharSchText </w:instrText>
          </w:r>
          <w:r>
            <w:fldChar w:fldCharType="end"/>
          </w:r>
        </w:p>
      </w:tc>
      <w:tc>
        <w:tcPr>
          <w:tcW w:w="1445" w:type="dxa"/>
        </w:tcPr>
        <w:p>
          <w:pPr>
            <w:pStyle w:val="Header"/>
            <w:spacing w:before="40"/>
            <w:ind w:right="17"/>
            <w:jc w:val="right"/>
          </w:pPr>
          <w:r>
            <w:rPr>
              <w:b/>
            </w:rPr>
            <w:fldChar w:fldCharType="begin"/>
          </w:r>
          <w:r>
            <w:rPr>
              <w:b/>
            </w:rPr>
            <w:instrText>STYLEREF CharSchno</w:instrText>
          </w:r>
          <w:r>
            <w:rPr>
              <w:b/>
            </w:rPr>
            <w:fldChar w:fldCharType="end"/>
          </w:r>
        </w:p>
      </w:tc>
    </w:tr>
    <w:tr>
      <w:tc>
        <w:tcPr>
          <w:tcW w:w="5715" w:type="dxa"/>
        </w:tcPr>
        <w:p>
          <w:pPr>
            <w:pStyle w:val="Header"/>
            <w:spacing w:before="40"/>
            <w:jc w:val="right"/>
          </w:pPr>
          <w:r>
            <w:fldChar w:fldCharType="begin"/>
          </w:r>
          <w:r>
            <w:instrText xml:space="preserve"> styleref CharSDivText </w:instrText>
          </w:r>
          <w:r>
            <w:fldChar w:fldCharType="end"/>
          </w:r>
        </w:p>
      </w:tc>
      <w:tc>
        <w:tcPr>
          <w:tcW w:w="1445" w:type="dxa"/>
        </w:tcPr>
        <w:p>
          <w:pPr>
            <w:pStyle w:val="Header"/>
            <w:spacing w:before="40"/>
            <w:ind w:right="17"/>
            <w:jc w:val="right"/>
          </w:pPr>
          <w:r>
            <w:rPr>
              <w:b/>
            </w:rPr>
            <w:fldChar w:fldCharType="begin"/>
          </w:r>
          <w:r>
            <w:rPr>
              <w:b/>
            </w:rPr>
            <w:instrText>STYLEREF CharSDivNo</w:instrText>
          </w:r>
          <w:r>
            <w:rPr>
              <w:b/>
            </w:rPr>
            <w:fldChar w:fldCharType="end"/>
          </w:r>
        </w:p>
      </w:tc>
    </w:tr>
    <w:tr>
      <w:tc>
        <w:tcPr>
          <w:tcW w:w="7160" w:type="dxa"/>
          <w:gridSpan w:val="2"/>
        </w:tcPr>
        <w:p>
          <w:pPr>
            <w:pStyle w:val="Header"/>
            <w:spacing w:before="40"/>
            <w:ind w:right="17"/>
            <w:jc w:val="right"/>
          </w:pPr>
        </w:p>
      </w:tc>
    </w:tr>
  </w:tbl>
  <w:p>
    <w:pPr>
      <w:pStyle w:val="Header"/>
      <w:pBdr>
        <w:top w:val="single" w:sz="4" w:space="1" w:color="auto"/>
      </w:pBdr>
    </w:pPr>
    <w:bookmarkStart w:id="79" w:name="Schedule"/>
    <w:bookmarkEnd w:id="79"/>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
          </w:pPr>
          <w:r>
            <w:rPr>
              <w:b/>
              <w:i/>
            </w:rPr>
            <w:fldChar w:fldCharType="begin"/>
          </w:r>
          <w:r>
            <w:rPr>
              <w:b/>
              <w:i/>
            </w:rPr>
            <w:instrText xml:space="preserve"> Styleref "Name of Act/Reg" </w:instrText>
          </w:r>
          <w:r>
            <w:rPr>
              <w:b/>
              <w:i/>
            </w:rPr>
            <w:fldChar w:fldCharType="separate"/>
          </w:r>
          <w:r>
            <w:rPr>
              <w:b/>
              <w:i/>
            </w:rPr>
            <w:t>Country Areas Water Supply By-laws 1957</w:t>
          </w:r>
          <w:r>
            <w:rPr>
              <w:b/>
              <w:i/>
            </w:rPr>
            <w:fldChar w:fldCharType="end"/>
          </w:r>
        </w:p>
      </w:tc>
    </w:tr>
    <w:tr>
      <w:tc>
        <w:tcPr>
          <w:tcW w:w="1548" w:type="dxa"/>
        </w:tcPr>
        <w:p>
          <w:pPr>
            <w:pStyle w:val="Header"/>
            <w:spacing w:before="40"/>
          </w:pPr>
        </w:p>
      </w:tc>
      <w:tc>
        <w:tcPr>
          <w:tcW w:w="5715" w:type="dxa"/>
        </w:tcPr>
        <w:p>
          <w:pPr>
            <w:pStyle w:val="Header"/>
            <w:spacing w:before="40"/>
          </w:pPr>
        </w:p>
      </w:tc>
    </w:tr>
    <w:tr>
      <w:tc>
        <w:tcPr>
          <w:tcW w:w="1548" w:type="dxa"/>
        </w:tcPr>
        <w:p>
          <w:pPr>
            <w:pStyle w:val="Header"/>
            <w:spacing w:before="40"/>
          </w:pPr>
        </w:p>
      </w:tc>
      <w:tc>
        <w:tcPr>
          <w:tcW w:w="5715" w:type="dxa"/>
        </w:tcPr>
        <w:p>
          <w:pPr>
            <w:pStyle w:val="Header"/>
            <w:spacing w:before="40"/>
          </w:pPr>
        </w:p>
      </w:tc>
    </w:tr>
    <w:tr>
      <w:trPr>
        <w:cantSplit/>
      </w:trPr>
      <w:tc>
        <w:tcPr>
          <w:tcW w:w="7258" w:type="dxa"/>
          <w:gridSpan w:val="2"/>
        </w:tcPr>
        <w:p>
          <w:pPr>
            <w:pStyle w:val="Header"/>
            <w:spacing w:before="40"/>
          </w:pPr>
        </w:p>
      </w:tc>
    </w:tr>
  </w:tbl>
  <w:p>
    <w:pPr>
      <w:pStyle w:val="Header"/>
      <w:pBdr>
        <w:top w:val="single" w:sz="4" w:space="1" w:color="auto"/>
      </w:pBd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58" w:type="dxa"/>
          <w:gridSpan w:val="2"/>
        </w:tcPr>
        <w:p>
          <w:pPr>
            <w:pStyle w:val="Header"/>
            <w:ind w:right="17"/>
            <w:jc w:val="right"/>
          </w:pPr>
          <w:r>
            <w:rPr>
              <w:b/>
              <w:i/>
            </w:rPr>
            <w:fldChar w:fldCharType="begin"/>
          </w:r>
          <w:r>
            <w:rPr>
              <w:b/>
              <w:i/>
            </w:rPr>
            <w:instrText xml:space="preserve"> Styleref "Name of Act/Reg" </w:instrText>
          </w:r>
          <w:r>
            <w:rPr>
              <w:b/>
              <w:i/>
            </w:rPr>
            <w:fldChar w:fldCharType="separate"/>
          </w:r>
          <w:r>
            <w:rPr>
              <w:b/>
              <w:i/>
            </w:rPr>
            <w:t>Country Areas Water Supply By-laws 1957</w:t>
          </w:r>
          <w:r>
            <w:rPr>
              <w:b/>
              <w:i/>
            </w:rPr>
            <w:fldChar w:fldCharType="end"/>
          </w:r>
        </w:p>
      </w:tc>
    </w:tr>
    <w:tr>
      <w:tc>
        <w:tcPr>
          <w:tcW w:w="5715" w:type="dxa"/>
        </w:tcPr>
        <w:p>
          <w:pPr>
            <w:pStyle w:val="Header"/>
            <w:spacing w:before="40"/>
            <w:jc w:val="right"/>
          </w:pPr>
        </w:p>
      </w:tc>
      <w:tc>
        <w:tcPr>
          <w:tcW w:w="1548" w:type="dxa"/>
        </w:tcPr>
        <w:p>
          <w:pPr>
            <w:pStyle w:val="Header"/>
            <w:spacing w:before="40"/>
            <w:ind w:right="17"/>
            <w:jc w:val="right"/>
          </w:pPr>
        </w:p>
      </w:tc>
    </w:tr>
    <w:tr>
      <w:tc>
        <w:tcPr>
          <w:tcW w:w="5715" w:type="dxa"/>
        </w:tcPr>
        <w:p>
          <w:pPr>
            <w:pStyle w:val="Header"/>
            <w:spacing w:before="40"/>
            <w:jc w:val="right"/>
          </w:pPr>
        </w:p>
      </w:tc>
      <w:tc>
        <w:tcPr>
          <w:tcW w:w="1548" w:type="dxa"/>
        </w:tcPr>
        <w:p>
          <w:pPr>
            <w:pStyle w:val="Header"/>
            <w:spacing w:before="40"/>
            <w:ind w:right="17"/>
            <w:jc w:val="right"/>
          </w:pPr>
        </w:p>
      </w:tc>
    </w:tr>
    <w:tr>
      <w:trPr>
        <w:cantSplit/>
      </w:trPr>
      <w:tc>
        <w:tcPr>
          <w:tcW w:w="7258" w:type="dxa"/>
          <w:gridSpan w:val="2"/>
        </w:tcPr>
        <w:p>
          <w:pPr>
            <w:pStyle w:val="Header"/>
            <w:spacing w:before="40"/>
            <w:ind w:right="17"/>
            <w:jc w:val="right"/>
          </w:pPr>
        </w:p>
      </w:tc>
    </w:tr>
  </w:tbl>
  <w:p>
    <w:pPr>
      <w:pStyle w:val="Header"/>
      <w:pBdr>
        <w:top w:val="single" w:sz="4" w:space="1" w:color="auto"/>
      </w:pBdr>
    </w:pPr>
    <w:bookmarkStart w:id="85" w:name="Compilation"/>
    <w:bookmarkEnd w:id="85"/>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348"/>
      <w:gridCol w:w="5915"/>
    </w:tblGrid>
    <w:tr>
      <w:trPr>
        <w:cantSplit/>
      </w:trPr>
      <w:tc>
        <w:tcPr>
          <w:tcW w:w="7263" w:type="dxa"/>
          <w:gridSpan w:val="2"/>
        </w:tcPr>
        <w:p>
          <w:pPr>
            <w:pStyle w:val="Header"/>
          </w:pPr>
          <w:r>
            <w:rPr>
              <w:b/>
              <w:i/>
            </w:rPr>
            <w:fldChar w:fldCharType="begin"/>
          </w:r>
          <w:r>
            <w:rPr>
              <w:b/>
              <w:i/>
            </w:rPr>
            <w:instrText xml:space="preserve"> STYLEREF "Name of Act/Reg" </w:instrText>
          </w:r>
          <w:r>
            <w:rPr>
              <w:b/>
              <w:i/>
            </w:rPr>
            <w:fldChar w:fldCharType="separate"/>
          </w:r>
          <w:r>
            <w:rPr>
              <w:b/>
              <w:i/>
            </w:rPr>
            <w:t>Country Areas Water Supply By-laws 1957</w:t>
          </w:r>
          <w:r>
            <w:rPr>
              <w:b/>
              <w:i/>
            </w:rPr>
            <w:fldChar w:fldCharType="end"/>
          </w:r>
        </w:p>
      </w:tc>
    </w:tr>
    <w:tr>
      <w:tc>
        <w:tcPr>
          <w:tcW w:w="1348" w:type="dxa"/>
        </w:tcPr>
        <w:p>
          <w:pPr>
            <w:pStyle w:val="Header"/>
            <w:spacing w:before="40"/>
          </w:pPr>
        </w:p>
      </w:tc>
      <w:tc>
        <w:tcPr>
          <w:tcW w:w="5915" w:type="dxa"/>
        </w:tcPr>
        <w:p>
          <w:pPr>
            <w:pStyle w:val="Header"/>
            <w:spacing w:before="40"/>
          </w:pPr>
        </w:p>
      </w:tc>
    </w:tr>
    <w:tr>
      <w:tc>
        <w:tcPr>
          <w:tcW w:w="1348" w:type="dxa"/>
        </w:tcPr>
        <w:p>
          <w:pPr>
            <w:pStyle w:val="Header"/>
            <w:spacing w:before="40"/>
          </w:pPr>
        </w:p>
      </w:tc>
      <w:tc>
        <w:tcPr>
          <w:tcW w:w="5915" w:type="dxa"/>
        </w:tcPr>
        <w:p>
          <w:pPr>
            <w:pStyle w:val="Header"/>
            <w:spacing w:before="40"/>
          </w:pPr>
        </w:p>
      </w:tc>
    </w:tr>
    <w:tr>
      <w:trPr>
        <w:cantSplit/>
      </w:trPr>
      <w:tc>
        <w:tcPr>
          <w:tcW w:w="7263" w:type="dxa"/>
          <w:gridSpan w:val="2"/>
        </w:tcPr>
        <w:p>
          <w:pPr>
            <w:pStyle w:val="Header"/>
            <w:spacing w:before="40"/>
          </w:pPr>
          <w:r>
            <w:t>Defined terms</w:t>
          </w:r>
        </w:p>
      </w:tc>
    </w:tr>
  </w:tbl>
  <w:p>
    <w:pPr>
      <w:pStyle w:val="Header"/>
      <w:pBdr>
        <w:top w:val="single" w:sz="4" w:space="1" w:color="auto"/>
      </w:pBd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884"/>
      <w:gridCol w:w="1379"/>
    </w:tblGrid>
    <w:tr>
      <w:trPr>
        <w:cantSplit/>
      </w:trPr>
      <w:tc>
        <w:tcPr>
          <w:tcW w:w="7263" w:type="dxa"/>
          <w:gridSpan w:val="2"/>
        </w:tcPr>
        <w:p>
          <w:pPr>
            <w:pStyle w:val="Header"/>
            <w:spacing w:before="40"/>
            <w:ind w:right="17"/>
            <w:jc w:val="right"/>
          </w:pPr>
          <w:r>
            <w:rPr>
              <w:b/>
              <w:i/>
            </w:rPr>
            <w:fldChar w:fldCharType="begin"/>
          </w:r>
          <w:r>
            <w:rPr>
              <w:b/>
              <w:i/>
            </w:rPr>
            <w:instrText xml:space="preserve"> STYLEREF "Name of Act/Reg" </w:instrText>
          </w:r>
          <w:r>
            <w:rPr>
              <w:b/>
              <w:i/>
            </w:rPr>
            <w:fldChar w:fldCharType="separate"/>
          </w:r>
          <w:r>
            <w:rPr>
              <w:b/>
              <w:i/>
            </w:rPr>
            <w:t>Country Areas Water Supply By-laws 1957</w:t>
          </w:r>
          <w:r>
            <w:rPr>
              <w:b/>
              <w:i/>
            </w:rPr>
            <w:fldChar w:fldCharType="end"/>
          </w:r>
        </w:p>
      </w:tc>
    </w:tr>
    <w:tr>
      <w:tc>
        <w:tcPr>
          <w:tcW w:w="5884" w:type="dxa"/>
        </w:tcPr>
        <w:p>
          <w:pPr>
            <w:pStyle w:val="Header"/>
            <w:spacing w:before="40"/>
            <w:jc w:val="right"/>
          </w:pPr>
        </w:p>
      </w:tc>
      <w:tc>
        <w:tcPr>
          <w:tcW w:w="1379" w:type="dxa"/>
        </w:tcPr>
        <w:p>
          <w:pPr>
            <w:pStyle w:val="Header"/>
            <w:spacing w:before="40"/>
            <w:ind w:right="17"/>
            <w:jc w:val="right"/>
          </w:pPr>
        </w:p>
      </w:tc>
    </w:tr>
    <w:tr>
      <w:tc>
        <w:tcPr>
          <w:tcW w:w="5884" w:type="dxa"/>
        </w:tcPr>
        <w:p>
          <w:pPr>
            <w:pStyle w:val="Header"/>
            <w:spacing w:before="40"/>
            <w:jc w:val="right"/>
          </w:pPr>
        </w:p>
      </w:tc>
      <w:tc>
        <w:tcPr>
          <w:tcW w:w="1379" w:type="dxa"/>
        </w:tcPr>
        <w:p>
          <w:pPr>
            <w:pStyle w:val="Header"/>
            <w:spacing w:before="40"/>
            <w:ind w:right="17"/>
            <w:jc w:val="right"/>
          </w:pPr>
        </w:p>
      </w:tc>
    </w:tr>
    <w:tr>
      <w:trPr>
        <w:cantSplit/>
      </w:trPr>
      <w:tc>
        <w:tcPr>
          <w:tcW w:w="7263" w:type="dxa"/>
          <w:gridSpan w:val="2"/>
        </w:tcPr>
        <w:p>
          <w:pPr>
            <w:pStyle w:val="Header"/>
            <w:spacing w:before="40"/>
            <w:ind w:right="17"/>
            <w:jc w:val="right"/>
          </w:pPr>
          <w:r>
            <w:t>Defined terms</w:t>
          </w:r>
        </w:p>
      </w:tc>
    </w:tr>
  </w:tbl>
  <w:p>
    <w:pPr>
      <w:pStyle w:val="Header"/>
      <w:pBdr>
        <w:top w:val="single" w:sz="4" w:space="1" w:color="auto"/>
      </w:pBdr>
    </w:pPr>
    <w:bookmarkStart w:id="90" w:name="DefinedTerms"/>
    <w:bookmarkEnd w:id="90"/>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bookmarkStart w:id="91" w:name="Coversheet"/>
    <w:bookmarkEnd w:id="91"/>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bookmarkStart w:id="1" w:name="TitlePage"/>
    <w:bookmarkEnd w:id="1"/>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
          </w:pPr>
          <w:r>
            <w:rPr>
              <w:b/>
              <w:i/>
            </w:rPr>
            <w:fldChar w:fldCharType="begin"/>
          </w:r>
          <w:r>
            <w:rPr>
              <w:b/>
              <w:i/>
            </w:rPr>
            <w:instrText xml:space="preserve"> STYLEREF "Name of Act/Reg" </w:instrText>
          </w:r>
          <w:r>
            <w:rPr>
              <w:b/>
              <w:i/>
            </w:rPr>
            <w:fldChar w:fldCharType="separate"/>
          </w:r>
          <w:r>
            <w:rPr>
              <w:b/>
              <w:i/>
            </w:rPr>
            <w:t>Country Areas Water Supply By-laws 1957</w:t>
          </w:r>
          <w:r>
            <w:rPr>
              <w:b/>
              <w:i/>
            </w:rPr>
            <w:fldChar w:fldCharType="end"/>
          </w:r>
        </w:p>
      </w:tc>
    </w:tr>
    <w:tr>
      <w:tc>
        <w:tcPr>
          <w:tcW w:w="1548" w:type="dxa"/>
        </w:tcPr>
        <w:p>
          <w:pPr>
            <w:pStyle w:val="Header"/>
            <w:spacing w:before="40"/>
          </w:pPr>
        </w:p>
      </w:tc>
      <w:tc>
        <w:tcPr>
          <w:tcW w:w="5715" w:type="dxa"/>
        </w:tcPr>
        <w:p>
          <w:pPr>
            <w:pStyle w:val="Header"/>
            <w:spacing w:before="40"/>
          </w:pPr>
        </w:p>
      </w:tc>
    </w:tr>
    <w:tr>
      <w:tc>
        <w:tcPr>
          <w:tcW w:w="1548" w:type="dxa"/>
        </w:tcPr>
        <w:p>
          <w:pPr>
            <w:pStyle w:val="Header"/>
            <w:spacing w:before="40"/>
          </w:pPr>
        </w:p>
      </w:tc>
      <w:tc>
        <w:tcPr>
          <w:tcW w:w="5715" w:type="dxa"/>
        </w:tcPr>
        <w:p>
          <w:pPr>
            <w:pStyle w:val="Header"/>
            <w:spacing w:before="40"/>
          </w:pPr>
        </w:p>
      </w:tc>
    </w:tr>
    <w:tr>
      <w:trPr>
        <w:cantSplit/>
      </w:trPr>
      <w:tc>
        <w:tcPr>
          <w:tcW w:w="7258" w:type="dxa"/>
          <w:gridSpan w:val="2"/>
        </w:tcPr>
        <w:p>
          <w:pPr>
            <w:pStyle w:val="Header"/>
            <w:spacing w:before="40"/>
          </w:pPr>
          <w:r>
            <w:t>Contents</w:t>
          </w:r>
        </w:p>
      </w:tc>
    </w:tr>
  </w:tbl>
  <w:p>
    <w:pPr>
      <w:pStyle w:val="Header"/>
      <w:pBdr>
        <w:top w:val="single" w:sz="4" w:space="1" w:color="auto"/>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58" w:type="dxa"/>
          <w:gridSpan w:val="2"/>
        </w:tcPr>
        <w:p>
          <w:pPr>
            <w:pStyle w:val="Header"/>
            <w:ind w:right="17"/>
            <w:jc w:val="right"/>
          </w:pPr>
          <w:r>
            <w:rPr>
              <w:b/>
              <w:i/>
            </w:rPr>
            <w:fldChar w:fldCharType="begin"/>
          </w:r>
          <w:r>
            <w:rPr>
              <w:b/>
              <w:i/>
            </w:rPr>
            <w:instrText xml:space="preserve"> STYLEREF "Name of Act/Reg" </w:instrText>
          </w:r>
          <w:r>
            <w:rPr>
              <w:b/>
              <w:i/>
            </w:rPr>
            <w:fldChar w:fldCharType="separate"/>
          </w:r>
          <w:r>
            <w:rPr>
              <w:b/>
              <w:i/>
            </w:rPr>
            <w:t>Country Areas Water Supply By-laws 1957</w:t>
          </w:r>
          <w:r>
            <w:rPr>
              <w:b/>
              <w:i/>
            </w:rPr>
            <w:fldChar w:fldCharType="end"/>
          </w:r>
        </w:p>
      </w:tc>
    </w:tr>
    <w:tr>
      <w:tc>
        <w:tcPr>
          <w:tcW w:w="5715" w:type="dxa"/>
        </w:tcPr>
        <w:p>
          <w:pPr>
            <w:pStyle w:val="Header"/>
            <w:spacing w:before="40"/>
            <w:jc w:val="right"/>
          </w:pPr>
        </w:p>
      </w:tc>
      <w:tc>
        <w:tcPr>
          <w:tcW w:w="1548" w:type="dxa"/>
        </w:tcPr>
        <w:p>
          <w:pPr>
            <w:pStyle w:val="Header"/>
            <w:spacing w:before="40"/>
            <w:ind w:right="17"/>
            <w:jc w:val="right"/>
          </w:pPr>
        </w:p>
      </w:tc>
    </w:tr>
    <w:tr>
      <w:tc>
        <w:tcPr>
          <w:tcW w:w="5715" w:type="dxa"/>
        </w:tcPr>
        <w:p>
          <w:pPr>
            <w:pStyle w:val="Header"/>
            <w:spacing w:before="40"/>
            <w:jc w:val="right"/>
          </w:pPr>
        </w:p>
      </w:tc>
      <w:tc>
        <w:tcPr>
          <w:tcW w:w="1548" w:type="dxa"/>
        </w:tcPr>
        <w:p>
          <w:pPr>
            <w:pStyle w:val="Header"/>
            <w:spacing w:before="40"/>
            <w:ind w:right="17"/>
            <w:jc w:val="right"/>
          </w:pPr>
        </w:p>
      </w:tc>
    </w:tr>
    <w:tr>
      <w:trPr>
        <w:cantSplit/>
      </w:trPr>
      <w:tc>
        <w:tcPr>
          <w:tcW w:w="7258" w:type="dxa"/>
          <w:gridSpan w:val="2"/>
        </w:tcPr>
        <w:p>
          <w:pPr>
            <w:pStyle w:val="Header"/>
            <w:spacing w:before="40"/>
            <w:ind w:right="17"/>
            <w:jc w:val="right"/>
          </w:pPr>
          <w:r>
            <w:t>Contents</w:t>
          </w:r>
        </w:p>
      </w:tc>
    </w:tr>
  </w:tbl>
  <w:p>
    <w:pPr>
      <w:pStyle w:val="Header"/>
      <w:pBdr>
        <w:top w:val="single" w:sz="4" w:space="1" w:color="auto"/>
      </w:pBdr>
    </w:pPr>
    <w:bookmarkStart w:id="2" w:name="TOC"/>
    <w:bookmarkEnd w:id="2"/>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
          </w:pPr>
          <w:r>
            <w:rPr>
              <w:b/>
              <w:i/>
            </w:rPr>
            <w:fldChar w:fldCharType="begin"/>
          </w:r>
          <w:r>
            <w:rPr>
              <w:b/>
              <w:i/>
            </w:rPr>
            <w:instrText xml:space="preserve"> Styleref "Name of Act/Reg" </w:instrText>
          </w:r>
          <w:r>
            <w:rPr>
              <w:b/>
              <w:i/>
            </w:rPr>
            <w:fldChar w:fldCharType="separate"/>
          </w:r>
          <w:r>
            <w:rPr>
              <w:b/>
              <w:i/>
            </w:rPr>
            <w:t>Country Areas Water Supply By-laws 1957</w:t>
          </w:r>
          <w:r>
            <w:rPr>
              <w:b/>
              <w:i/>
            </w:rPr>
            <w:fldChar w:fldCharType="end"/>
          </w:r>
        </w:p>
      </w:tc>
    </w:tr>
    <w:tr>
      <w:tc>
        <w:tcPr>
          <w:tcW w:w="1548" w:type="dxa"/>
        </w:tcPr>
        <w:p>
          <w:pPr>
            <w:pStyle w:val="Header"/>
            <w:spacing w:before="40"/>
          </w:pPr>
          <w:r>
            <w:rPr>
              <w:b/>
            </w:rPr>
            <w:fldChar w:fldCharType="begin"/>
          </w:r>
          <w:r>
            <w:rPr>
              <w:b/>
            </w:rPr>
            <w:instrText>styleref CharPartNo</w:instrText>
          </w:r>
          <w:r>
            <w:rPr>
              <w:b/>
            </w:rPr>
            <w:fldChar w:fldCharType="end"/>
          </w:r>
        </w:p>
      </w:tc>
      <w:tc>
        <w:tcPr>
          <w:tcW w:w="5715" w:type="dxa"/>
          <w:vAlign w:val="bottom"/>
        </w:tcPr>
        <w:p>
          <w:pPr>
            <w:pStyle w:val="Header"/>
            <w:spacing w:before="40"/>
          </w:pPr>
          <w:r>
            <w:fldChar w:fldCharType="begin"/>
          </w:r>
          <w:r>
            <w:instrText>styleref CharPartText</w:instrText>
          </w:r>
          <w:r>
            <w:fldChar w:fldCharType="end"/>
          </w:r>
        </w:p>
      </w:tc>
    </w:tr>
    <w:tr>
      <w:tc>
        <w:tcPr>
          <w:tcW w:w="1548" w:type="dxa"/>
        </w:tcPr>
        <w:p>
          <w:pPr>
            <w:pStyle w:val="Header"/>
            <w:spacing w:before="40"/>
          </w:pPr>
          <w:r>
            <w:rPr>
              <w:b/>
            </w:rPr>
            <w:fldChar w:fldCharType="begin"/>
          </w:r>
          <w:r>
            <w:rPr>
              <w:b/>
            </w:rPr>
            <w:instrText xml:space="preserve"> styleref CharDivNo </w:instrText>
          </w:r>
          <w:r>
            <w:rPr>
              <w:b/>
            </w:rPr>
            <w:fldChar w:fldCharType="end"/>
          </w:r>
        </w:p>
      </w:tc>
      <w:tc>
        <w:tcPr>
          <w:tcW w:w="5715" w:type="dxa"/>
        </w:tcPr>
        <w:p>
          <w:pPr>
            <w:pStyle w:val="Header"/>
            <w:spacing w:before="40"/>
          </w:pPr>
          <w:r>
            <w:fldChar w:fldCharType="begin"/>
          </w:r>
          <w:r>
            <w:instrText xml:space="preserve"> styleref CharDivText </w:instrText>
          </w:r>
          <w:r>
            <w:fldChar w:fldCharType="end"/>
          </w:r>
        </w:p>
      </w:tc>
    </w:tr>
    <w:tr>
      <w:trPr>
        <w:cantSplit/>
      </w:trPr>
      <w:tc>
        <w:tcPr>
          <w:tcW w:w="7258" w:type="dxa"/>
          <w:gridSpan w:val="2"/>
        </w:tcPr>
        <w:p>
          <w:pPr>
            <w:pStyle w:val="Header"/>
            <w:spacing w:before="40"/>
          </w:pPr>
          <w:r>
            <w:rPr>
              <w:b/>
            </w:rPr>
            <w:t xml:space="preserve">bl. </w:t>
          </w:r>
          <w:r>
            <w:rPr>
              <w:b/>
            </w:rPr>
            <w:fldChar w:fldCharType="begin"/>
          </w:r>
          <w:r>
            <w:rPr>
              <w:b/>
            </w:rPr>
            <w:instrText xml:space="preserve"> styleref CharSectno </w:instrText>
          </w:r>
          <w:r>
            <w:rPr>
              <w:b/>
            </w:rPr>
            <w:fldChar w:fldCharType="separate"/>
          </w:r>
          <w:r>
            <w:rPr>
              <w:b/>
            </w:rPr>
            <w:t>1</w:t>
          </w:r>
          <w:r>
            <w:rPr>
              <w:b/>
            </w:rPr>
            <w:fldChar w:fldCharType="end"/>
          </w:r>
        </w:p>
      </w:tc>
    </w:tr>
  </w:tbl>
  <w:p>
    <w:pPr>
      <w:pStyle w:val="Header"/>
      <w:pBdr>
        <w:top w:val="single" w:sz="4" w:space="1" w:color="auto"/>
      </w:pBd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58" w:type="dxa"/>
          <w:gridSpan w:val="2"/>
        </w:tcPr>
        <w:p>
          <w:pPr>
            <w:pStyle w:val="Header"/>
            <w:ind w:right="17"/>
            <w:jc w:val="right"/>
          </w:pPr>
          <w:r>
            <w:rPr>
              <w:b/>
              <w:i/>
            </w:rPr>
            <w:fldChar w:fldCharType="begin"/>
          </w:r>
          <w:r>
            <w:rPr>
              <w:b/>
              <w:i/>
            </w:rPr>
            <w:instrText xml:space="preserve"> Styleref "Name of Act/Reg" </w:instrText>
          </w:r>
          <w:r>
            <w:rPr>
              <w:b/>
              <w:i/>
            </w:rPr>
            <w:fldChar w:fldCharType="separate"/>
          </w:r>
          <w:r>
            <w:rPr>
              <w:b/>
              <w:i/>
            </w:rPr>
            <w:t>Country Areas Water Supply By-laws 1957</w:t>
          </w:r>
          <w:r>
            <w:rPr>
              <w:b/>
              <w:i/>
            </w:rPr>
            <w:fldChar w:fldCharType="end"/>
          </w:r>
        </w:p>
      </w:tc>
    </w:tr>
    <w:tr>
      <w:tc>
        <w:tcPr>
          <w:tcW w:w="5715" w:type="dxa"/>
        </w:tcPr>
        <w:p>
          <w:pPr>
            <w:pStyle w:val="Header"/>
            <w:spacing w:before="40"/>
            <w:jc w:val="right"/>
          </w:pPr>
          <w:r>
            <w:fldChar w:fldCharType="begin"/>
          </w:r>
          <w:r>
            <w:instrText>styleref CharPartText</w:instrText>
          </w:r>
          <w:r>
            <w:fldChar w:fldCharType="end"/>
          </w:r>
        </w:p>
      </w:tc>
      <w:tc>
        <w:tcPr>
          <w:tcW w:w="1548" w:type="dxa"/>
        </w:tcPr>
        <w:p>
          <w:pPr>
            <w:pStyle w:val="Header"/>
            <w:spacing w:before="40"/>
            <w:ind w:right="17"/>
            <w:jc w:val="right"/>
          </w:pPr>
          <w:r>
            <w:rPr>
              <w:b/>
            </w:rPr>
            <w:fldChar w:fldCharType="begin"/>
          </w:r>
          <w:r>
            <w:rPr>
              <w:b/>
            </w:rPr>
            <w:instrText>styleref CharPartNo</w:instrText>
          </w:r>
          <w:r>
            <w:rPr>
              <w:b/>
            </w:rPr>
            <w:fldChar w:fldCharType="end"/>
          </w:r>
        </w:p>
      </w:tc>
    </w:tr>
    <w:tr>
      <w:tc>
        <w:tcPr>
          <w:tcW w:w="5715" w:type="dxa"/>
        </w:tcPr>
        <w:p>
          <w:pPr>
            <w:pStyle w:val="Header"/>
            <w:spacing w:before="40"/>
            <w:jc w:val="right"/>
          </w:pPr>
          <w:r>
            <w:fldChar w:fldCharType="begin"/>
          </w:r>
          <w:r>
            <w:instrText xml:space="preserve"> styleref CharDivText </w:instrText>
          </w:r>
          <w:r>
            <w:fldChar w:fldCharType="end"/>
          </w:r>
        </w:p>
      </w:tc>
      <w:tc>
        <w:tcPr>
          <w:tcW w:w="1548" w:type="dxa"/>
        </w:tcPr>
        <w:p>
          <w:pPr>
            <w:pStyle w:val="Header"/>
            <w:spacing w:before="40"/>
            <w:ind w:right="17"/>
            <w:jc w:val="right"/>
          </w:pPr>
          <w:r>
            <w:rPr>
              <w:b/>
            </w:rPr>
            <w:fldChar w:fldCharType="begin"/>
          </w:r>
          <w:r>
            <w:rPr>
              <w:b/>
            </w:rPr>
            <w:instrText xml:space="preserve"> styleref CharDivNo </w:instrText>
          </w:r>
          <w:r>
            <w:rPr>
              <w:b/>
            </w:rPr>
            <w:fldChar w:fldCharType="end"/>
          </w:r>
        </w:p>
      </w:tc>
    </w:tr>
    <w:tr>
      <w:trPr>
        <w:cantSplit/>
      </w:trPr>
      <w:tc>
        <w:tcPr>
          <w:tcW w:w="7258" w:type="dxa"/>
          <w:gridSpan w:val="2"/>
        </w:tcPr>
        <w:p>
          <w:pPr>
            <w:pStyle w:val="Header"/>
            <w:spacing w:before="40"/>
            <w:ind w:right="17"/>
            <w:jc w:val="right"/>
          </w:pPr>
          <w:r>
            <w:rPr>
              <w:b/>
            </w:rPr>
            <w:t xml:space="preserve">bl. </w:t>
          </w:r>
          <w:r>
            <w:rPr>
              <w:b/>
            </w:rPr>
            <w:fldChar w:fldCharType="begin"/>
          </w:r>
          <w:r>
            <w:rPr>
              <w:b/>
            </w:rPr>
            <w:instrText xml:space="preserve"> styleref CharSectno </w:instrText>
          </w:r>
          <w:r>
            <w:rPr>
              <w:b/>
            </w:rPr>
            <w:fldChar w:fldCharType="separate"/>
          </w:r>
          <w:r>
            <w:rPr>
              <w:b/>
            </w:rPr>
            <w:t>1</w:t>
          </w:r>
          <w:r>
            <w:rPr>
              <w:b/>
            </w:rPr>
            <w:fldChar w:fldCharType="end"/>
          </w:r>
        </w:p>
      </w:tc>
    </w:tr>
  </w:tbl>
  <w:p>
    <w:pPr>
      <w:pStyle w:val="Header"/>
      <w:pBdr>
        <w:top w:val="single" w:sz="4" w:space="1" w:color="auto"/>
      </w:pBd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7BE3006"/>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431CEC42"/>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4BB0328A"/>
    <w:lvl w:ilvl="0">
      <w:start w:val="1"/>
      <w:numFmt w:val="decimal"/>
      <w:pStyle w:val="ListNumber3"/>
      <w:lvlText w:val="%1."/>
      <w:lvlJc w:val="left"/>
      <w:pPr>
        <w:tabs>
          <w:tab w:val="num" w:pos="926"/>
        </w:tabs>
        <w:ind w:left="926" w:hanging="360"/>
      </w:pPr>
    </w:lvl>
  </w:abstractNum>
  <w:abstractNum w:abstractNumId="3">
    <w:nsid w:val="FFFFFF7F"/>
    <w:multiLevelType w:val="singleLevel"/>
    <w:tmpl w:val="3BCA21A6"/>
    <w:lvl w:ilvl="0">
      <w:start w:val="1"/>
      <w:numFmt w:val="decimal"/>
      <w:pStyle w:val="ListNumber2"/>
      <w:lvlText w:val="%1."/>
      <w:lvlJc w:val="left"/>
      <w:pPr>
        <w:tabs>
          <w:tab w:val="num" w:pos="643"/>
        </w:tabs>
        <w:ind w:left="643" w:hanging="360"/>
      </w:pPr>
    </w:lvl>
  </w:abstractNum>
  <w:abstractNum w:abstractNumId="4">
    <w:nsid w:val="FFFFFF80"/>
    <w:multiLevelType w:val="singleLevel"/>
    <w:tmpl w:val="5E0EB706"/>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3A5E84F6"/>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59A8E07A"/>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A1801ED6"/>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E7E2529A"/>
    <w:lvl w:ilvl="0">
      <w:start w:val="1"/>
      <w:numFmt w:val="decimal"/>
      <w:pStyle w:val="ListNumber"/>
      <w:lvlText w:val="%1."/>
      <w:lvlJc w:val="left"/>
      <w:pPr>
        <w:tabs>
          <w:tab w:val="num" w:pos="360"/>
        </w:tabs>
        <w:ind w:left="360" w:hanging="360"/>
      </w:pPr>
    </w:lvl>
  </w:abstractNum>
  <w:abstractNum w:abstractNumId="9">
    <w:nsid w:val="FFFFFF89"/>
    <w:multiLevelType w:val="singleLevel"/>
    <w:tmpl w:val="3850E1C4"/>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21C0EBC"/>
    <w:multiLevelType w:val="singleLevel"/>
    <w:tmpl w:val="1B68A73E"/>
    <w:lvl w:ilvl="0">
      <w:numFmt w:val="bullet"/>
      <w:lvlText w:val="•"/>
      <w:lvlJc w:val="left"/>
      <w:pPr>
        <w:tabs>
          <w:tab w:val="num" w:pos="360"/>
        </w:tabs>
        <w:ind w:left="284" w:hanging="284"/>
      </w:pPr>
      <w:rPr>
        <w:rFonts w:ascii="Times New Roman" w:hAnsi="Times New Roman" w:hint="default"/>
        <w:sz w:val="24"/>
      </w:rPr>
    </w:lvl>
  </w:abstractNum>
  <w:abstractNum w:abstractNumId="11">
    <w:nsid w:val="10D02321"/>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2">
    <w:nsid w:val="138B63E2"/>
    <w:multiLevelType w:val="multilevel"/>
    <w:tmpl w:val="3550C8FC"/>
    <w:name w:val="SectionNumbers"/>
    <w:lvl w:ilvl="0">
      <w:start w:val="1"/>
      <w:numFmt w:val="decimal"/>
      <w:lvlRestart w:val="0"/>
      <w:suff w:val="nothing"/>
      <w:lvlText w:val="%1"/>
      <w:lvlJc w:val="left"/>
    </w:lvl>
    <w:lvl w:ilvl="1">
      <w:start w:val="1"/>
      <w:numFmt w:val="decimal"/>
      <w:suff w:val="nothing"/>
      <w:lvlText w:val="(%2)"/>
      <w:lvlJc w:val="righ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3">
    <w:nsid w:val="17F0064C"/>
    <w:multiLevelType w:val="multilevel"/>
    <w:tmpl w:val="B978DF16"/>
    <w:name w:val="PartNumbers"/>
    <w:lvl w:ilvl="0">
      <w:start w:val="1"/>
      <w:numFmt w:val="decimal"/>
      <w:lvlRestart w:val="0"/>
      <w:suff w:val="nothing"/>
      <w:lvlText w:val="%1"/>
      <w:lvlJc w:val="left"/>
    </w:lvl>
    <w:lvl w:ilvl="1">
      <w:start w:val="1"/>
      <w:numFmt w:val="decimal"/>
      <w:suff w:val="nothing"/>
      <w:lvlText w:val="%2"/>
      <w:lvlJc w:val="left"/>
    </w:lvl>
    <w:lvl w:ilvl="2">
      <w:start w:val="1"/>
      <w:numFmt w:val="decimal"/>
      <w:suff w:val="nothing"/>
      <w:lvlText w:val="%3"/>
      <w:lvlJc w:val="left"/>
    </w:lvl>
    <w:lvl w:ilvl="3">
      <w:start w:val="1"/>
      <w:numFmt w:val="decimal"/>
      <w:suff w:val="nothing"/>
      <w:lvlText w:val="%4"/>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4">
    <w:nsid w:val="22FF52EA"/>
    <w:multiLevelType w:val="multilevel"/>
    <w:tmpl w:val="85E88ED1"/>
    <w:name w:val="PermanentNotesNumbering"/>
    <w:lvl w:ilvl="0">
      <w:start w:val="1"/>
      <w:numFmt w:val="none"/>
      <w:lvlRestart w:val="0"/>
      <w:suff w:val="nothing"/>
      <w:lvlText w:val=""/>
      <w:lvlJc w:val="left"/>
    </w:lvl>
    <w:lvl w:ilvl="1">
      <w:start w:val="1"/>
      <w:numFmt w:val="decimal"/>
      <w:suff w:val="nothing"/>
      <w:lvlText w:val="%2"/>
      <w:lvlJc w:val="left"/>
    </w:lvl>
    <w:lvl w:ilvl="2">
      <w:start w:val="1"/>
      <w:numFmt w:val="lowerLetter"/>
      <w:suff w:val="nothing"/>
      <w:lvlText w:val="(%3)"/>
      <w:lvlJc w:val="left"/>
    </w:lvl>
    <w:lvl w:ilvl="3">
      <w:start w:val="1"/>
      <w:numFmt w:val="lowerRoman"/>
      <w:suff w:val="nothing"/>
      <w:lvlText w:val="(%4)"/>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5">
    <w:nsid w:val="22FF52EB"/>
    <w:multiLevelType w:val="multilevel"/>
    <w:tmpl w:val="85E88ED0"/>
    <w:name w:val="Definition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6">
    <w:nsid w:val="2BE82A86"/>
    <w:multiLevelType w:val="multilevel"/>
    <w:tmpl w:val="E1506BB2"/>
    <w:name w:val="ScheduleNumbers"/>
    <w:lvl w:ilvl="0">
      <w:start w:val="1"/>
      <w:numFmt w:val="decimal"/>
      <w:suff w:val="nothing"/>
      <w:lvlText w:val="%1"/>
      <w:lvlJc w:val="left"/>
    </w:lvl>
    <w:lvl w:ilvl="1">
      <w:start w:val="1"/>
      <w:numFmt w:val="decimal"/>
      <w:suff w:val="nothing"/>
      <w:lvlText w:val="%2"/>
      <w:lvlJc w:val="left"/>
    </w:lvl>
    <w:lvl w:ilvl="2">
      <w:start w:val="1"/>
      <w:numFmt w:val="decimal"/>
      <w:suff w:val="nothing"/>
      <w:lvlText w:val="%3"/>
      <w:lvlJc w:val="left"/>
    </w:lvl>
    <w:lvl w:ilvl="3">
      <w:start w:val="1"/>
      <w:numFmt w:val="none"/>
      <w:suff w:val="nothing"/>
      <w:lvlText w:val=""/>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7">
    <w:nsid w:val="3C2808C0"/>
    <w:multiLevelType w:val="singleLevel"/>
    <w:tmpl w:val="BA700452"/>
    <w:lvl w:ilvl="0">
      <w:start w:val="1"/>
      <w:numFmt w:val="bullet"/>
      <w:lvlText w:val=""/>
      <w:lvlJc w:val="left"/>
      <w:pPr>
        <w:tabs>
          <w:tab w:val="num" w:pos="1446"/>
        </w:tabs>
        <w:ind w:left="1446" w:hanging="567"/>
      </w:pPr>
      <w:rPr>
        <w:rFonts w:ascii="Symbol" w:hAnsi="Symbol" w:hint="default"/>
      </w:rPr>
    </w:lvl>
  </w:abstractNum>
  <w:abstractNum w:abstractNumId="18">
    <w:nsid w:val="42C41A54"/>
    <w:multiLevelType w:val="multilevel"/>
    <w:tmpl w:val="3C54BBA6"/>
    <w:name w:val="ScheduleNumberedItems"/>
    <w:lvl w:ilvl="0">
      <w:start w:val="1"/>
      <w:numFmt w:val="decimal"/>
      <w:suff w:val="nothing"/>
      <w:lvlText w:val="%1"/>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9">
    <w:nsid w:val="5E761E26"/>
    <w:multiLevelType w:val="multilevel"/>
    <w:tmpl w:val="9B2EA622"/>
    <w:name w:val="ScheduleSectionNumbers"/>
    <w:lvl w:ilvl="0">
      <w:start w:val="1"/>
      <w:numFmt w:val="decimal"/>
      <w:suff w:val="nothing"/>
      <w:lvlText w:val="%1"/>
      <w:lvlJc w:val="left"/>
    </w:lvl>
    <w:lvl w:ilvl="1">
      <w:start w:val="1"/>
      <w:numFmt w:val="decimal"/>
      <w:suff w:val="nothing"/>
      <w:lvlText w:val="(%2)"/>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20">
    <w:nsid w:val="6FDE73CC"/>
    <w:multiLevelType w:val="multilevel"/>
    <w:tmpl w:val="F23471B8"/>
    <w:name w:val="Penalty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21">
    <w:nsid w:val="74D43785"/>
    <w:multiLevelType w:val="hybridMultilevel"/>
    <w:tmpl w:val="376A56BE"/>
    <w:lvl w:ilvl="0" w:tplc="538EFC00">
      <w:start w:val="1"/>
      <w:numFmt w:val="lowerLetter"/>
      <w:lvlText w:val="(%1)"/>
      <w:lvlJc w:val="left"/>
      <w:pPr>
        <w:ind w:left="1620" w:hanging="54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2">
    <w:nsid w:val="7AB12928"/>
    <w:multiLevelType w:val="multilevel"/>
    <w:tmpl w:val="4B987CFA"/>
    <w:name w:val="SchedulePenalty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23">
    <w:nsid w:val="7E512DEB"/>
    <w:multiLevelType w:val="multilevel"/>
    <w:tmpl w:val="9D2ACE92"/>
    <w:name w:val="ScheduleDefinition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5"/>
  </w:num>
  <w:num w:numId="12">
    <w:abstractNumId w:val="17"/>
  </w:num>
  <w:num w:numId="13">
    <w:abstractNumId w:val="10"/>
  </w:num>
  <w:num w:numId="14">
    <w:abstractNumId w:val="15"/>
  </w:num>
  <w:num w:numId="15">
    <w:abstractNumId w:val="9"/>
  </w:num>
  <w:num w:numId="16">
    <w:abstractNumId w:val="7"/>
  </w:num>
  <w:num w:numId="17">
    <w:abstractNumId w:val="6"/>
  </w:num>
  <w:num w:numId="18">
    <w:abstractNumId w:val="5"/>
  </w:num>
  <w:num w:numId="19">
    <w:abstractNumId w:val="4"/>
  </w:num>
  <w:num w:numId="20">
    <w:abstractNumId w:val="8"/>
  </w:num>
  <w:num w:numId="21">
    <w:abstractNumId w:val="3"/>
  </w:num>
  <w:num w:numId="22">
    <w:abstractNumId w:val="2"/>
  </w:num>
  <w:num w:numId="23">
    <w:abstractNumId w:val="1"/>
  </w:num>
  <w:num w:numId="24">
    <w:abstractNumId w:val="0"/>
  </w:num>
  <w:num w:numId="25">
    <w:abstractNumId w:val="17"/>
  </w:num>
  <w:num w:numId="26">
    <w:abstractNumId w:val="11"/>
  </w:num>
  <w:num w:numId="27">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bordersDoNotSurroundHeader/>
  <w:bordersDoNotSurroundFooter/>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formatting="0"/>
  <w:defaultTabStop w:val="720"/>
  <w:doNotHyphenateCaps/>
  <w:evenAndOddHeaders/>
  <w:drawingGridHorizontalSpacing w:val="57"/>
  <w:drawingGridVerticalSpacing w:val="163"/>
  <w:displayHorizontalDrawingGridEvery w:val="0"/>
  <w:displayVerticalDrawingGridEvery w:val="0"/>
  <w:doNotShadeFormData/>
  <w:noPunctuationKerning/>
  <w:characterSpacingControl w:val="doNotCompress"/>
  <w:hdrShapeDefaults>
    <o:shapedefaults v:ext="edit" spidmax="4915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WAFER" w:val="20170331103901"/>
    <w:docVar w:name="WAFER_20140122095216" w:val="RemoveTocBookmarks,RemoveUnusedBookmarks,RemoveLanguageTags,UsedStyles,ResetPageSize,UpdateArrangement"/>
    <w:docVar w:name="WAFER_20140122095216_GUID" w:val="e545c6f5-628d-4eeb-b0fe-5c2db16e5de8"/>
    <w:docVar w:name="WAFER_20140122110646" w:val="RemoveTocBookmarks,RemoveUnusedBookmarks,RemoveLanguageTags,UsedStyles,ResetPageSize,UpdateArrangement"/>
    <w:docVar w:name="WAFER_20140122110646_GUID" w:val="63631ba6-ab29-4558-904d-d4195562f1c2"/>
    <w:docVar w:name="WAFER_20150401161604" w:val="ResetPageSize,UpdateArrangement,UpdateNTable"/>
    <w:docVar w:name="WAFER_20150401161604_GUID" w:val="1f1f6a61-4660-4033-9927-6fc58e9c1b5f"/>
    <w:docVar w:name="WAFER_20151125093706" w:val="UpdateStyles"/>
    <w:docVar w:name="WAFER_20151125093706_GUID" w:val="59598178-93ee-43f8-a3b2-e3b5ced9047d"/>
    <w:docVar w:name="WAFER_20151125120533" w:val="UsedStyles"/>
    <w:docVar w:name="WAFER_20151125120533_GUID" w:val="85df6efb-ca53-41a3-be66-7250a9ca1f36"/>
    <w:docVar w:name="WAFER_20170112091715" w:val="RemoveTocBookmarks,RemoveUnusedBookmarks,RemoveLanguageTags,UsedStyles,ResetPageSize"/>
    <w:docVar w:name="WAFER_20170112091715_GUID" w:val="94ff5691-24f8-4228-81fe-7314c0bbe88e"/>
    <w:docVar w:name="WAFER_20170124102236" w:val="RemoveTocBookmarks,RemoveUnusedBookmarks,RemoveLanguageTags,UsedStyles,ResetPageSize"/>
    <w:docVar w:name="WAFER_20170124102236_GUID" w:val="b33083cf-aad2-4d5f-b654-a2c491223197"/>
    <w:docVar w:name="WAFER_20170301092812" w:val="RemoveTocBookmarks,RemoveUnusedBookmarks,RemoveLanguageTags,UsedStyles,ResetPageSize,RemoveCustomizations"/>
    <w:docVar w:name="WAFER_20170301092812_GUID" w:val="de3950c0-5dde-4275-93a8-c6bedb58bf0e"/>
    <w:docVar w:name="WAFER_20170331103849" w:val="RemoveTocBookmarks,RemoveUnusedBookmarks,RemoveLanguageTags,UsedStyles,ResetPageSize,RemoveCustomizations"/>
    <w:docVar w:name="WAFER_20170331103849_GUID" w:val="468fed02-2e65-4d95-bee2-bbd3ed07b3fc"/>
    <w:docVar w:name="WAFER_20170331103901" w:val="RemoveTocBookmarks,RemoveUnusedBookmarks,RemoveLanguageTags,UsedStyles,RemoveTrackChanges"/>
    <w:docVar w:name="WAFER_20170331103901_GUID" w:val="1ff49d98-4ae7-4fe0-bec2-58a9efeb9cb4"/>
  </w:docVar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Name"/>
  <w:shapeDefaults>
    <o:shapedefaults v:ext="edit" spidmax="4915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2" w:uiPriority="39"/>
    <w:lsdException w:name="toc 4" w:uiPriority="39"/>
    <w:lsdException w:name="toc 8" w:uiPriority="39"/>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rPr>
  </w:style>
  <w:style w:type="paragraph" w:styleId="Heading1">
    <w:name w:val="heading 1"/>
    <w:next w:val="Heading2"/>
    <w:qFormat/>
    <w:pPr>
      <w:keepNext/>
      <w:keepLines/>
      <w:pageBreakBefore/>
      <w:spacing w:before="320" w:line="260" w:lineRule="atLeast"/>
      <w:jc w:val="center"/>
      <w:outlineLvl w:val="0"/>
    </w:pPr>
    <w:rPr>
      <w:b/>
      <w:kern w:val="28"/>
      <w:sz w:val="34"/>
    </w:rPr>
  </w:style>
  <w:style w:type="paragraph" w:styleId="Heading2">
    <w:name w:val="heading 2"/>
    <w:next w:val="Heading3"/>
    <w:qFormat/>
    <w:pPr>
      <w:keepNext/>
      <w:pageBreakBefore/>
      <w:spacing w:line="260" w:lineRule="atLeast"/>
      <w:jc w:val="center"/>
      <w:outlineLvl w:val="1"/>
    </w:pPr>
    <w:rPr>
      <w:b/>
      <w:snapToGrid w:val="0"/>
      <w:sz w:val="30"/>
    </w:rPr>
  </w:style>
  <w:style w:type="paragraph" w:styleId="Heading3">
    <w:name w:val="heading 3"/>
    <w:next w:val="Heading4"/>
    <w:qFormat/>
    <w:pPr>
      <w:keepNext/>
      <w:spacing w:before="240" w:line="260" w:lineRule="atLeast"/>
      <w:jc w:val="center"/>
      <w:outlineLvl w:val="2"/>
    </w:pPr>
    <w:rPr>
      <w:b/>
      <w:sz w:val="26"/>
    </w:rPr>
  </w:style>
  <w:style w:type="paragraph" w:styleId="Heading4">
    <w:name w:val="heading 4"/>
    <w:next w:val="Heading5"/>
    <w:qFormat/>
    <w:pPr>
      <w:keepNext/>
      <w:spacing w:before="240"/>
      <w:jc w:val="center"/>
      <w:outlineLvl w:val="3"/>
    </w:pPr>
    <w:rPr>
      <w:b/>
      <w:sz w:val="24"/>
    </w:rPr>
  </w:style>
  <w:style w:type="paragraph" w:styleId="Heading5">
    <w:name w:val="heading 5"/>
    <w:next w:val="Normal"/>
    <w:qFormat/>
    <w:pPr>
      <w:keepNext/>
      <w:keepLines/>
      <w:tabs>
        <w:tab w:val="left" w:pos="879"/>
      </w:tabs>
      <w:spacing w:before="220" w:line="260" w:lineRule="atLeast"/>
      <w:ind w:left="879" w:hanging="879"/>
      <w:outlineLvl w:val="4"/>
    </w:pPr>
    <w:rPr>
      <w:b/>
      <w:sz w:val="24"/>
    </w:rPr>
  </w:style>
  <w:style w:type="paragraph" w:styleId="Heading6">
    <w:name w:val="heading 6"/>
    <w:next w:val="Normal"/>
    <w:qFormat/>
    <w:pPr>
      <w:keepNext/>
      <w:spacing w:before="240"/>
      <w:jc w:val="center"/>
      <w:outlineLvl w:val="5"/>
    </w:pPr>
    <w:rPr>
      <w:i/>
      <w:noProof/>
      <w:sz w:val="24"/>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yDefitem">
    <w:name w:val="zyDefitem"/>
    <w:pPr>
      <w:tabs>
        <w:tab w:val="right" w:pos="3459"/>
      </w:tabs>
      <w:spacing w:before="80"/>
      <w:ind w:left="3686" w:right="284" w:hanging="3119"/>
    </w:pPr>
    <w:rPr>
      <w:snapToGrid w:val="0"/>
      <w:sz w:val="22"/>
    </w:rPr>
  </w:style>
  <w:style w:type="paragraph" w:customStyle="1" w:styleId="zDefitem">
    <w:name w:val="zDefitem"/>
    <w:pPr>
      <w:tabs>
        <w:tab w:val="right" w:pos="3459"/>
      </w:tabs>
      <w:spacing w:before="80" w:line="260" w:lineRule="atLeast"/>
      <w:ind w:left="3686" w:right="284" w:hanging="3119"/>
    </w:pPr>
    <w:rPr>
      <w:snapToGrid w:val="0"/>
      <w:sz w:val="24"/>
    </w:rPr>
  </w:style>
  <w:style w:type="paragraph" w:customStyle="1" w:styleId="Defitem">
    <w:name w:val="Defitem"/>
    <w:pPr>
      <w:tabs>
        <w:tab w:val="right" w:pos="2892"/>
      </w:tabs>
      <w:spacing w:before="80" w:line="260" w:lineRule="atLeast"/>
      <w:ind w:left="3204" w:hanging="3204"/>
    </w:pPr>
    <w:rPr>
      <w:snapToGrid w:val="0"/>
      <w:sz w:val="24"/>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b/>
      <w:snapToGrid w:val="0"/>
      <w:sz w:val="34"/>
    </w:rPr>
  </w:style>
  <w:style w:type="paragraph" w:customStyle="1" w:styleId="Defpara">
    <w:name w:val="Defpara"/>
    <w:pPr>
      <w:tabs>
        <w:tab w:val="right" w:pos="1332"/>
      </w:tabs>
      <w:spacing w:before="80" w:line="260" w:lineRule="atLeast"/>
      <w:ind w:left="1616" w:hanging="1616"/>
    </w:pPr>
    <w:rPr>
      <w:snapToGrid w:val="0"/>
      <w:sz w:val="24"/>
    </w:rPr>
  </w:style>
  <w:style w:type="paragraph" w:styleId="Footer">
    <w:name w:val="footer"/>
    <w:basedOn w:val="Normal"/>
    <w:rPr>
      <w:rFonts w:ascii="Arial" w:hAnsi="Arial"/>
    </w:rPr>
  </w:style>
  <w:style w:type="paragraph" w:customStyle="1" w:styleId="Ednotesection">
    <w:name w:val="Ednote(section)"/>
    <w:pPr>
      <w:tabs>
        <w:tab w:val="left" w:pos="893"/>
      </w:tabs>
      <w:spacing w:before="220" w:line="260" w:lineRule="atLeast"/>
      <w:ind w:left="893" w:hanging="893"/>
      <w:outlineLvl w:val="4"/>
    </w:pPr>
    <w:rPr>
      <w:i/>
      <w:snapToGrid w:val="0"/>
      <w:sz w:val="24"/>
    </w:rPr>
  </w:style>
  <w:style w:type="character" w:styleId="LineNumber">
    <w:name w:val="line number"/>
    <w:basedOn w:val="DefaultParagraphFont"/>
    <w:rPr>
      <w:rFonts w:ascii="Arial" w:hAnsi="Arial"/>
      <w:sz w:val="16"/>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Penstart">
    <w:name w:val="Penstart"/>
    <w:basedOn w:val="Normal"/>
    <w:pPr>
      <w:tabs>
        <w:tab w:val="left" w:pos="879"/>
      </w:tabs>
      <w:spacing w:before="80" w:line="260" w:lineRule="atLeast"/>
      <w:ind w:left="1332" w:hanging="1332"/>
    </w:pPr>
  </w:style>
  <w:style w:type="paragraph" w:customStyle="1" w:styleId="Preamble">
    <w:name w:val="Preamble"/>
    <w:pPr>
      <w:tabs>
        <w:tab w:val="left" w:pos="567"/>
      </w:tabs>
      <w:spacing w:before="160" w:line="260" w:lineRule="atLeast"/>
      <w:ind w:left="567" w:hanging="567"/>
    </w:pPr>
    <w:rPr>
      <w:rFonts w:ascii="Times" w:hAnsi="Times"/>
      <w:sz w:val="24"/>
    </w:rPr>
  </w:style>
  <w:style w:type="character" w:styleId="Strong">
    <w:name w:val="Strong"/>
    <w:basedOn w:val="DefaultParagraphFont"/>
    <w:qFormat/>
    <w:rPr>
      <w:b/>
      <w:sz w:val="24"/>
    </w:rPr>
  </w:style>
  <w:style w:type="paragraph" w:customStyle="1" w:styleId="ySubsection">
    <w:name w:val="ySubsection"/>
    <w:basedOn w:val="Subsection"/>
    <w:pPr>
      <w:spacing w:line="240" w:lineRule="auto"/>
    </w:pPr>
    <w:rPr>
      <w:sz w:val="22"/>
    </w:rPr>
  </w:style>
  <w:style w:type="paragraph" w:customStyle="1" w:styleId="Subsection">
    <w:name w:val="Subsection"/>
    <w:pPr>
      <w:tabs>
        <w:tab w:val="right" w:pos="595"/>
        <w:tab w:val="left" w:pos="879"/>
      </w:tabs>
      <w:spacing w:before="160" w:line="260" w:lineRule="atLeast"/>
      <w:ind w:left="879" w:hanging="879"/>
    </w:pPr>
    <w:rPr>
      <w:sz w:val="24"/>
    </w:rPr>
  </w:style>
  <w:style w:type="paragraph" w:customStyle="1" w:styleId="Table">
    <w:name w:val="Table"/>
    <w:aliases w:val="t"/>
    <w:basedOn w:val="Normal"/>
    <w:pPr>
      <w:spacing w:before="60" w:line="240" w:lineRule="atLeast"/>
    </w:pPr>
    <w:rPr>
      <w:sz w:val="22"/>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2">
    <w:name w:val="toc 2"/>
    <w:next w:val="Normal"/>
    <w:uiPriority w:val="39"/>
    <w:pPr>
      <w:keepNext/>
      <w:spacing w:before="120" w:after="60"/>
      <w:ind w:left="1985" w:right="1134" w:hanging="567"/>
    </w:pPr>
    <w:rPr>
      <w:b/>
      <w:noProof/>
      <w:sz w:val="28"/>
    </w:rPr>
  </w:style>
  <w:style w:type="character" w:customStyle="1" w:styleId="CharSClsNo">
    <w:name w:val="CharSClsNo"/>
    <w:basedOn w:val="DefaultParagraphFont"/>
    <w:rPr>
      <w:sz w:val="22"/>
    </w:rPr>
  </w:style>
  <w:style w:type="paragraph" w:styleId="TOC4">
    <w:name w:val="toc 4"/>
    <w:next w:val="Normal"/>
    <w:uiPriority w:val="39"/>
    <w:pPr>
      <w:keepNext/>
      <w:spacing w:before="60" w:after="20"/>
      <w:ind w:left="1985" w:right="1134" w:hanging="567"/>
    </w:pPr>
    <w:rPr>
      <w:b/>
      <w:noProof/>
      <w:sz w:val="22"/>
    </w:rPr>
  </w:style>
  <w:style w:type="paragraph" w:styleId="TOC5">
    <w:name w:val="toc 5"/>
    <w:next w:val="Normal"/>
    <w:semiHidden/>
    <w:pPr>
      <w:keepNext/>
      <w:spacing w:before="60" w:after="20"/>
      <w:ind w:left="1985" w:right="1134" w:hanging="567"/>
    </w:pPr>
    <w:rPr>
      <w:rFonts w:ascii="Helvetica" w:hAnsi="Helvetica"/>
      <w:b/>
      <w:noProof/>
      <w:sz w:val="18"/>
    </w:rPr>
  </w:style>
  <w:style w:type="paragraph" w:styleId="TOC6">
    <w:name w:val="toc 6"/>
    <w:next w:val="Normal"/>
    <w:semiHidden/>
    <w:pPr>
      <w:keepNext/>
      <w:spacing w:before="60" w:after="20"/>
      <w:ind w:left="1985" w:right="1134" w:hanging="567"/>
    </w:pPr>
    <w:rPr>
      <w:b/>
      <w:noProof/>
    </w:rPr>
  </w:style>
  <w:style w:type="paragraph" w:styleId="TOC7">
    <w:name w:val="toc 7"/>
    <w:next w:val="Normal"/>
    <w:semiHidden/>
    <w:pPr>
      <w:keepNext/>
      <w:spacing w:before="60" w:after="20"/>
      <w:ind w:left="1985" w:right="1134" w:hanging="567"/>
    </w:pPr>
    <w:rPr>
      <w:rFonts w:ascii="Helvetica" w:hAnsi="Helvetica"/>
      <w:b/>
      <w:sz w:val="18"/>
    </w:rPr>
  </w:style>
  <w:style w:type="paragraph" w:styleId="TOC8">
    <w:name w:val="toc 8"/>
    <w:next w:val="Normal"/>
    <w:uiPriority w:val="39"/>
    <w:pPr>
      <w:tabs>
        <w:tab w:val="left" w:pos="1418"/>
        <w:tab w:val="right" w:pos="6804"/>
      </w:tabs>
      <w:ind w:left="1418" w:right="1134" w:hanging="851"/>
    </w:pPr>
    <w:rPr>
      <w:noProof/>
      <w:sz w:val="22"/>
    </w:rPr>
  </w:style>
  <w:style w:type="paragraph" w:styleId="TOC9">
    <w:name w:val="toc 9"/>
    <w:next w:val="Normal"/>
    <w:semiHidden/>
    <w:pPr>
      <w:tabs>
        <w:tab w:val="left" w:pos="2268"/>
        <w:tab w:val="right" w:pos="6237"/>
      </w:tabs>
      <w:ind w:left="2269" w:right="1418" w:hanging="851"/>
    </w:pPr>
    <w:rPr>
      <w:rFonts w:ascii="Helvetica" w:hAnsi="Helvetica"/>
      <w:sz w:val="18"/>
    </w:rPr>
  </w:style>
  <w:style w:type="paragraph" w:customStyle="1" w:styleId="Defstart">
    <w:name w:val="Defstart"/>
    <w:pPr>
      <w:spacing w:before="80" w:line="260" w:lineRule="atLeast"/>
      <w:ind w:left="879" w:hanging="879"/>
    </w:pPr>
    <w:rPr>
      <w:snapToGrid w:val="0"/>
      <w:sz w:val="24"/>
    </w:rPr>
  </w:style>
  <w:style w:type="paragraph" w:customStyle="1" w:styleId="Defsubpara">
    <w:name w:val="Defsubpara"/>
    <w:pPr>
      <w:keepLines/>
      <w:tabs>
        <w:tab w:val="right" w:pos="2041"/>
      </w:tabs>
      <w:spacing w:before="80" w:line="260" w:lineRule="atLeast"/>
      <w:ind w:left="2325" w:hanging="2325"/>
    </w:pPr>
    <w:rPr>
      <w:snapToGrid w:val="0"/>
      <w:sz w:val="24"/>
    </w:rPr>
  </w:style>
  <w:style w:type="character" w:styleId="EndnoteReference">
    <w:name w:val="endnote reference"/>
    <w:basedOn w:val="DefaultParagraphFont"/>
    <w:semiHidden/>
    <w:rPr>
      <w:sz w:val="24"/>
      <w:vertAlign w:val="superscript"/>
    </w:rPr>
  </w:style>
  <w:style w:type="paragraph" w:styleId="BodyText">
    <w:name w:val="Body Text"/>
    <w:basedOn w:val="Normal"/>
    <w:pPr>
      <w:spacing w:after="120"/>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character" w:styleId="Hyperlink">
    <w:name w:val="Hyperlink"/>
    <w:basedOn w:val="DefaultParagraphFont"/>
    <w:rPr>
      <w:color w:val="0000FF"/>
      <w:sz w:val="24"/>
      <w:u w:val="single"/>
    </w:rPr>
  </w:style>
  <w:style w:type="character" w:styleId="FollowedHyperlink">
    <w:name w:val="FollowedHyperlink"/>
    <w:basedOn w:val="DefaultParagraphFont"/>
    <w:rPr>
      <w:color w:val="800080"/>
      <w:sz w:val="24"/>
      <w:u w:val="single"/>
    </w:rPr>
  </w:style>
  <w:style w:type="paragraph" w:customStyle="1" w:styleId="AssentNote">
    <w:name w:val="Assent Note"/>
    <w:pPr>
      <w:keepLines/>
      <w:spacing w:before="160" w:after="240"/>
      <w:jc w:val="right"/>
    </w:pPr>
    <w:rPr>
      <w:i/>
      <w:snapToGrid w:val="0"/>
      <w:sz w:val="24"/>
    </w:rPr>
  </w:style>
  <w:style w:type="paragraph" w:customStyle="1" w:styleId="Enactment">
    <w:name w:val="Enactment"/>
    <w:pPr>
      <w:spacing w:before="800"/>
    </w:pPr>
    <w:rPr>
      <w:sz w:val="24"/>
    </w:rPr>
  </w:style>
  <w:style w:type="paragraph" w:customStyle="1" w:styleId="Footnotesection">
    <w:name w:val="Footnote(section)"/>
    <w:pPr>
      <w:keepLines/>
      <w:tabs>
        <w:tab w:val="left" w:pos="893"/>
      </w:tabs>
      <w:spacing w:before="120" w:line="260" w:lineRule="atLeast"/>
      <w:ind w:left="893" w:hanging="893"/>
    </w:pPr>
    <w:rPr>
      <w:i/>
      <w:snapToGrid w:val="0"/>
      <w:sz w:val="24"/>
    </w:rPr>
  </w:style>
  <w:style w:type="paragraph" w:styleId="FootnoteText">
    <w:name w:val="footnote text"/>
    <w:basedOn w:val="Normal"/>
    <w:semiHidden/>
  </w:style>
  <w:style w:type="paragraph" w:customStyle="1" w:styleId="LongTitle">
    <w:name w:val="Long Title"/>
    <w:rPr>
      <w:b/>
      <w:sz w:val="24"/>
    </w:rPr>
  </w:style>
  <w:style w:type="paragraph" w:styleId="Signature">
    <w:name w:val="Signature"/>
    <w:basedOn w:val="Normal"/>
    <w:pPr>
      <w:ind w:left="4252"/>
    </w:pPr>
  </w:style>
  <w:style w:type="paragraph" w:styleId="List">
    <w:name w:val="List"/>
    <w:basedOn w:val="Normal"/>
    <w:pPr>
      <w:ind w:left="283" w:hanging="283"/>
    </w:pPr>
  </w:style>
  <w:style w:type="paragraph" w:customStyle="1" w:styleId="Indenta">
    <w:name w:val="Indent(a)"/>
    <w:pPr>
      <w:tabs>
        <w:tab w:val="right" w:pos="1332"/>
        <w:tab w:val="left" w:pos="1616"/>
      </w:tabs>
      <w:spacing w:before="80" w:line="260" w:lineRule="atLeast"/>
      <w:ind w:left="1616" w:hanging="1616"/>
    </w:pPr>
    <w:rPr>
      <w:sz w:val="24"/>
    </w:rPr>
  </w:style>
  <w:style w:type="paragraph" w:customStyle="1" w:styleId="IndentA0">
    <w:name w:val="Indent(A)"/>
    <w:pPr>
      <w:tabs>
        <w:tab w:val="right" w:pos="3686"/>
        <w:tab w:val="left" w:pos="3969"/>
      </w:tabs>
      <w:spacing w:before="80" w:line="260" w:lineRule="atLeast"/>
      <w:ind w:left="3969" w:hanging="3969"/>
    </w:pPr>
    <w:rPr>
      <w:sz w:val="24"/>
    </w:rPr>
  </w:style>
  <w:style w:type="paragraph" w:customStyle="1" w:styleId="Indenti">
    <w:name w:val="Indent(i)"/>
    <w:pPr>
      <w:tabs>
        <w:tab w:val="right" w:pos="2041"/>
        <w:tab w:val="left" w:pos="2325"/>
      </w:tabs>
      <w:spacing w:before="80" w:line="260" w:lineRule="atLeast"/>
      <w:ind w:left="2325" w:hanging="2325"/>
    </w:pPr>
    <w:rPr>
      <w:sz w:val="24"/>
    </w:rPr>
  </w:style>
  <w:style w:type="paragraph" w:customStyle="1" w:styleId="IndentI0">
    <w:name w:val="Indent(I)"/>
    <w:pPr>
      <w:tabs>
        <w:tab w:val="right" w:pos="2892"/>
        <w:tab w:val="left" w:pos="3204"/>
      </w:tabs>
      <w:spacing w:before="80" w:line="260" w:lineRule="atLeast"/>
      <w:ind w:left="3204" w:hanging="3204"/>
    </w:pPr>
    <w:rPr>
      <w:sz w:val="24"/>
    </w:rPr>
  </w:style>
  <w:style w:type="character" w:customStyle="1" w:styleId="CharChapNo">
    <w:name w:val="CharChapNo"/>
    <w:rPr>
      <w:noProof w:val="0"/>
    </w:rPr>
  </w:style>
  <w:style w:type="paragraph" w:customStyle="1" w:styleId="Ednotesubpara">
    <w:name w:val="Ednote(subpara)"/>
    <w:pPr>
      <w:tabs>
        <w:tab w:val="right" w:pos="2047"/>
        <w:tab w:val="left" w:pos="2333"/>
      </w:tabs>
      <w:spacing w:before="80" w:line="260" w:lineRule="atLeast"/>
      <w:ind w:left="2330" w:hanging="2330"/>
    </w:pPr>
    <w:rPr>
      <w:i/>
      <w:sz w:val="24"/>
    </w:rPr>
  </w:style>
  <w:style w:type="paragraph" w:customStyle="1" w:styleId="Ednotepara">
    <w:name w:val="Ednote(para)"/>
    <w:pPr>
      <w:tabs>
        <w:tab w:val="right" w:pos="1325"/>
        <w:tab w:val="left" w:pos="1613"/>
      </w:tabs>
      <w:spacing w:before="120" w:line="260" w:lineRule="atLeast"/>
      <w:ind w:left="1613" w:hanging="1613"/>
    </w:pPr>
    <w:rPr>
      <w:i/>
      <w:sz w:val="24"/>
    </w:rPr>
  </w:style>
  <w:style w:type="paragraph" w:customStyle="1" w:styleId="Footnoteheading">
    <w:name w:val="Footnote(heading)"/>
    <w:pPr>
      <w:tabs>
        <w:tab w:val="left" w:pos="879"/>
      </w:tabs>
      <w:spacing w:before="120" w:line="260" w:lineRule="atLeast"/>
      <w:ind w:left="879" w:hanging="879"/>
    </w:pPr>
    <w:rPr>
      <w:i/>
      <w:sz w:val="24"/>
    </w:rPr>
  </w:style>
  <w:style w:type="character" w:customStyle="1" w:styleId="CharChapText">
    <w:name w:val="CharChapText"/>
    <w:rPr>
      <w:noProof w:val="0"/>
    </w:rPr>
  </w:style>
  <w:style w:type="character" w:customStyle="1" w:styleId="CharDivNo">
    <w:name w:val="CharDivNo"/>
    <w:rPr>
      <w:noProof w:val="0"/>
    </w:rPr>
  </w:style>
  <w:style w:type="character" w:customStyle="1" w:styleId="CharDivText">
    <w:name w:val="CharDivText"/>
    <w:rPr>
      <w:noProof w:val="0"/>
    </w:rPr>
  </w:style>
  <w:style w:type="character" w:customStyle="1" w:styleId="CharPartNo">
    <w:name w:val="CharPartNo"/>
    <w:rPr>
      <w:noProof w:val="0"/>
    </w:rPr>
  </w:style>
  <w:style w:type="character" w:customStyle="1" w:styleId="CharPartText">
    <w:name w:val="CharPartText"/>
    <w:rPr>
      <w:noProof w:val="0"/>
    </w:rPr>
  </w:style>
  <w:style w:type="character" w:customStyle="1" w:styleId="CharSectno">
    <w:name w:val="CharSectno"/>
    <w:rPr>
      <w:noProof w:val="0"/>
    </w:rPr>
  </w:style>
  <w:style w:type="paragraph" w:customStyle="1" w:styleId="MiscClose">
    <w:name w:val="MiscClose"/>
    <w:basedOn w:val="Normal"/>
    <w:pPr>
      <w:keepLines/>
      <w:tabs>
        <w:tab w:val="left" w:pos="893"/>
      </w:tabs>
      <w:spacing w:line="260" w:lineRule="atLeast"/>
      <w:jc w:val="right"/>
    </w:pPr>
  </w:style>
  <w:style w:type="character" w:customStyle="1" w:styleId="CharSchNo">
    <w:name w:val="CharSchNo"/>
    <w:rPr>
      <w:noProof w:val="0"/>
    </w:rPr>
  </w:style>
  <w:style w:type="paragraph" w:customStyle="1" w:styleId="Ednoteitem">
    <w:name w:val="Ednote(item)"/>
    <w:pPr>
      <w:tabs>
        <w:tab w:val="right" w:pos="2765"/>
        <w:tab w:val="left" w:pos="3053"/>
      </w:tabs>
      <w:spacing w:before="80" w:line="260" w:lineRule="atLeast"/>
      <w:ind w:left="3050" w:hanging="3050"/>
    </w:pPr>
    <w:rPr>
      <w:i/>
      <w:sz w:val="24"/>
    </w:rPr>
  </w:style>
  <w:style w:type="paragraph" w:customStyle="1" w:styleId="zHeading1">
    <w:name w:val="zHeading 1"/>
    <w:basedOn w:val="Heading1"/>
    <w:pPr>
      <w:ind w:left="567" w:right="284"/>
      <w:outlineLvl w:val="9"/>
    </w:p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yHeading2">
    <w:name w:val="yHeading 2"/>
    <w:basedOn w:val="Heading2"/>
    <w:pPr>
      <w:pageBreakBefore w:val="0"/>
      <w:spacing w:before="240" w:line="240" w:lineRule="auto"/>
    </w:pPr>
    <w:rPr>
      <w:sz w:val="28"/>
    </w:rPr>
  </w:style>
  <w:style w:type="paragraph" w:customStyle="1" w:styleId="yHeading1">
    <w:name w:val="yHeading 1"/>
    <w:basedOn w:val="Heading1"/>
    <w:pPr>
      <w:spacing w:line="240" w:lineRule="auto"/>
    </w:pPr>
    <w:rPr>
      <w:sz w:val="32"/>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Ednotesubitem">
    <w:name w:val="Ednote(subitem)"/>
    <w:pPr>
      <w:tabs>
        <w:tab w:val="right" w:pos="3485"/>
        <w:tab w:val="left" w:pos="3773"/>
      </w:tabs>
      <w:spacing w:before="80" w:line="260" w:lineRule="atLeast"/>
      <w:ind w:left="3771" w:hanging="3771"/>
    </w:pPr>
    <w:rPr>
      <w:i/>
      <w:sz w:val="24"/>
    </w:rPr>
  </w:style>
  <w:style w:type="paragraph" w:customStyle="1" w:styleId="Penpara">
    <w:name w:val="Penpara"/>
    <w:pPr>
      <w:tabs>
        <w:tab w:val="right" w:pos="1616"/>
        <w:tab w:val="left" w:pos="1899"/>
      </w:tabs>
      <w:spacing w:before="80" w:line="260" w:lineRule="atLeast"/>
      <w:ind w:left="1899" w:hanging="1899"/>
    </w:pPr>
    <w:rPr>
      <w:sz w:val="24"/>
    </w:rPr>
  </w:style>
  <w:style w:type="paragraph" w:customStyle="1" w:styleId="Pensubpara">
    <w:name w:val="Pensubpara"/>
    <w:pPr>
      <w:tabs>
        <w:tab w:val="right" w:pos="2325"/>
        <w:tab w:val="left" w:pos="2608"/>
      </w:tabs>
      <w:spacing w:before="80" w:line="260" w:lineRule="atLeast"/>
      <w:ind w:left="2608" w:hanging="2608"/>
    </w:pPr>
    <w:rPr>
      <w:sz w:val="24"/>
    </w:rPr>
  </w:style>
  <w:style w:type="paragraph" w:customStyle="1" w:styleId="Penitem">
    <w:name w:val="Penitem"/>
    <w:pPr>
      <w:tabs>
        <w:tab w:val="right" w:pos="3119"/>
        <w:tab w:val="left" w:pos="3402"/>
      </w:tabs>
      <w:spacing w:before="80" w:line="260" w:lineRule="atLeast"/>
      <w:ind w:left="3402" w:hanging="3402"/>
    </w:pPr>
    <w:rPr>
      <w:sz w:val="24"/>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yPenstart">
    <w:name w:val="yPenstart"/>
    <w:basedOn w:val="Penstart"/>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Penitem">
    <w:name w:val="yPenitem"/>
    <w:basedOn w:val="Penitem"/>
    <w:pPr>
      <w:spacing w:line="240" w:lineRule="auto"/>
    </w:pPr>
    <w:rPr>
      <w:sz w:val="22"/>
    </w:rPr>
  </w:style>
  <w:style w:type="paragraph" w:customStyle="1" w:styleId="zPenpara">
    <w:name w:val="zPenpara"/>
    <w:basedOn w:val="Normal"/>
    <w:pPr>
      <w:tabs>
        <w:tab w:val="right" w:pos="2155"/>
        <w:tab w:val="left" w:pos="2438"/>
      </w:tabs>
      <w:spacing w:before="80" w:line="260" w:lineRule="atLeast"/>
      <w:ind w:left="2439" w:right="284" w:hanging="2070"/>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yDefpara">
    <w:name w:val="yDefpara"/>
    <w:pPr>
      <w:tabs>
        <w:tab w:val="right" w:pos="1332"/>
      </w:tabs>
      <w:spacing w:before="80"/>
      <w:ind w:left="1616" w:hanging="1616"/>
    </w:pPr>
    <w:rPr>
      <w:snapToGrid w:val="0"/>
      <w:sz w:val="22"/>
    </w:rPr>
  </w:style>
  <w:style w:type="paragraph" w:customStyle="1" w:styleId="yDefstart">
    <w:name w:val="yDefstart"/>
    <w:pPr>
      <w:spacing w:before="80"/>
      <w:ind w:left="879" w:hanging="879"/>
    </w:pPr>
    <w:rPr>
      <w:snapToGrid w:val="0"/>
      <w:sz w:val="22"/>
    </w:rPr>
  </w:style>
  <w:style w:type="paragraph" w:customStyle="1" w:styleId="yDefsubpara">
    <w:name w:val="yDefsubpara"/>
    <w:pPr>
      <w:keepLines/>
      <w:tabs>
        <w:tab w:val="right" w:pos="2041"/>
      </w:tabs>
      <w:spacing w:before="80"/>
      <w:ind w:left="2325" w:hanging="2325"/>
    </w:pPr>
    <w:rPr>
      <w:snapToGrid w:val="0"/>
      <w:sz w:val="22"/>
    </w:rPr>
  </w:style>
  <w:style w:type="paragraph" w:customStyle="1" w:styleId="yDefitem">
    <w:name w:val="yDefitem"/>
    <w:pPr>
      <w:tabs>
        <w:tab w:val="right" w:pos="2892"/>
      </w:tabs>
      <w:spacing w:before="80"/>
      <w:ind w:left="3204" w:hanging="3204"/>
    </w:pPr>
    <w:rPr>
      <w:snapToGrid w:val="0"/>
      <w:sz w:val="22"/>
    </w:rPr>
  </w:style>
  <w:style w:type="paragraph" w:customStyle="1" w:styleId="zDefstart">
    <w:name w:val="zDefstart"/>
    <w:pPr>
      <w:spacing w:before="80" w:line="260" w:lineRule="atLeast"/>
      <w:ind w:left="1446" w:right="284" w:hanging="879"/>
    </w:pPr>
    <w:rPr>
      <w:snapToGrid w:val="0"/>
      <w:sz w:val="24"/>
    </w:rPr>
  </w:style>
  <w:style w:type="paragraph" w:customStyle="1" w:styleId="zDefpara">
    <w:name w:val="zDefpara"/>
    <w:pPr>
      <w:tabs>
        <w:tab w:val="right" w:pos="1899"/>
      </w:tabs>
      <w:spacing w:before="80" w:line="260" w:lineRule="atLeast"/>
      <w:ind w:left="2183" w:right="284" w:hanging="1616"/>
    </w:pPr>
    <w:rPr>
      <w:snapToGrid w:val="0"/>
      <w:sz w:val="24"/>
    </w:rPr>
  </w:style>
  <w:style w:type="paragraph" w:customStyle="1" w:styleId="zDefsubpara">
    <w:name w:val="zDefsubpara"/>
    <w:pPr>
      <w:keepLines/>
      <w:tabs>
        <w:tab w:val="right" w:pos="2608"/>
      </w:tabs>
      <w:spacing w:before="80" w:line="260" w:lineRule="atLeast"/>
      <w:ind w:left="2892" w:right="284" w:hanging="2325"/>
    </w:pPr>
    <w:rPr>
      <w:snapToGrid w:val="0"/>
      <w:sz w:val="24"/>
    </w:rPr>
  </w:style>
  <w:style w:type="paragraph" w:customStyle="1" w:styleId="zyDefpara">
    <w:name w:val="zyDefpara"/>
    <w:pPr>
      <w:tabs>
        <w:tab w:val="right" w:pos="1899"/>
      </w:tabs>
      <w:spacing w:before="80"/>
      <w:ind w:left="2183" w:right="284" w:hanging="1616"/>
    </w:pPr>
    <w:rPr>
      <w:snapToGrid w:val="0"/>
      <w:sz w:val="22"/>
    </w:rPr>
  </w:style>
  <w:style w:type="paragraph" w:customStyle="1" w:styleId="zyDefstart">
    <w:name w:val="zyDefstart"/>
    <w:pPr>
      <w:spacing w:before="80"/>
      <w:ind w:left="1446" w:right="284" w:hanging="879"/>
    </w:pPr>
    <w:rPr>
      <w:snapToGrid w:val="0"/>
      <w:sz w:val="22"/>
    </w:rPr>
  </w:style>
  <w:style w:type="paragraph" w:customStyle="1" w:styleId="zyDefsubpara">
    <w:name w:val="zyDefsubpara"/>
    <w:pPr>
      <w:keepLines/>
      <w:tabs>
        <w:tab w:val="right" w:pos="2608"/>
      </w:tabs>
      <w:spacing w:before="80"/>
      <w:ind w:left="2892" w:right="284" w:hanging="2325"/>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8"/>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8"/>
    </w:rPr>
  </w:style>
  <w:style w:type="paragraph" w:styleId="Caption">
    <w:name w:val="caption"/>
    <w:basedOn w:val="Normal"/>
    <w:next w:val="Normal"/>
    <w:qFormat/>
    <w:pPr>
      <w:spacing w:before="120" w:after="120"/>
    </w:pPr>
    <w:rPr>
      <w:b/>
    </w:rPr>
  </w:style>
  <w:style w:type="paragraph" w:styleId="Closing">
    <w:name w:val="Closing"/>
    <w:basedOn w:val="Normal"/>
    <w:pPr>
      <w:ind w:left="4252"/>
    </w:pPr>
  </w:style>
  <w:style w:type="character" w:styleId="CommentReference">
    <w:name w:val="annotation reference"/>
    <w:basedOn w:val="DefaultParagraphFont"/>
    <w:semiHidden/>
    <w:rPr>
      <w:noProof w:val="0"/>
      <w:sz w:val="18"/>
    </w:rPr>
  </w:style>
  <w:style w:type="paragraph" w:styleId="CommentText">
    <w:name w:val="annotation text"/>
    <w:basedOn w:val="Normal"/>
    <w:semiHidden/>
  </w:style>
  <w:style w:type="paragraph" w:styleId="Date">
    <w:name w:val="Date"/>
    <w:basedOn w:val="Normal"/>
    <w:next w:val="Normal"/>
  </w:style>
  <w:style w:type="character" w:styleId="Emphasis">
    <w:name w:val="Emphasis"/>
    <w:basedOn w:val="DefaultParagraphFont"/>
    <w:qFormat/>
    <w:rPr>
      <w:i/>
      <w:sz w:val="24"/>
    </w:rPr>
  </w:style>
  <w:style w:type="paragraph" w:styleId="EndnoteText">
    <w:name w:val="endnote text"/>
    <w:basedOn w:val="Normal"/>
    <w:semiHidden/>
    <w:pPr>
      <w:spacing w:after="40"/>
      <w:ind w:left="397" w:hanging="397"/>
    </w:pPr>
  </w:style>
  <w:style w:type="paragraph" w:styleId="EnvelopeAddress">
    <w:name w:val="envelope address"/>
    <w:basedOn w:val="Normal"/>
    <w:pPr>
      <w:framePr w:w="7920" w:h="1980" w:hRule="exact" w:hSpace="180" w:wrap="auto" w:hAnchor="page" w:xAlign="center" w:yAlign="bottom"/>
      <w:ind w:left="2880"/>
    </w:pPr>
    <w:rPr>
      <w:rFonts w:ascii="Arial" w:hAnsi="Arial"/>
      <w:sz w:val="26"/>
    </w:rPr>
  </w:style>
  <w:style w:type="paragraph" w:styleId="EnvelopeReturn">
    <w:name w:val="envelope return"/>
    <w:basedOn w:val="Normal"/>
    <w:rPr>
      <w:rFonts w:ascii="Arial" w:hAnsi="Arial"/>
    </w:rPr>
  </w:style>
  <w:style w:type="character" w:styleId="FootnoteReference">
    <w:name w:val="footnote reference"/>
    <w:basedOn w:val="DefaultParagraphFont"/>
    <w:semiHidden/>
    <w:rPr>
      <w:sz w:val="24"/>
      <w:vertAlign w:val="superscript"/>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autoRedefine/>
    <w:pPr>
      <w:numPr>
        <w:numId w:val="15"/>
      </w:numPr>
    </w:pPr>
  </w:style>
  <w:style w:type="paragraph" w:styleId="ListBullet2">
    <w:name w:val="List Bullet 2"/>
    <w:basedOn w:val="Normal"/>
    <w:autoRedefine/>
    <w:pPr>
      <w:numPr>
        <w:numId w:val="16"/>
      </w:numPr>
      <w:tabs>
        <w:tab w:val="clear" w:pos="643"/>
        <w:tab w:val="num" w:pos="720"/>
      </w:tabs>
      <w:ind w:left="720"/>
    </w:pPr>
  </w:style>
  <w:style w:type="paragraph" w:styleId="ListBullet3">
    <w:name w:val="List Bullet 3"/>
    <w:basedOn w:val="Normal"/>
    <w:autoRedefine/>
    <w:pPr>
      <w:numPr>
        <w:numId w:val="17"/>
      </w:numPr>
      <w:tabs>
        <w:tab w:val="clear" w:pos="926"/>
        <w:tab w:val="num" w:pos="1080"/>
      </w:tabs>
      <w:ind w:left="1080"/>
    </w:pPr>
  </w:style>
  <w:style w:type="paragraph" w:styleId="ListBullet4">
    <w:name w:val="List Bullet 4"/>
    <w:basedOn w:val="Normal"/>
    <w:autoRedefine/>
    <w:pPr>
      <w:numPr>
        <w:numId w:val="18"/>
      </w:numPr>
      <w:tabs>
        <w:tab w:val="clear" w:pos="1209"/>
        <w:tab w:val="num" w:pos="1440"/>
      </w:tabs>
      <w:ind w:left="1440"/>
    </w:pPr>
  </w:style>
  <w:style w:type="paragraph" w:styleId="ListBullet5">
    <w:name w:val="List Bullet 5"/>
    <w:basedOn w:val="Normal"/>
    <w:autoRedefine/>
    <w:pPr>
      <w:numPr>
        <w:numId w:val="19"/>
      </w:numPr>
      <w:tabs>
        <w:tab w:val="clear" w:pos="1492"/>
        <w:tab w:val="num" w:pos="1800"/>
      </w:tabs>
      <w:ind w:left="1800"/>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numPr>
        <w:numId w:val="20"/>
      </w:numPr>
    </w:pPr>
  </w:style>
  <w:style w:type="paragraph" w:styleId="ListNumber2">
    <w:name w:val="List Number 2"/>
    <w:basedOn w:val="Normal"/>
    <w:pPr>
      <w:numPr>
        <w:numId w:val="21"/>
      </w:numPr>
      <w:tabs>
        <w:tab w:val="clear" w:pos="643"/>
        <w:tab w:val="num" w:pos="720"/>
      </w:tabs>
      <w:ind w:left="720"/>
    </w:pPr>
  </w:style>
  <w:style w:type="paragraph" w:styleId="ListNumber3">
    <w:name w:val="List Number 3"/>
    <w:basedOn w:val="Normal"/>
    <w:pPr>
      <w:numPr>
        <w:numId w:val="22"/>
      </w:numPr>
      <w:tabs>
        <w:tab w:val="clear" w:pos="926"/>
        <w:tab w:val="num" w:pos="1080"/>
      </w:tabs>
      <w:ind w:left="1080"/>
    </w:pPr>
  </w:style>
  <w:style w:type="paragraph" w:styleId="ListNumber4">
    <w:name w:val="List Number 4"/>
    <w:basedOn w:val="Normal"/>
    <w:pPr>
      <w:numPr>
        <w:numId w:val="23"/>
      </w:numPr>
      <w:tabs>
        <w:tab w:val="clear" w:pos="1209"/>
        <w:tab w:val="num" w:pos="1440"/>
      </w:tabs>
      <w:ind w:left="1440"/>
    </w:pPr>
  </w:style>
  <w:style w:type="paragraph" w:styleId="ListNumber5">
    <w:name w:val="List Number 5"/>
    <w:basedOn w:val="Normal"/>
    <w:pPr>
      <w:numPr>
        <w:numId w:val="24"/>
      </w:numPr>
      <w:tabs>
        <w:tab w:val="clear" w:pos="1492"/>
        <w:tab w:val="num" w:pos="1800"/>
      </w:tabs>
      <w:ind w:left="1800"/>
    </w:p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styleId="NormalIndent">
    <w:name w:val="Normal Indent"/>
    <w:basedOn w:val="Normal"/>
    <w:pPr>
      <w:ind w:left="720"/>
    </w:pPr>
  </w:style>
  <w:style w:type="paragraph" w:styleId="NoteHeading">
    <w:name w:val="Note Heading"/>
    <w:basedOn w:val="Normal"/>
    <w:next w:val="Normal"/>
  </w:style>
  <w:style w:type="paragraph" w:styleId="Salutation">
    <w:name w:val="Salutation"/>
    <w:basedOn w:val="Normal"/>
    <w:next w:val="Normal"/>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WA">
    <w:name w:val="WA"/>
    <w:pPr>
      <w:spacing w:after="720"/>
      <w:jc w:val="center"/>
    </w:pPr>
    <w:rPr>
      <w:sz w:val="24"/>
    </w:rPr>
  </w:style>
  <w:style w:type="paragraph" w:customStyle="1" w:styleId="NameofActRegPage1">
    <w:name w:val="Name of Act/Reg(Page 1)"/>
    <w:basedOn w:val="NameofActReg"/>
    <w:pPr>
      <w:spacing w:before="0" w:after="720"/>
    </w:pPr>
  </w:style>
  <w:style w:type="paragraph" w:customStyle="1" w:styleId="yEdnotesection">
    <w:name w:val="yEdnote(section)"/>
    <w:basedOn w:val="Ednotesection"/>
    <w:pPr>
      <w:spacing w:line="240" w:lineRule="auto"/>
      <w:ind w:left="890" w:hanging="890"/>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ubpara">
    <w:name w:val="yEdnote(subpara)"/>
    <w:basedOn w:val="Ednote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subitem">
    <w:name w:val="yEdnote(subitem)"/>
    <w:basedOn w:val="Ednotesubitem"/>
    <w:pPr>
      <w:spacing w:line="240" w:lineRule="auto"/>
    </w:pPr>
    <w:rPr>
      <w:sz w:val="22"/>
    </w:rPr>
  </w:style>
  <w:style w:type="paragraph" w:customStyle="1" w:styleId="Ednotedefpara">
    <w:name w:val="Ednote(defpara)"/>
    <w:basedOn w:val="Defpara"/>
    <w:rPr>
      <w:i/>
    </w:rPr>
  </w:style>
  <w:style w:type="paragraph" w:customStyle="1" w:styleId="Ednotedefitem">
    <w:name w:val="Ednote(defitem)"/>
    <w:basedOn w:val="Defitem"/>
    <w:rPr>
      <w:i/>
    </w:rPr>
  </w:style>
  <w:style w:type="paragraph" w:customStyle="1" w:styleId="Ednotedefsubpara">
    <w:name w:val="Ednote(defsubpara)"/>
    <w:basedOn w:val="Defsubpara"/>
    <w:rPr>
      <w:i/>
    </w:rPr>
  </w:style>
  <w:style w:type="paragraph" w:customStyle="1" w:styleId="Ednotepenpara">
    <w:name w:val="Ednote(penpara)"/>
    <w:basedOn w:val="Ednotepara"/>
  </w:style>
  <w:style w:type="paragraph" w:customStyle="1" w:styleId="Ednotepenitem">
    <w:name w:val="Ednote(penitem)"/>
    <w:basedOn w:val="Ednoteitem"/>
  </w:style>
  <w:style w:type="paragraph" w:customStyle="1" w:styleId="Ednotepensubpara">
    <w:name w:val="Ednote(pensubpara)"/>
    <w:basedOn w:val="Ednotesubpara"/>
  </w:style>
  <w:style w:type="paragraph" w:customStyle="1" w:styleId="Arrangement">
    <w:name w:val="Arrangement"/>
    <w:pPr>
      <w:spacing w:after="480"/>
      <w:ind w:left="2304" w:right="2304"/>
      <w:jc w:val="center"/>
    </w:pPr>
    <w:rPr>
      <w:b/>
      <w:sz w:val="28"/>
    </w:rPr>
  </w:style>
  <w:style w:type="paragraph" w:customStyle="1" w:styleId="yFootnotesection">
    <w:name w:val="yFootnote(section)"/>
    <w:basedOn w:val="Footnotesection"/>
    <w:pPr>
      <w:spacing w:line="240" w:lineRule="auto"/>
      <w:ind w:left="890" w:hanging="890"/>
    </w:pPr>
    <w:rPr>
      <w:sz w:val="22"/>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zDefpara">
    <w:name w:val="nzDefpara"/>
    <w:pPr>
      <w:tabs>
        <w:tab w:val="right" w:pos="1899"/>
      </w:tabs>
      <w:spacing w:before="40"/>
      <w:ind w:left="2183" w:right="284" w:hanging="1616"/>
    </w:pPr>
    <w:rPr>
      <w:snapToGrid w:val="0"/>
    </w:rPr>
  </w:style>
  <w:style w:type="paragraph" w:customStyle="1" w:styleId="nzDefstart">
    <w:name w:val="nzDefstart"/>
    <w:pPr>
      <w:spacing w:before="40"/>
      <w:ind w:left="1446" w:right="284" w:hanging="879"/>
    </w:pPr>
    <w:rPr>
      <w:snapToGrid w:val="0"/>
    </w:rPr>
  </w:style>
  <w:style w:type="paragraph" w:customStyle="1" w:styleId="nzDefsubpara">
    <w:name w:val="nzDefsubpara"/>
    <w:pPr>
      <w:keepLines/>
      <w:tabs>
        <w:tab w:val="right" w:pos="2608"/>
      </w:tabs>
      <w:spacing w:before="40"/>
      <w:ind w:left="2892" w:right="284" w:hanging="2325"/>
    </w:pPr>
    <w:rPr>
      <w:snapToGrid w:val="0"/>
    </w:rPr>
  </w:style>
  <w:style w:type="paragraph" w:customStyle="1" w:styleId="MiscOpen">
    <w:name w:val="MiscOpen"/>
    <w:pPr>
      <w:keepNext/>
      <w:keepLines/>
      <w:tabs>
        <w:tab w:val="left" w:pos="893"/>
      </w:tabs>
      <w:spacing w:before="120" w:line="260" w:lineRule="atLeast"/>
    </w:pPr>
    <w:rPr>
      <w:sz w:val="24"/>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paragraph" w:customStyle="1" w:styleId="MiscellaneousHeading">
    <w:name w:val="Miscellaneous Heading"/>
    <w:pPr>
      <w:keepNext/>
      <w:spacing w:before="160" w:line="260" w:lineRule="atLeast"/>
      <w:jc w:val="center"/>
    </w:pPr>
    <w:rPr>
      <w:sz w:val="24"/>
    </w:rPr>
  </w:style>
  <w:style w:type="paragraph" w:customStyle="1" w:styleId="nzHeading2">
    <w:name w:val="nzHeading 2"/>
    <w:basedOn w:val="zHeading2"/>
    <w:pPr>
      <w:spacing w:before="120" w:line="240" w:lineRule="auto"/>
    </w:pPr>
    <w:rPr>
      <w:sz w:val="26"/>
    </w:rPr>
  </w:style>
  <w:style w:type="paragraph" w:customStyle="1" w:styleId="nzHeading3">
    <w:name w:val="nzHeading 3"/>
    <w:basedOn w:val="zHeading3"/>
    <w:pPr>
      <w:spacing w:before="120" w:line="240" w:lineRule="auto"/>
    </w:pPr>
    <w:rPr>
      <w:sz w:val="22"/>
    </w:rPr>
  </w:style>
  <w:style w:type="paragraph" w:customStyle="1" w:styleId="nzHeading4">
    <w:name w:val="nzHeading 4"/>
    <w:basedOn w:val="zHeading4"/>
    <w:pPr>
      <w:spacing w:before="120"/>
    </w:pPr>
    <w:rPr>
      <w:sz w:val="20"/>
    </w:rPr>
  </w:style>
  <w:style w:type="paragraph" w:customStyle="1" w:styleId="nzHeading5">
    <w:name w:val="nzHeading 5"/>
    <w:basedOn w:val="zHeading5"/>
    <w:pPr>
      <w:spacing w:before="100" w:line="240" w:lineRule="auto"/>
    </w:pPr>
    <w:rPr>
      <w:sz w:val="20"/>
    </w:rPr>
  </w:style>
  <w:style w:type="paragraph" w:customStyle="1" w:styleId="nzIndenta">
    <w:name w:val="nzIndent(a)"/>
    <w:basedOn w:val="zIndenta"/>
    <w:pPr>
      <w:spacing w:before="40" w:line="240" w:lineRule="auto"/>
    </w:pPr>
    <w:rPr>
      <w:sz w:val="20"/>
    </w:rPr>
  </w:style>
  <w:style w:type="paragraph" w:customStyle="1" w:styleId="nzIndentA0">
    <w:name w:val="nzIndent(A)"/>
    <w:basedOn w:val="zIndentA0"/>
    <w:pPr>
      <w:spacing w:before="40" w:line="240" w:lineRule="auto"/>
    </w:pPr>
    <w:rPr>
      <w:sz w:val="20"/>
    </w:rPr>
  </w:style>
  <w:style w:type="paragraph" w:customStyle="1" w:styleId="nzIndenti">
    <w:name w:val="nzIndent(i)"/>
    <w:basedOn w:val="zIndenti"/>
    <w:pPr>
      <w:spacing w:before="40" w:line="240" w:lineRule="auto"/>
    </w:pPr>
    <w:rPr>
      <w:sz w:val="20"/>
    </w:rPr>
  </w:style>
  <w:style w:type="paragraph" w:customStyle="1" w:styleId="nzIndentI0">
    <w:name w:val="nzIndent(I)"/>
    <w:basedOn w:val="zIndentI0"/>
    <w:pPr>
      <w:spacing w:before="40" w:line="240" w:lineRule="auto"/>
    </w:pPr>
    <w:rPr>
      <w:sz w:val="20"/>
    </w:rPr>
  </w:style>
  <w:style w:type="paragraph" w:customStyle="1" w:styleId="nzPenpara">
    <w:name w:val="nzPenpara"/>
    <w:basedOn w:val="zPenpara"/>
    <w:pPr>
      <w:spacing w:before="40" w:line="240" w:lineRule="auto"/>
    </w:pPr>
    <w:rPr>
      <w:sz w:val="20"/>
    </w:rPr>
  </w:style>
  <w:style w:type="paragraph" w:customStyle="1" w:styleId="nzPenstart">
    <w:name w:val="nzPenstart"/>
    <w:basedOn w:val="zPenstart"/>
    <w:pPr>
      <w:spacing w:before="40" w:line="240" w:lineRule="auto"/>
    </w:pPr>
    <w:rPr>
      <w:sz w:val="20"/>
    </w:rPr>
  </w:style>
  <w:style w:type="paragraph" w:customStyle="1" w:styleId="nzSubsection">
    <w:name w:val="nzSubsection"/>
    <w:basedOn w:val="zSubsection"/>
    <w:pPr>
      <w:spacing w:before="80" w:line="240" w:lineRule="auto"/>
    </w:pPr>
    <w:rPr>
      <w:sz w:val="20"/>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yShoulderClause">
    <w:name w:val="yShoulderClause"/>
    <w:next w:val="ySubsection"/>
    <w:pPr>
      <w:spacing w:before="120"/>
      <w:jc w:val="right"/>
    </w:pPr>
    <w:rPr>
      <w:sz w:val="22"/>
    </w:rPr>
  </w:style>
  <w:style w:type="paragraph" w:customStyle="1" w:styleId="yScheduleHeading">
    <w:name w:val="yScheduleHeading"/>
    <w:basedOn w:val="yHeading2"/>
    <w:pPr>
      <w:pageBreakBefore/>
      <w:spacing w:before="0"/>
    </w:pPr>
  </w:style>
  <w:style w:type="character" w:customStyle="1" w:styleId="CharProduced">
    <w:name w:val="CharProduced"/>
    <w:rPr>
      <w:noProof w:val="0"/>
      <w:spacing w:val="-3"/>
    </w:rPr>
  </w:style>
  <w:style w:type="paragraph" w:customStyle="1" w:styleId="FooterDisclaimer">
    <w:name w:val="Footer.Disclaimer"/>
    <w:pPr>
      <w:jc w:val="center"/>
    </w:pPr>
    <w:rPr>
      <w:rFonts w:ascii="Arial" w:hAnsi="Arial"/>
      <w:i/>
      <w:sz w:val="16"/>
    </w:rPr>
  </w:style>
  <w:style w:type="paragraph" w:styleId="TOC3">
    <w:name w:val="toc 3"/>
    <w:next w:val="Normal"/>
    <w:semiHidden/>
    <w:pPr>
      <w:keepNext/>
      <w:spacing w:before="120" w:after="60"/>
      <w:ind w:left="1985" w:right="1134" w:hanging="567"/>
    </w:pPr>
    <w:rPr>
      <w:rFonts w:ascii="Helvetica" w:hAnsi="Helvetica"/>
      <w:b/>
      <w:noProof/>
      <w:sz w:val="18"/>
    </w:rPr>
  </w:style>
  <w:style w:type="paragraph" w:customStyle="1" w:styleId="yTable">
    <w:name w:val="yTable"/>
    <w:basedOn w:val="Table"/>
    <w:pPr>
      <w:spacing w:line="240" w:lineRule="auto"/>
    </w:pPr>
  </w:style>
  <w:style w:type="paragraph" w:customStyle="1" w:styleId="nTable">
    <w:name w:val="nTable"/>
    <w:pPr>
      <w:spacing w:before="40"/>
    </w:pPr>
    <w:rPr>
      <w:sz w:val="19"/>
    </w:rPr>
  </w:style>
  <w:style w:type="paragraph" w:customStyle="1" w:styleId="nzTable">
    <w:name w:val="nzTable"/>
    <w:basedOn w:val="Normal"/>
    <w:rPr>
      <w:sz w:val="20"/>
    </w:rPr>
  </w:style>
  <w:style w:type="paragraph" w:customStyle="1" w:styleId="zMiscellaneousHeading">
    <w:name w:val="zMiscellaneousHeading"/>
    <w:basedOn w:val="MiscellaneousHeading"/>
    <w:pPr>
      <w:ind w:left="567" w:right="284"/>
    </w:pPr>
  </w:style>
  <w:style w:type="paragraph" w:customStyle="1" w:styleId="zMiscellaneousBody">
    <w:name w:val="zMiscellaneousBody"/>
    <w:basedOn w:val="Normal"/>
    <w:pPr>
      <w:spacing w:before="160" w:line="260" w:lineRule="atLeast"/>
      <w:ind w:left="567" w:right="284"/>
    </w:pPr>
  </w:style>
  <w:style w:type="paragraph" w:customStyle="1" w:styleId="ABillFor">
    <w:name w:val="ABillFor"/>
    <w:basedOn w:val="Normal"/>
    <w:pPr>
      <w:spacing w:before="240" w:after="600"/>
      <w:jc w:val="center"/>
    </w:pPr>
    <w:rPr>
      <w:b/>
    </w:rPr>
  </w:style>
  <w:style w:type="paragraph" w:customStyle="1" w:styleId="yFootnoteheading">
    <w:name w:val="yFootnote(heading)"/>
    <w:basedOn w:val="Footnoteheading"/>
    <w:pPr>
      <w:spacing w:line="240" w:lineRule="auto"/>
    </w:pPr>
    <w:rPr>
      <w:sz w:val="22"/>
    </w:rPr>
  </w:style>
  <w:style w:type="paragraph" w:customStyle="1" w:styleId="PrincipalActReg">
    <w:name w:val="PrincipalAct_Reg"/>
    <w:pPr>
      <w:spacing w:after="480"/>
      <w:jc w:val="center"/>
    </w:pPr>
    <w:rPr>
      <w:sz w:val="24"/>
    </w:rPr>
  </w:style>
  <w:style w:type="paragraph" w:customStyle="1" w:styleId="CentredBaseLine">
    <w:name w:val="CentredBaseLine"/>
    <w:pPr>
      <w:suppressLineNumbers/>
      <w:spacing w:before="240"/>
    </w:pPr>
  </w:style>
  <w:style w:type="paragraph" w:customStyle="1" w:styleId="MadeBy">
    <w:name w:val="MadeBy"/>
    <w:pPr>
      <w:spacing w:before="600"/>
    </w:pPr>
    <w:rPr>
      <w:sz w:val="24"/>
    </w:rPr>
  </w:style>
  <w:style w:type="paragraph" w:customStyle="1" w:styleId="ParlHouse">
    <w:name w:val="ParlHouse"/>
    <w:basedOn w:val="WA"/>
    <w:pPr>
      <w:spacing w:after="300"/>
    </w:pPr>
    <w:rPr>
      <w:u w:val="single"/>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Equation">
    <w:name w:val="Equation"/>
    <w:rPr>
      <w:noProof/>
      <w:sz w:val="24"/>
    </w:rPr>
  </w:style>
  <w:style w:type="paragraph" w:customStyle="1" w:styleId="DraftNo">
    <w:name w:val="DraftNo"/>
    <w:basedOn w:val="WA"/>
    <w:pPr>
      <w:spacing w:before="120" w:after="120"/>
    </w:p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character" w:customStyle="1" w:styleId="DraftersNotes">
    <w:name w:val="DraftersNotes"/>
    <w:basedOn w:val="DefaultParagraphFont"/>
    <w:rPr>
      <w:b/>
      <w:i/>
      <w:sz w:val="20"/>
    </w:rPr>
  </w:style>
  <w:style w:type="paragraph" w:customStyle="1" w:styleId="ByCommand">
    <w:name w:val="ByCommand"/>
    <w:basedOn w:val="Normal"/>
    <w:pPr>
      <w:tabs>
        <w:tab w:val="left" w:pos="4536"/>
      </w:tabs>
      <w:spacing w:before="240"/>
    </w:pPr>
  </w:style>
  <w:style w:type="paragraph" w:styleId="Header">
    <w:name w:val="header"/>
    <w:rPr>
      <w:rFonts w:ascii="Arial" w:hAnsi="Arial"/>
      <w:noProof/>
    </w:rPr>
  </w:style>
  <w:style w:type="character" w:customStyle="1" w:styleId="CharSchText">
    <w:name w:val="CharSchText"/>
    <w:rPr>
      <w:noProof w:val="0"/>
    </w:rPr>
  </w:style>
  <w:style w:type="paragraph" w:customStyle="1" w:styleId="DefinedTerms">
    <w:name w:val="Defined Terms"/>
    <w:pPr>
      <w:tabs>
        <w:tab w:val="right" w:leader="dot" w:pos="7070"/>
      </w:tabs>
      <w:ind w:left="578" w:right="578"/>
    </w:pPr>
  </w:style>
  <w:style w:type="character" w:customStyle="1" w:styleId="CharDefText">
    <w:name w:val="CharDefText"/>
    <w:basedOn w:val="DefaultParagraphFont"/>
    <w:rPr>
      <w:b/>
      <w:i/>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Heading">
    <w:name w:val="yMiscellaneous Heading"/>
    <w:basedOn w:val="MiscellaneousHeading"/>
    <w:pPr>
      <w:spacing w:line="240" w:lineRule="auto"/>
    </w:pPr>
    <w:rPr>
      <w:sz w:val="22"/>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zyMiscellaneousBody">
    <w:name w:val="zyMiscellaneous Body"/>
    <w:basedOn w:val="zMiscellaneousBody"/>
    <w:pPr>
      <w:spacing w:line="240" w:lineRule="auto"/>
    </w:pPr>
    <w:rPr>
      <w:sz w:val="22"/>
    </w:rPr>
  </w:style>
  <w:style w:type="paragraph" w:customStyle="1" w:styleId="zTablet">
    <w:name w:val="zTable t"/>
    <w:basedOn w:val="Table"/>
  </w:style>
  <w:style w:type="paragraph" w:customStyle="1" w:styleId="nzMiscellaneousBody">
    <w:name w:val="nzMiscellaneous Body"/>
    <w:basedOn w:val="zMiscellaneousBody"/>
    <w:pPr>
      <w:spacing w:before="80" w:line="240" w:lineRule="auto"/>
    </w:pPr>
    <w:rPr>
      <w:sz w:val="20"/>
    </w:rPr>
  </w:style>
  <w:style w:type="paragraph" w:customStyle="1" w:styleId="OmitFootnote">
    <w:name w:val="OmitFootnote"/>
    <w:basedOn w:val="yEdnotesection"/>
    <w:pPr>
      <w:spacing w:before="600"/>
      <w:outlineLvl w:val="1"/>
    </w:pPr>
  </w:style>
  <w:style w:type="paragraph" w:customStyle="1" w:styleId="yNumberedItem">
    <w:name w:val="yNumberedItem"/>
    <w:pPr>
      <w:spacing w:before="120"/>
      <w:ind w:left="879" w:hanging="879"/>
    </w:pPr>
    <w:rPr>
      <w:sz w:val="22"/>
    </w:rPr>
  </w:style>
  <w:style w:type="paragraph" w:customStyle="1" w:styleId="zyNumberedItem">
    <w:name w:val="zyNumberedItem"/>
    <w:pPr>
      <w:spacing w:before="120"/>
      <w:ind w:left="1446" w:right="284" w:hanging="879"/>
    </w:pPr>
    <w:rPr>
      <w:sz w:val="22"/>
    </w:rPr>
  </w:style>
  <w:style w:type="paragraph" w:customStyle="1" w:styleId="nzLongTitle">
    <w:name w:val="nzLong Title"/>
    <w:basedOn w:val="zLongTitle"/>
    <w:pPr>
      <w:spacing w:before="40"/>
    </w:pPr>
    <w:rPr>
      <w:sz w:val="20"/>
    </w:rPr>
  </w:style>
  <w:style w:type="paragraph" w:customStyle="1" w:styleId="nzNumberedItem">
    <w:name w:val="nzNumberedItem"/>
    <w:pPr>
      <w:spacing w:before="40"/>
      <w:ind w:left="1446" w:right="284" w:hanging="879"/>
    </w:pPr>
  </w:style>
  <w:style w:type="paragraph" w:customStyle="1" w:styleId="yScheduleHeading2">
    <w:name w:val="yScheduleHeading 2"/>
    <w:basedOn w:val="yScheduleHeading"/>
    <w:pPr>
      <w:pageBreakBefore w:val="0"/>
      <w:spacing w:before="240"/>
    </w:pPr>
  </w:style>
  <w:style w:type="character" w:customStyle="1" w:styleId="CharSDivNo">
    <w:name w:val="CharSDivNo"/>
    <w:basedOn w:val="DefaultParagraphFont"/>
    <w:rPr>
      <w:sz w:val="24"/>
    </w:rPr>
  </w:style>
  <w:style w:type="character" w:customStyle="1" w:styleId="CharSDivText">
    <w:name w:val="CharSDivText"/>
    <w:basedOn w:val="DefaultParagraphFont"/>
    <w:rPr>
      <w:sz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rPr>
      <w:b/>
      <w:noProof/>
      <w:sz w:val="28"/>
    </w:rPr>
  </w:style>
  <w:style w:type="paragraph" w:customStyle="1" w:styleId="yEdnotedefitem">
    <w:name w:val="yEdnote(defitem)"/>
    <w:basedOn w:val="yDefitem"/>
    <w:rPr>
      <w:i/>
    </w:rPr>
  </w:style>
  <w:style w:type="paragraph" w:customStyle="1" w:styleId="yEdnotedefpara">
    <w:name w:val="yEdnote(defpara)"/>
    <w:basedOn w:val="yDefpara"/>
    <w:rPr>
      <w:i/>
    </w:rPr>
  </w:style>
  <w:style w:type="paragraph" w:customStyle="1" w:styleId="yEdnotedefsubpara">
    <w:name w:val="yEdnote(defsubpara)"/>
    <w:basedOn w:val="yDefsubpara"/>
    <w:rPr>
      <w:i/>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TableAm">
    <w:name w:val="TableAm"/>
    <w:basedOn w:val="Normal"/>
    <w:pPr>
      <w:tabs>
        <w:tab w:val="left" w:pos="567"/>
      </w:tabs>
      <w:spacing w:before="120"/>
    </w:pPr>
  </w:style>
  <w:style w:type="paragraph" w:customStyle="1" w:styleId="TableAmNote">
    <w:name w:val="TableAmNote"/>
    <w:pPr>
      <w:tabs>
        <w:tab w:val="left" w:pos="567"/>
      </w:tabs>
      <w:spacing w:before="60"/>
    </w:pPr>
  </w:style>
  <w:style w:type="paragraph" w:customStyle="1" w:styleId="BlankOpen">
    <w:name w:val="BlankOpen"/>
    <w:basedOn w:val="Normal"/>
    <w:pPr>
      <w:keepNext/>
      <w:keepLines/>
      <w:jc w:val="center"/>
    </w:pPr>
    <w:rPr>
      <w:szCs w:val="24"/>
    </w:rPr>
  </w:style>
  <w:style w:type="paragraph" w:customStyle="1" w:styleId="BlankClose">
    <w:name w:val="BlankClose"/>
    <w:basedOn w:val="Normal"/>
    <w:pPr>
      <w:keepLines/>
      <w:jc w:val="center"/>
    </w:pPr>
    <w:rPr>
      <w:szCs w:val="24"/>
    </w:rPr>
  </w:style>
  <w:style w:type="paragraph" w:customStyle="1" w:styleId="DeleteClose">
    <w:name w:val="DeleteClose"/>
    <w:basedOn w:val="Normal"/>
    <w:pPr>
      <w:keepLines/>
      <w:jc w:val="center"/>
    </w:pPr>
    <w:rPr>
      <w:szCs w:val="24"/>
    </w:rPr>
  </w:style>
  <w:style w:type="paragraph" w:customStyle="1" w:styleId="DeleteListSub">
    <w:name w:val="DeleteListSub"/>
    <w:basedOn w:val="Normal"/>
    <w:pPr>
      <w:widowControl w:val="0"/>
      <w:spacing w:before="80" w:line="260" w:lineRule="atLeast"/>
      <w:ind w:left="879"/>
    </w:pPr>
  </w:style>
  <w:style w:type="paragraph" w:customStyle="1" w:styleId="DeleteListPara">
    <w:name w:val="DeleteListPara"/>
    <w:basedOn w:val="DeleteListSub"/>
    <w:pPr>
      <w:ind w:left="1616"/>
    </w:pPr>
  </w:style>
  <w:style w:type="paragraph" w:customStyle="1" w:styleId="DeleteOpen">
    <w:name w:val="DeleteOpen"/>
    <w:basedOn w:val="Normal"/>
    <w:pPr>
      <w:keepNext/>
      <w:keepLines/>
      <w:jc w:val="center"/>
    </w:pPr>
    <w:rPr>
      <w:szCs w:val="24"/>
    </w:rPr>
  </w:style>
  <w:style w:type="paragraph" w:customStyle="1" w:styleId="TableNAm">
    <w:name w:val="TableNAm"/>
    <w:basedOn w:val="TableAm"/>
  </w:style>
  <w:style w:type="paragraph" w:customStyle="1" w:styleId="THeading">
    <w:name w:val="THeading"/>
    <w:pPr>
      <w:keepNext/>
      <w:spacing w:before="160" w:after="60" w:line="260" w:lineRule="atLeast"/>
      <w:jc w:val="center"/>
    </w:pPr>
    <w:rPr>
      <w:b/>
      <w:bCs/>
      <w:sz w:val="24"/>
    </w:rPr>
  </w:style>
  <w:style w:type="paragraph" w:customStyle="1" w:styleId="THeadingAmNote">
    <w:name w:val="THeadingAmNote"/>
    <w:basedOn w:val="THeading"/>
    <w:pPr>
      <w:spacing w:line="240" w:lineRule="auto"/>
    </w:pPr>
    <w:rPr>
      <w:rFonts w:ascii="Arial" w:hAnsi="Arial"/>
      <w:bCs w:val="0"/>
      <w:sz w:val="18"/>
    </w:rPr>
  </w:style>
  <w:style w:type="paragraph" w:customStyle="1" w:styleId="THeadingNAm">
    <w:name w:val="THeadingNAm"/>
    <w:basedOn w:val="THeading"/>
    <w:pPr>
      <w:ind w:left="879" w:right="142"/>
    </w:pPr>
  </w:style>
  <w:style w:type="paragraph" w:customStyle="1" w:styleId="yDeleteListPara">
    <w:name w:val="yDeleteListPara"/>
    <w:basedOn w:val="DeleteListPara"/>
    <w:rPr>
      <w:sz w:val="22"/>
    </w:rPr>
  </w:style>
  <w:style w:type="paragraph" w:customStyle="1" w:styleId="yDeleteListSub">
    <w:name w:val="yDeleteListSub"/>
    <w:basedOn w:val="DeleteListSub"/>
    <w:rPr>
      <w:sz w:val="22"/>
    </w:rPr>
  </w:style>
  <w:style w:type="paragraph" w:customStyle="1" w:styleId="yTableNAm">
    <w:name w:val="yTableNAm"/>
    <w:basedOn w:val="TableAm"/>
    <w:rPr>
      <w:sz w:val="22"/>
    </w:rPr>
  </w:style>
  <w:style w:type="paragraph" w:customStyle="1" w:styleId="yTHeadingNAm">
    <w:name w:val="yTHeadingNAm"/>
    <w:basedOn w:val="THeading"/>
    <w:pPr>
      <w:ind w:left="142" w:right="142"/>
    </w:pPr>
    <w:rPr>
      <w:sz w:val="22"/>
    </w:rPr>
  </w:style>
  <w:style w:type="paragraph" w:customStyle="1" w:styleId="zDeleteListPara">
    <w:name w:val="zDeleteListPara"/>
    <w:basedOn w:val="DeleteListPara"/>
    <w:pPr>
      <w:ind w:left="2183"/>
    </w:pPr>
  </w:style>
  <w:style w:type="paragraph" w:customStyle="1" w:styleId="zDeleteListSub">
    <w:name w:val="zDeleteListSub"/>
    <w:basedOn w:val="DeleteListSub"/>
    <w:pPr>
      <w:ind w:left="1446"/>
    </w:pPr>
  </w:style>
  <w:style w:type="paragraph" w:customStyle="1" w:styleId="zTableNAm">
    <w:name w:val="zTableNAm"/>
    <w:basedOn w:val="TableAm"/>
  </w:style>
  <w:style w:type="paragraph" w:customStyle="1" w:styleId="zTHeadingNAm">
    <w:name w:val="zTHeadingNAm"/>
    <w:basedOn w:val="THeading"/>
    <w:pPr>
      <w:ind w:left="1446" w:right="142"/>
    </w:pPr>
  </w:style>
  <w:style w:type="paragraph" w:customStyle="1" w:styleId="zyDeleteListPara">
    <w:name w:val="zyDeleteListPara"/>
    <w:basedOn w:val="DeleteListPara"/>
    <w:rPr>
      <w:sz w:val="22"/>
    </w:rPr>
  </w:style>
  <w:style w:type="paragraph" w:customStyle="1" w:styleId="zyDeleteListSub">
    <w:name w:val="zyDeleteListSub"/>
    <w:basedOn w:val="DeleteListSub"/>
    <w:rPr>
      <w:sz w:val="22"/>
    </w:rPr>
  </w:style>
  <w:style w:type="paragraph" w:customStyle="1" w:styleId="zyTableNAm">
    <w:name w:val="zyTableNAm"/>
    <w:basedOn w:val="TableAm"/>
    <w:rPr>
      <w:sz w:val="22"/>
    </w:rPr>
  </w:style>
  <w:style w:type="paragraph" w:customStyle="1" w:styleId="zyTHeadingNAm">
    <w:name w:val="zyTHeadingNAm"/>
    <w:basedOn w:val="THeading"/>
    <w:pPr>
      <w:ind w:left="709" w:right="142"/>
    </w:pPr>
    <w:rPr>
      <w:sz w:val="22"/>
    </w:rPr>
  </w:style>
  <w:style w:type="paragraph" w:styleId="BalloonText">
    <w:name w:val="Balloon Text"/>
    <w:basedOn w:val="Normal"/>
    <w:semiHidden/>
    <w:rPr>
      <w:rFonts w:ascii="Tahoma" w:hAnsi="Tahoma" w:cs="Tahoma"/>
      <w:sz w:val="16"/>
      <w:szCs w:val="16"/>
    </w:rPr>
  </w:style>
  <w:style w:type="paragraph" w:customStyle="1" w:styleId="PrincipalActRegPage1">
    <w:name w:val="PrincipalAct_Reg(Page 1)"/>
    <w:pPr>
      <w:spacing w:before="2600"/>
      <w:jc w:val="center"/>
    </w:pPr>
    <w:rPr>
      <w:sz w:val="24"/>
    </w:rPr>
  </w:style>
  <w:style w:type="paragraph" w:customStyle="1" w:styleId="nzDefitem">
    <w:name w:val="nzDefitem"/>
    <w:pPr>
      <w:tabs>
        <w:tab w:val="right" w:pos="3459"/>
      </w:tabs>
      <w:spacing w:before="40"/>
      <w:ind w:left="3686" w:right="284" w:hanging="3119"/>
    </w:pPr>
    <w:rPr>
      <w:snapToGrid w:val="0"/>
    </w:rPr>
  </w:style>
  <w:style w:type="paragraph" w:customStyle="1" w:styleId="Defsubitem">
    <w:name w:val="Defsubitem"/>
    <w:qFormat/>
    <w:pPr>
      <w:tabs>
        <w:tab w:val="right" w:pos="3686"/>
      </w:tabs>
      <w:spacing w:before="80" w:line="260" w:lineRule="atLeast"/>
      <w:ind w:left="3969" w:hanging="3969"/>
    </w:pPr>
    <w:rPr>
      <w:snapToGrid w:val="0"/>
      <w:sz w:val="24"/>
    </w:rPr>
  </w:style>
  <w:style w:type="paragraph" w:customStyle="1" w:styleId="Ednotedefsubitem">
    <w:name w:val="Ednote(defsubitem)"/>
    <w:basedOn w:val="Defsubitem"/>
    <w:rPr>
      <w:i/>
    </w:rPr>
  </w:style>
  <w:style w:type="paragraph" w:customStyle="1" w:styleId="yDefsubitem">
    <w:name w:val="yDefsubitem"/>
    <w:qFormat/>
    <w:pPr>
      <w:tabs>
        <w:tab w:val="right" w:pos="3686"/>
      </w:tabs>
      <w:spacing w:before="80"/>
      <w:ind w:left="3969" w:hanging="3969"/>
    </w:pPr>
    <w:rPr>
      <w:snapToGrid w:val="0"/>
      <w:sz w:val="22"/>
    </w:rPr>
  </w:style>
  <w:style w:type="paragraph" w:customStyle="1" w:styleId="yEdnotedefsubitem">
    <w:name w:val="yEdnote(defsubitem)"/>
    <w:basedOn w:val="yDefsubitem"/>
    <w:rPr>
      <w:i/>
    </w:rPr>
  </w:style>
  <w:style w:type="paragraph" w:customStyle="1" w:styleId="zDefsubitem">
    <w:name w:val="zDefsubitem"/>
    <w:qFormat/>
    <w:pPr>
      <w:tabs>
        <w:tab w:val="right" w:pos="4167"/>
      </w:tabs>
      <w:spacing w:before="80" w:line="260" w:lineRule="atLeast"/>
      <w:ind w:left="4451" w:right="284" w:hanging="3884"/>
    </w:pPr>
    <w:rPr>
      <w:snapToGrid w:val="0"/>
      <w:sz w:val="24"/>
    </w:rPr>
  </w:style>
  <w:style w:type="paragraph" w:customStyle="1" w:styleId="nzDefsubitem">
    <w:name w:val="nzDefsubitem"/>
    <w:qFormat/>
    <w:pPr>
      <w:tabs>
        <w:tab w:val="right" w:pos="4167"/>
      </w:tabs>
      <w:spacing w:before="40"/>
      <w:ind w:left="4451" w:right="284" w:hanging="3884"/>
    </w:pPr>
    <w:rPr>
      <w:snapToGrid w:val="0"/>
    </w:rPr>
  </w:style>
  <w:style w:type="paragraph" w:customStyle="1" w:styleId="zyDefsubitem">
    <w:name w:val="zyDefsubitem"/>
    <w:qFormat/>
    <w:pPr>
      <w:tabs>
        <w:tab w:val="right" w:pos="4167"/>
      </w:tabs>
      <w:spacing w:before="80"/>
      <w:ind w:left="4451" w:right="284" w:hanging="3884"/>
    </w:pPr>
    <w:rPr>
      <w:snapToGrid w:val="0"/>
      <w:sz w:val="22"/>
    </w:rPr>
  </w:style>
  <w:style w:type="paragraph" w:customStyle="1" w:styleId="nzPensubpara">
    <w:name w:val="nzPensubpara"/>
    <w:basedOn w:val="zPensubpara"/>
    <w:pPr>
      <w:spacing w:before="40" w:line="240" w:lineRule="auto"/>
    </w:pPr>
    <w:rPr>
      <w:sz w:val="20"/>
    </w:rPr>
  </w:style>
  <w:style w:type="paragraph" w:customStyle="1" w:styleId="nzPenitem">
    <w:name w:val="nzPenitem"/>
    <w:basedOn w:val="zPenitem"/>
    <w:pPr>
      <w:spacing w:before="40" w:line="240" w:lineRule="auto"/>
    </w:pPr>
    <w:rPr>
      <w:sz w:val="20"/>
    </w:rPr>
  </w:style>
  <w:style w:type="paragraph" w:customStyle="1" w:styleId="yEdnotenumbereditem">
    <w:name w:val="yEdnote(numbereditem)"/>
    <w:basedOn w:val="yNumberedItem"/>
    <w:rPr>
      <w:i/>
    </w:rPr>
  </w:style>
  <w:style w:type="paragraph" w:customStyle="1" w:styleId="yNumberedItemPara">
    <w:name w:val="yNumberedItemPara"/>
    <w:qFormat/>
    <w:pPr>
      <w:tabs>
        <w:tab w:val="right" w:pos="1332"/>
      </w:tabs>
      <w:spacing w:before="80"/>
      <w:ind w:left="1616" w:hanging="1616"/>
    </w:pPr>
    <w:rPr>
      <w:sz w:val="22"/>
    </w:rPr>
  </w:style>
  <w:style w:type="paragraph" w:customStyle="1" w:styleId="yEdnotenumbereditempara">
    <w:name w:val="yEdnote(numbereditempara)"/>
    <w:basedOn w:val="yNumberedItemPara"/>
    <w:rPr>
      <w:i/>
    </w:rPr>
  </w:style>
  <w:style w:type="paragraph" w:customStyle="1" w:styleId="zyNumberedItemPara">
    <w:name w:val="zyNumberedItemPara"/>
    <w:qFormat/>
    <w:pPr>
      <w:tabs>
        <w:tab w:val="right" w:pos="1899"/>
      </w:tabs>
      <w:spacing w:before="80"/>
      <w:ind w:left="2183" w:right="284" w:hanging="1616"/>
    </w:pPr>
    <w:rPr>
      <w:sz w:val="22"/>
    </w:rPr>
  </w:style>
  <w:style w:type="paragraph" w:customStyle="1" w:styleId="nzNumberedItemPara">
    <w:name w:val="nzNumberedItemPara"/>
    <w:pPr>
      <w:tabs>
        <w:tab w:val="right" w:pos="1899"/>
      </w:tabs>
      <w:spacing w:before="40"/>
      <w:ind w:left="2183" w:right="284" w:hanging="1616"/>
    </w:pPr>
  </w:style>
  <w:style w:type="paragraph" w:customStyle="1" w:styleId="yNumberedItemSubPara">
    <w:name w:val="yNumberedItemSubPara"/>
    <w:qFormat/>
    <w:pPr>
      <w:tabs>
        <w:tab w:val="right" w:pos="2041"/>
      </w:tabs>
      <w:spacing w:before="80"/>
      <w:ind w:left="2325" w:hanging="2325"/>
    </w:pPr>
    <w:rPr>
      <w:sz w:val="22"/>
    </w:rPr>
  </w:style>
  <w:style w:type="paragraph" w:customStyle="1" w:styleId="yEdnotenumbereditemsubpara">
    <w:name w:val="yEdnote(numbereditemsubpara)"/>
    <w:basedOn w:val="yNumberedItemSubPara"/>
    <w:rPr>
      <w:i/>
    </w:rPr>
  </w:style>
  <w:style w:type="paragraph" w:customStyle="1" w:styleId="zyNumberedItemSubPara">
    <w:name w:val="zyNumberedItemSubPara"/>
    <w:qFormat/>
    <w:pPr>
      <w:tabs>
        <w:tab w:val="right" w:pos="2608"/>
      </w:tabs>
      <w:spacing w:before="80"/>
      <w:ind w:left="2892" w:right="284" w:hanging="2325"/>
    </w:pPr>
    <w:rPr>
      <w:sz w:val="22"/>
    </w:rPr>
  </w:style>
  <w:style w:type="paragraph" w:customStyle="1" w:styleId="nzNumberedItemSubPara">
    <w:name w:val="nzNumberedItemSubPara"/>
    <w:pPr>
      <w:tabs>
        <w:tab w:val="right" w:pos="2608"/>
      </w:tabs>
      <w:spacing w:before="40"/>
      <w:ind w:left="2892" w:right="284" w:hanging="2325"/>
    </w:pPr>
  </w:style>
  <w:style w:type="paragraph" w:customStyle="1" w:styleId="PermNoteHeading">
    <w:name w:val="PermNoteHeading"/>
    <w:qFormat/>
    <w:pPr>
      <w:keepNext/>
      <w:spacing w:before="160"/>
      <w:ind w:left="879" w:hanging="879"/>
    </w:pPr>
    <w:rPr>
      <w:rFonts w:ascii="Arial" w:hAnsi="Arial"/>
      <w:sz w:val="18"/>
    </w:rPr>
  </w:style>
  <w:style w:type="paragraph" w:customStyle="1" w:styleId="Ednotepermnoteheading">
    <w:name w:val="Ednote(permnoteheading)"/>
    <w:basedOn w:val="PermNoteHeading"/>
    <w:rPr>
      <w:i/>
    </w:rPr>
  </w:style>
  <w:style w:type="paragraph" w:customStyle="1" w:styleId="zPermNoteHeading">
    <w:name w:val="zPermNoteHeading"/>
    <w:qFormat/>
    <w:pPr>
      <w:spacing w:before="160"/>
      <w:ind w:left="1446" w:right="284" w:hanging="879"/>
    </w:pPr>
    <w:rPr>
      <w:rFonts w:ascii="Arial" w:hAnsi="Arial"/>
      <w:sz w:val="18"/>
    </w:rPr>
  </w:style>
  <w:style w:type="paragraph" w:customStyle="1" w:styleId="nzPermNoteHeading">
    <w:name w:val="nzPermNoteHeading"/>
    <w:pPr>
      <w:spacing w:before="40"/>
      <w:ind w:left="1446" w:right="284" w:hanging="879"/>
    </w:pPr>
    <w:rPr>
      <w:rFonts w:ascii="Arial" w:hAnsi="Arial"/>
      <w:sz w:val="14"/>
    </w:rPr>
  </w:style>
  <w:style w:type="paragraph" w:customStyle="1" w:styleId="PermNoteText">
    <w:name w:val="PermNoteText"/>
    <w:qFormat/>
    <w:pPr>
      <w:tabs>
        <w:tab w:val="left" w:pos="879"/>
      </w:tabs>
      <w:spacing w:before="80"/>
      <w:ind w:left="1418" w:hanging="1418"/>
    </w:pPr>
    <w:rPr>
      <w:rFonts w:ascii="Arial" w:hAnsi="Arial"/>
      <w:sz w:val="18"/>
    </w:rPr>
  </w:style>
  <w:style w:type="paragraph" w:customStyle="1" w:styleId="Ednotepermnotetext">
    <w:name w:val="Ednote(permnotetext)"/>
    <w:basedOn w:val="PermNoteText"/>
    <w:rPr>
      <w:i/>
    </w:rPr>
  </w:style>
  <w:style w:type="paragraph" w:customStyle="1" w:styleId="zPermNoteText">
    <w:name w:val="zPermNoteText"/>
    <w:qFormat/>
    <w:pPr>
      <w:tabs>
        <w:tab w:val="left" w:pos="1446"/>
      </w:tabs>
      <w:spacing w:before="80"/>
      <w:ind w:left="2013" w:right="284" w:hanging="1446"/>
    </w:pPr>
    <w:rPr>
      <w:rFonts w:ascii="Arial" w:hAnsi="Arial"/>
      <w:sz w:val="18"/>
    </w:rPr>
  </w:style>
  <w:style w:type="paragraph" w:customStyle="1" w:styleId="nzPermNoteText">
    <w:name w:val="nzPermNoteText"/>
    <w:pPr>
      <w:tabs>
        <w:tab w:val="left" w:pos="1446"/>
      </w:tabs>
      <w:spacing w:before="40"/>
      <w:ind w:left="2013" w:right="284" w:hanging="1446"/>
    </w:pPr>
    <w:rPr>
      <w:rFonts w:ascii="Arial" w:hAnsi="Arial"/>
      <w:sz w:val="14"/>
    </w:rPr>
  </w:style>
  <w:style w:type="paragraph" w:customStyle="1" w:styleId="PermNotePara">
    <w:name w:val="PermNotePara"/>
    <w:qFormat/>
    <w:pPr>
      <w:tabs>
        <w:tab w:val="right" w:pos="1843"/>
      </w:tabs>
      <w:spacing w:before="80"/>
      <w:ind w:left="2013" w:hanging="2013"/>
    </w:pPr>
    <w:rPr>
      <w:rFonts w:ascii="Arial" w:hAnsi="Arial"/>
      <w:sz w:val="18"/>
    </w:rPr>
  </w:style>
  <w:style w:type="paragraph" w:customStyle="1" w:styleId="Ednotepermnotepara">
    <w:name w:val="Ednote(permnotepara)"/>
    <w:basedOn w:val="PermNotePara"/>
    <w:rPr>
      <w:i/>
    </w:rPr>
  </w:style>
  <w:style w:type="paragraph" w:customStyle="1" w:styleId="zPermNotePara">
    <w:name w:val="zPermNotePara"/>
    <w:qFormat/>
    <w:pPr>
      <w:tabs>
        <w:tab w:val="right" w:pos="2410"/>
      </w:tabs>
      <w:spacing w:before="80"/>
      <w:ind w:left="2580" w:right="284" w:hanging="2013"/>
    </w:pPr>
    <w:rPr>
      <w:rFonts w:ascii="Arial" w:hAnsi="Arial"/>
      <w:sz w:val="18"/>
    </w:rPr>
  </w:style>
  <w:style w:type="paragraph" w:customStyle="1" w:styleId="nzPermNotePara">
    <w:name w:val="nzPermNotePara"/>
    <w:pPr>
      <w:tabs>
        <w:tab w:val="right" w:pos="2410"/>
      </w:tabs>
      <w:spacing w:before="40"/>
      <w:ind w:left="2580" w:right="284" w:hanging="2013"/>
    </w:pPr>
    <w:rPr>
      <w:rFonts w:ascii="Arial" w:hAnsi="Arial"/>
      <w:sz w:val="14"/>
    </w:rPr>
  </w:style>
  <w:style w:type="paragraph" w:customStyle="1" w:styleId="PermNoteSubPara">
    <w:name w:val="PermNoteSubPara"/>
    <w:qFormat/>
    <w:pPr>
      <w:tabs>
        <w:tab w:val="right" w:pos="2296"/>
      </w:tabs>
      <w:spacing w:before="80"/>
      <w:ind w:left="2580" w:hanging="2580"/>
    </w:pPr>
    <w:rPr>
      <w:rFonts w:ascii="Arial" w:hAnsi="Arial"/>
      <w:sz w:val="18"/>
    </w:rPr>
  </w:style>
  <w:style w:type="paragraph" w:customStyle="1" w:styleId="Ednotepermnotesubpara">
    <w:name w:val="Ednote(permnotesubpara)"/>
    <w:basedOn w:val="PermNoteSubPara"/>
    <w:rPr>
      <w:i/>
    </w:rPr>
  </w:style>
  <w:style w:type="paragraph" w:customStyle="1" w:styleId="zPermNoteSubPara">
    <w:name w:val="zPermNoteSubPara"/>
    <w:qFormat/>
    <w:pPr>
      <w:tabs>
        <w:tab w:val="right" w:pos="2863"/>
      </w:tabs>
      <w:spacing w:before="80"/>
      <w:ind w:left="3147" w:right="284" w:hanging="2580"/>
    </w:pPr>
    <w:rPr>
      <w:rFonts w:ascii="Arial" w:hAnsi="Arial"/>
      <w:sz w:val="18"/>
    </w:rPr>
  </w:style>
  <w:style w:type="paragraph" w:customStyle="1" w:styleId="nzPermNoteSubPara">
    <w:name w:val="nzPermNoteSubPara"/>
    <w:pPr>
      <w:tabs>
        <w:tab w:val="right" w:pos="2863"/>
      </w:tabs>
      <w:spacing w:before="40"/>
      <w:ind w:left="3147" w:right="284" w:hanging="2580"/>
    </w:pPr>
    <w:rPr>
      <w:rFonts w:ascii="Arial" w:hAnsi="Arial"/>
      <w:sz w:val="14"/>
    </w:rPr>
  </w:style>
  <w:style w:type="paragraph" w:customStyle="1" w:styleId="SectAltNote">
    <w:name w:val="SectAltNote"/>
    <w:qFormat/>
    <w:pPr>
      <w:keepNext/>
      <w:tabs>
        <w:tab w:val="left" w:pos="879"/>
      </w:tabs>
      <w:spacing w:before="160"/>
      <w:ind w:left="1418" w:hanging="1418"/>
    </w:pPr>
    <w:rPr>
      <w:rFonts w:ascii="Arial" w:hAnsi="Arial"/>
      <w:sz w:val="18"/>
    </w:rPr>
  </w:style>
  <w:style w:type="paragraph" w:customStyle="1" w:styleId="nzSectAltNote">
    <w:name w:val="nzSectAltNote"/>
    <w:qFormat/>
    <w:pPr>
      <w:tabs>
        <w:tab w:val="left" w:pos="1446"/>
      </w:tabs>
      <w:spacing w:before="40"/>
      <w:ind w:left="1990" w:hanging="1423"/>
    </w:pPr>
    <w:rPr>
      <w:rFonts w:ascii="Arial" w:hAnsi="Arial"/>
      <w:sz w:val="14"/>
    </w:rPr>
  </w:style>
  <w:style w:type="paragraph" w:customStyle="1" w:styleId="SectAltHeading">
    <w:name w:val="SectAltHeading"/>
    <w:qFormat/>
    <w:pPr>
      <w:tabs>
        <w:tab w:val="left" w:pos="879"/>
      </w:tabs>
      <w:spacing w:before="80"/>
      <w:ind w:left="1418" w:hanging="1418"/>
    </w:pPr>
    <w:rPr>
      <w:rFonts w:ascii="Arial" w:hAnsi="Arial"/>
      <w:b/>
      <w:sz w:val="18"/>
    </w:rPr>
  </w:style>
  <w:style w:type="paragraph" w:customStyle="1" w:styleId="nzSectAltHeading">
    <w:name w:val="nzSectAltHeading"/>
    <w:qFormat/>
    <w:pPr>
      <w:tabs>
        <w:tab w:val="left" w:pos="1446"/>
      </w:tabs>
      <w:spacing w:before="40"/>
      <w:ind w:left="1990" w:hanging="1423"/>
    </w:pPr>
    <w:rPr>
      <w:rFonts w:ascii="Arial" w:hAnsi="Arial"/>
      <w:b/>
      <w:sz w:val="14"/>
    </w:rPr>
  </w:style>
  <w:style w:type="paragraph" w:customStyle="1" w:styleId="nzShoulderClause">
    <w:name w:val="nzShoulderClause"/>
    <w:next w:val="ySubsection"/>
    <w:pPr>
      <w:spacing w:before="80"/>
      <w:jc w:val="right"/>
    </w:pPr>
  </w:style>
  <w:style w:type="paragraph" w:customStyle="1" w:styleId="nzDeleteListSub">
    <w:name w:val="nzDeleteListSub"/>
    <w:pPr>
      <w:spacing w:before="80"/>
      <w:ind w:left="1446"/>
    </w:pPr>
  </w:style>
  <w:style w:type="paragraph" w:customStyle="1" w:styleId="nzDeleteListPara">
    <w:name w:val="nzDeleteListPara"/>
    <w:pPr>
      <w:spacing w:before="80"/>
      <w:ind w:left="2183"/>
    </w:pPr>
  </w:style>
  <w:style w:type="paragraph" w:customStyle="1" w:styleId="nzEdnotepart">
    <w:name w:val="nzEdnote(part)"/>
    <w:basedOn w:val="nzHeading2"/>
    <w:rPr>
      <w:b w:val="0"/>
      <w:i/>
    </w:rPr>
  </w:style>
  <w:style w:type="paragraph" w:customStyle="1" w:styleId="nzEdnotedivision">
    <w:name w:val="nzEdnote(division)"/>
    <w:basedOn w:val="nzHeading3"/>
    <w:rPr>
      <w:b w:val="0"/>
      <w:i/>
    </w:rPr>
  </w:style>
  <w:style w:type="paragraph" w:customStyle="1" w:styleId="nzEdnotesubdivision">
    <w:name w:val="nzEdnote(subdivision)"/>
    <w:basedOn w:val="nzHeading4"/>
    <w:rPr>
      <w:i/>
    </w:rPr>
  </w:style>
  <w:style w:type="paragraph" w:customStyle="1" w:styleId="nzEdnotesection">
    <w:name w:val="nzEdnote(section)"/>
    <w:basedOn w:val="nzHeading5"/>
    <w:rPr>
      <w:b w:val="0"/>
      <w:i/>
    </w:rPr>
  </w:style>
  <w:style w:type="paragraph" w:customStyle="1" w:styleId="nzEdnotesubsection">
    <w:name w:val="nzEdnote(subsection)"/>
    <w:basedOn w:val="nzSubsection"/>
    <w:rPr>
      <w:i/>
    </w:rPr>
  </w:style>
  <w:style w:type="paragraph" w:customStyle="1" w:styleId="nzEdnotepara">
    <w:name w:val="nzEdnote(para)"/>
    <w:basedOn w:val="nzIndenta"/>
    <w:rPr>
      <w:i/>
    </w:rPr>
  </w:style>
  <w:style w:type="paragraph" w:customStyle="1" w:styleId="nzEdnotesubpara">
    <w:name w:val="nzEdnote(subpara)"/>
    <w:basedOn w:val="nzIndenti"/>
    <w:rPr>
      <w:i/>
    </w:rPr>
  </w:style>
  <w:style w:type="paragraph" w:customStyle="1" w:styleId="nzEdnoteitem">
    <w:name w:val="nzEdnote(item)"/>
    <w:basedOn w:val="nzIndentI0"/>
    <w:rPr>
      <w:i/>
    </w:rPr>
  </w:style>
  <w:style w:type="paragraph" w:customStyle="1" w:styleId="nzEdnotesubitem">
    <w:name w:val="nzEdnote(subitem)"/>
    <w:basedOn w:val="nzIndentA0"/>
    <w:rPr>
      <w:i/>
    </w:rPr>
  </w:style>
  <w:style w:type="paragraph" w:customStyle="1" w:styleId="nzEdnotedefpara">
    <w:name w:val="nzEdnote(defpara)"/>
    <w:basedOn w:val="nzDefpara"/>
    <w:rPr>
      <w:i/>
    </w:rPr>
  </w:style>
  <w:style w:type="paragraph" w:customStyle="1" w:styleId="nzEdnotedefsubpara">
    <w:name w:val="nzEdnote(defsubpara)"/>
    <w:basedOn w:val="nzDefsubpara"/>
    <w:rPr>
      <w:i/>
    </w:rPr>
  </w:style>
  <w:style w:type="paragraph" w:customStyle="1" w:styleId="nzEdnotedefitem">
    <w:name w:val="nzEdnote(defitem)"/>
    <w:basedOn w:val="nzDefitem"/>
    <w:rPr>
      <w:i/>
    </w:rPr>
  </w:style>
  <w:style w:type="paragraph" w:customStyle="1" w:styleId="nzEdnotedefsubitem">
    <w:name w:val="nzEdnote(defsubitem)"/>
    <w:basedOn w:val="nzDefsubitem"/>
    <w:rPr>
      <w:i/>
    </w:rPr>
  </w:style>
  <w:style w:type="paragraph" w:customStyle="1" w:styleId="nzEdnotepenpara">
    <w:name w:val="nzEdnote(penpara)"/>
    <w:basedOn w:val="nzPenpara"/>
    <w:rPr>
      <w:i/>
    </w:rPr>
  </w:style>
  <w:style w:type="paragraph" w:customStyle="1" w:styleId="nzEdnotepensubpara">
    <w:name w:val="nzEdnote(pensubpara)"/>
    <w:basedOn w:val="nzPensubpara"/>
    <w:rPr>
      <w:i/>
    </w:rPr>
  </w:style>
  <w:style w:type="paragraph" w:customStyle="1" w:styleId="nzEdnotepenitem">
    <w:name w:val="nzEdnote(penitem)"/>
    <w:basedOn w:val="nzPenitem"/>
    <w:rPr>
      <w:i/>
    </w:rPr>
  </w:style>
  <w:style w:type="paragraph" w:customStyle="1" w:styleId="nzFootnoteheading">
    <w:name w:val="nzFootnote(heading)"/>
    <w:pPr>
      <w:tabs>
        <w:tab w:val="left" w:pos="879"/>
      </w:tabs>
      <w:spacing w:before="40"/>
      <w:ind w:left="879" w:hanging="879"/>
    </w:pPr>
    <w:rPr>
      <w:i/>
      <w:snapToGrid w:val="0"/>
    </w:rPr>
  </w:style>
  <w:style w:type="paragraph" w:customStyle="1" w:styleId="nzFootnotesection">
    <w:name w:val="nzFootnote(section)"/>
    <w:pPr>
      <w:keepLines/>
      <w:tabs>
        <w:tab w:val="left" w:pos="893"/>
      </w:tabs>
      <w:spacing w:before="40"/>
      <w:ind w:left="893" w:hanging="893"/>
    </w:pPr>
    <w:rPr>
      <w:i/>
      <w:snapToGrid w:val="0"/>
    </w:rPr>
  </w:style>
  <w:style w:type="paragraph" w:customStyle="1" w:styleId="nzFootnotelongtitle">
    <w:name w:val="nzFootnote(longtitle)"/>
    <w:basedOn w:val="nzFootnotesection"/>
  </w:style>
  <w:style w:type="paragraph" w:customStyle="1" w:styleId="nzFootnotepreamble">
    <w:name w:val="nzFootnote(preamble)"/>
    <w:basedOn w:val="nzFootnotesection"/>
  </w:style>
  <w:style w:type="paragraph" w:customStyle="1" w:styleId="nzOmitFootnote">
    <w:name w:val="nzOmitFootnote"/>
    <w:basedOn w:val="nzEdnotesection"/>
  </w:style>
  <w:style w:type="paragraph" w:styleId="Revision">
    <w:name w:val="Revision"/>
    <w:hidden/>
    <w:uiPriority w:val="99"/>
    <w:semiHidden/>
    <w:rPr>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2" w:uiPriority="39"/>
    <w:lsdException w:name="toc 4" w:uiPriority="39"/>
    <w:lsdException w:name="toc 8" w:uiPriority="39"/>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rPr>
  </w:style>
  <w:style w:type="paragraph" w:styleId="Heading1">
    <w:name w:val="heading 1"/>
    <w:next w:val="Heading2"/>
    <w:qFormat/>
    <w:pPr>
      <w:keepNext/>
      <w:keepLines/>
      <w:pageBreakBefore/>
      <w:spacing w:before="320" w:line="260" w:lineRule="atLeast"/>
      <w:jc w:val="center"/>
      <w:outlineLvl w:val="0"/>
    </w:pPr>
    <w:rPr>
      <w:b/>
      <w:kern w:val="28"/>
      <w:sz w:val="34"/>
    </w:rPr>
  </w:style>
  <w:style w:type="paragraph" w:styleId="Heading2">
    <w:name w:val="heading 2"/>
    <w:next w:val="Heading3"/>
    <w:qFormat/>
    <w:pPr>
      <w:keepNext/>
      <w:pageBreakBefore/>
      <w:spacing w:line="260" w:lineRule="atLeast"/>
      <w:jc w:val="center"/>
      <w:outlineLvl w:val="1"/>
    </w:pPr>
    <w:rPr>
      <w:b/>
      <w:snapToGrid w:val="0"/>
      <w:sz w:val="30"/>
    </w:rPr>
  </w:style>
  <w:style w:type="paragraph" w:styleId="Heading3">
    <w:name w:val="heading 3"/>
    <w:next w:val="Heading4"/>
    <w:qFormat/>
    <w:pPr>
      <w:keepNext/>
      <w:spacing w:before="240" w:line="260" w:lineRule="atLeast"/>
      <w:jc w:val="center"/>
      <w:outlineLvl w:val="2"/>
    </w:pPr>
    <w:rPr>
      <w:b/>
      <w:sz w:val="26"/>
    </w:rPr>
  </w:style>
  <w:style w:type="paragraph" w:styleId="Heading4">
    <w:name w:val="heading 4"/>
    <w:next w:val="Heading5"/>
    <w:qFormat/>
    <w:pPr>
      <w:keepNext/>
      <w:spacing w:before="240"/>
      <w:jc w:val="center"/>
      <w:outlineLvl w:val="3"/>
    </w:pPr>
    <w:rPr>
      <w:b/>
      <w:sz w:val="24"/>
    </w:rPr>
  </w:style>
  <w:style w:type="paragraph" w:styleId="Heading5">
    <w:name w:val="heading 5"/>
    <w:next w:val="Normal"/>
    <w:qFormat/>
    <w:pPr>
      <w:keepNext/>
      <w:keepLines/>
      <w:tabs>
        <w:tab w:val="left" w:pos="879"/>
      </w:tabs>
      <w:spacing w:before="220" w:line="260" w:lineRule="atLeast"/>
      <w:ind w:left="879" w:hanging="879"/>
      <w:outlineLvl w:val="4"/>
    </w:pPr>
    <w:rPr>
      <w:b/>
      <w:sz w:val="24"/>
    </w:rPr>
  </w:style>
  <w:style w:type="paragraph" w:styleId="Heading6">
    <w:name w:val="heading 6"/>
    <w:next w:val="Normal"/>
    <w:qFormat/>
    <w:pPr>
      <w:keepNext/>
      <w:spacing w:before="240"/>
      <w:jc w:val="center"/>
      <w:outlineLvl w:val="5"/>
    </w:pPr>
    <w:rPr>
      <w:i/>
      <w:noProof/>
      <w:sz w:val="24"/>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yDefitem">
    <w:name w:val="zyDefitem"/>
    <w:pPr>
      <w:tabs>
        <w:tab w:val="right" w:pos="3459"/>
      </w:tabs>
      <w:spacing w:before="80"/>
      <w:ind w:left="3686" w:right="284" w:hanging="3119"/>
    </w:pPr>
    <w:rPr>
      <w:snapToGrid w:val="0"/>
      <w:sz w:val="22"/>
    </w:rPr>
  </w:style>
  <w:style w:type="paragraph" w:customStyle="1" w:styleId="zDefitem">
    <w:name w:val="zDefitem"/>
    <w:pPr>
      <w:tabs>
        <w:tab w:val="right" w:pos="3459"/>
      </w:tabs>
      <w:spacing w:before="80" w:line="260" w:lineRule="atLeast"/>
      <w:ind w:left="3686" w:right="284" w:hanging="3119"/>
    </w:pPr>
    <w:rPr>
      <w:snapToGrid w:val="0"/>
      <w:sz w:val="24"/>
    </w:rPr>
  </w:style>
  <w:style w:type="paragraph" w:customStyle="1" w:styleId="Defitem">
    <w:name w:val="Defitem"/>
    <w:pPr>
      <w:tabs>
        <w:tab w:val="right" w:pos="2892"/>
      </w:tabs>
      <w:spacing w:before="80" w:line="260" w:lineRule="atLeast"/>
      <w:ind w:left="3204" w:hanging="3204"/>
    </w:pPr>
    <w:rPr>
      <w:snapToGrid w:val="0"/>
      <w:sz w:val="24"/>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b/>
      <w:snapToGrid w:val="0"/>
      <w:sz w:val="34"/>
    </w:rPr>
  </w:style>
  <w:style w:type="paragraph" w:customStyle="1" w:styleId="Defpara">
    <w:name w:val="Defpara"/>
    <w:pPr>
      <w:tabs>
        <w:tab w:val="right" w:pos="1332"/>
      </w:tabs>
      <w:spacing w:before="80" w:line="260" w:lineRule="atLeast"/>
      <w:ind w:left="1616" w:hanging="1616"/>
    </w:pPr>
    <w:rPr>
      <w:snapToGrid w:val="0"/>
      <w:sz w:val="24"/>
    </w:rPr>
  </w:style>
  <w:style w:type="paragraph" w:styleId="Footer">
    <w:name w:val="footer"/>
    <w:basedOn w:val="Normal"/>
    <w:rPr>
      <w:rFonts w:ascii="Arial" w:hAnsi="Arial"/>
    </w:rPr>
  </w:style>
  <w:style w:type="paragraph" w:customStyle="1" w:styleId="Ednotesection">
    <w:name w:val="Ednote(section)"/>
    <w:pPr>
      <w:tabs>
        <w:tab w:val="left" w:pos="893"/>
      </w:tabs>
      <w:spacing w:before="220" w:line="260" w:lineRule="atLeast"/>
      <w:ind w:left="893" w:hanging="893"/>
      <w:outlineLvl w:val="4"/>
    </w:pPr>
    <w:rPr>
      <w:i/>
      <w:snapToGrid w:val="0"/>
      <w:sz w:val="24"/>
    </w:rPr>
  </w:style>
  <w:style w:type="character" w:styleId="LineNumber">
    <w:name w:val="line number"/>
    <w:basedOn w:val="DefaultParagraphFont"/>
    <w:rPr>
      <w:rFonts w:ascii="Arial" w:hAnsi="Arial"/>
      <w:sz w:val="16"/>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Penstart">
    <w:name w:val="Penstart"/>
    <w:basedOn w:val="Normal"/>
    <w:pPr>
      <w:tabs>
        <w:tab w:val="left" w:pos="879"/>
      </w:tabs>
      <w:spacing w:before="80" w:line="260" w:lineRule="atLeast"/>
      <w:ind w:left="1332" w:hanging="1332"/>
    </w:pPr>
  </w:style>
  <w:style w:type="paragraph" w:customStyle="1" w:styleId="Preamble">
    <w:name w:val="Preamble"/>
    <w:pPr>
      <w:tabs>
        <w:tab w:val="left" w:pos="567"/>
      </w:tabs>
      <w:spacing w:before="160" w:line="260" w:lineRule="atLeast"/>
      <w:ind w:left="567" w:hanging="567"/>
    </w:pPr>
    <w:rPr>
      <w:rFonts w:ascii="Times" w:hAnsi="Times"/>
      <w:sz w:val="24"/>
    </w:rPr>
  </w:style>
  <w:style w:type="character" w:styleId="Strong">
    <w:name w:val="Strong"/>
    <w:basedOn w:val="DefaultParagraphFont"/>
    <w:qFormat/>
    <w:rPr>
      <w:b/>
      <w:sz w:val="24"/>
    </w:rPr>
  </w:style>
  <w:style w:type="paragraph" w:customStyle="1" w:styleId="ySubsection">
    <w:name w:val="ySubsection"/>
    <w:basedOn w:val="Subsection"/>
    <w:pPr>
      <w:spacing w:line="240" w:lineRule="auto"/>
    </w:pPr>
    <w:rPr>
      <w:sz w:val="22"/>
    </w:rPr>
  </w:style>
  <w:style w:type="paragraph" w:customStyle="1" w:styleId="Subsection">
    <w:name w:val="Subsection"/>
    <w:pPr>
      <w:tabs>
        <w:tab w:val="right" w:pos="595"/>
        <w:tab w:val="left" w:pos="879"/>
      </w:tabs>
      <w:spacing w:before="160" w:line="260" w:lineRule="atLeast"/>
      <w:ind w:left="879" w:hanging="879"/>
    </w:pPr>
    <w:rPr>
      <w:sz w:val="24"/>
    </w:rPr>
  </w:style>
  <w:style w:type="paragraph" w:customStyle="1" w:styleId="Table">
    <w:name w:val="Table"/>
    <w:aliases w:val="t"/>
    <w:basedOn w:val="Normal"/>
    <w:pPr>
      <w:spacing w:before="60" w:line="240" w:lineRule="atLeast"/>
    </w:pPr>
    <w:rPr>
      <w:sz w:val="22"/>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2">
    <w:name w:val="toc 2"/>
    <w:next w:val="Normal"/>
    <w:uiPriority w:val="39"/>
    <w:pPr>
      <w:keepNext/>
      <w:spacing w:before="120" w:after="60"/>
      <w:ind w:left="1985" w:right="1134" w:hanging="567"/>
    </w:pPr>
    <w:rPr>
      <w:b/>
      <w:noProof/>
      <w:sz w:val="28"/>
    </w:rPr>
  </w:style>
  <w:style w:type="character" w:customStyle="1" w:styleId="CharSClsNo">
    <w:name w:val="CharSClsNo"/>
    <w:basedOn w:val="DefaultParagraphFont"/>
    <w:rPr>
      <w:sz w:val="22"/>
    </w:rPr>
  </w:style>
  <w:style w:type="paragraph" w:styleId="TOC4">
    <w:name w:val="toc 4"/>
    <w:next w:val="Normal"/>
    <w:uiPriority w:val="39"/>
    <w:pPr>
      <w:keepNext/>
      <w:spacing w:before="60" w:after="20"/>
      <w:ind w:left="1985" w:right="1134" w:hanging="567"/>
    </w:pPr>
    <w:rPr>
      <w:b/>
      <w:noProof/>
      <w:sz w:val="22"/>
    </w:rPr>
  </w:style>
  <w:style w:type="paragraph" w:styleId="TOC5">
    <w:name w:val="toc 5"/>
    <w:next w:val="Normal"/>
    <w:semiHidden/>
    <w:pPr>
      <w:keepNext/>
      <w:spacing w:before="60" w:after="20"/>
      <w:ind w:left="1985" w:right="1134" w:hanging="567"/>
    </w:pPr>
    <w:rPr>
      <w:rFonts w:ascii="Helvetica" w:hAnsi="Helvetica"/>
      <w:b/>
      <w:noProof/>
      <w:sz w:val="18"/>
    </w:rPr>
  </w:style>
  <w:style w:type="paragraph" w:styleId="TOC6">
    <w:name w:val="toc 6"/>
    <w:next w:val="Normal"/>
    <w:semiHidden/>
    <w:pPr>
      <w:keepNext/>
      <w:spacing w:before="60" w:after="20"/>
      <w:ind w:left="1985" w:right="1134" w:hanging="567"/>
    </w:pPr>
    <w:rPr>
      <w:b/>
      <w:noProof/>
    </w:rPr>
  </w:style>
  <w:style w:type="paragraph" w:styleId="TOC7">
    <w:name w:val="toc 7"/>
    <w:next w:val="Normal"/>
    <w:semiHidden/>
    <w:pPr>
      <w:keepNext/>
      <w:spacing w:before="60" w:after="20"/>
      <w:ind w:left="1985" w:right="1134" w:hanging="567"/>
    </w:pPr>
    <w:rPr>
      <w:rFonts w:ascii="Helvetica" w:hAnsi="Helvetica"/>
      <w:b/>
      <w:sz w:val="18"/>
    </w:rPr>
  </w:style>
  <w:style w:type="paragraph" w:styleId="TOC8">
    <w:name w:val="toc 8"/>
    <w:next w:val="Normal"/>
    <w:uiPriority w:val="39"/>
    <w:pPr>
      <w:tabs>
        <w:tab w:val="left" w:pos="1418"/>
        <w:tab w:val="right" w:pos="6804"/>
      </w:tabs>
      <w:ind w:left="1418" w:right="1134" w:hanging="851"/>
    </w:pPr>
    <w:rPr>
      <w:noProof/>
      <w:sz w:val="22"/>
    </w:rPr>
  </w:style>
  <w:style w:type="paragraph" w:styleId="TOC9">
    <w:name w:val="toc 9"/>
    <w:next w:val="Normal"/>
    <w:semiHidden/>
    <w:pPr>
      <w:tabs>
        <w:tab w:val="left" w:pos="2268"/>
        <w:tab w:val="right" w:pos="6237"/>
      </w:tabs>
      <w:ind w:left="2269" w:right="1418" w:hanging="851"/>
    </w:pPr>
    <w:rPr>
      <w:rFonts w:ascii="Helvetica" w:hAnsi="Helvetica"/>
      <w:sz w:val="18"/>
    </w:rPr>
  </w:style>
  <w:style w:type="paragraph" w:customStyle="1" w:styleId="Defstart">
    <w:name w:val="Defstart"/>
    <w:pPr>
      <w:spacing w:before="80" w:line="260" w:lineRule="atLeast"/>
      <w:ind w:left="879" w:hanging="879"/>
    </w:pPr>
    <w:rPr>
      <w:snapToGrid w:val="0"/>
      <w:sz w:val="24"/>
    </w:rPr>
  </w:style>
  <w:style w:type="paragraph" w:customStyle="1" w:styleId="Defsubpara">
    <w:name w:val="Defsubpara"/>
    <w:pPr>
      <w:keepLines/>
      <w:tabs>
        <w:tab w:val="right" w:pos="2041"/>
      </w:tabs>
      <w:spacing w:before="80" w:line="260" w:lineRule="atLeast"/>
      <w:ind w:left="2325" w:hanging="2325"/>
    </w:pPr>
    <w:rPr>
      <w:snapToGrid w:val="0"/>
      <w:sz w:val="24"/>
    </w:rPr>
  </w:style>
  <w:style w:type="character" w:styleId="EndnoteReference">
    <w:name w:val="endnote reference"/>
    <w:basedOn w:val="DefaultParagraphFont"/>
    <w:semiHidden/>
    <w:rPr>
      <w:sz w:val="24"/>
      <w:vertAlign w:val="superscript"/>
    </w:rPr>
  </w:style>
  <w:style w:type="paragraph" w:styleId="BodyText">
    <w:name w:val="Body Text"/>
    <w:basedOn w:val="Normal"/>
    <w:pPr>
      <w:spacing w:after="120"/>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character" w:styleId="Hyperlink">
    <w:name w:val="Hyperlink"/>
    <w:basedOn w:val="DefaultParagraphFont"/>
    <w:rPr>
      <w:color w:val="0000FF"/>
      <w:sz w:val="24"/>
      <w:u w:val="single"/>
    </w:rPr>
  </w:style>
  <w:style w:type="character" w:styleId="FollowedHyperlink">
    <w:name w:val="FollowedHyperlink"/>
    <w:basedOn w:val="DefaultParagraphFont"/>
    <w:rPr>
      <w:color w:val="800080"/>
      <w:sz w:val="24"/>
      <w:u w:val="single"/>
    </w:rPr>
  </w:style>
  <w:style w:type="paragraph" w:customStyle="1" w:styleId="AssentNote">
    <w:name w:val="Assent Note"/>
    <w:pPr>
      <w:keepLines/>
      <w:spacing w:before="160" w:after="240"/>
      <w:jc w:val="right"/>
    </w:pPr>
    <w:rPr>
      <w:i/>
      <w:snapToGrid w:val="0"/>
      <w:sz w:val="24"/>
    </w:rPr>
  </w:style>
  <w:style w:type="paragraph" w:customStyle="1" w:styleId="Enactment">
    <w:name w:val="Enactment"/>
    <w:pPr>
      <w:spacing w:before="800"/>
    </w:pPr>
    <w:rPr>
      <w:sz w:val="24"/>
    </w:rPr>
  </w:style>
  <w:style w:type="paragraph" w:customStyle="1" w:styleId="Footnotesection">
    <w:name w:val="Footnote(section)"/>
    <w:pPr>
      <w:keepLines/>
      <w:tabs>
        <w:tab w:val="left" w:pos="893"/>
      </w:tabs>
      <w:spacing w:before="120" w:line="260" w:lineRule="atLeast"/>
      <w:ind w:left="893" w:hanging="893"/>
    </w:pPr>
    <w:rPr>
      <w:i/>
      <w:snapToGrid w:val="0"/>
      <w:sz w:val="24"/>
    </w:rPr>
  </w:style>
  <w:style w:type="paragraph" w:styleId="FootnoteText">
    <w:name w:val="footnote text"/>
    <w:basedOn w:val="Normal"/>
    <w:semiHidden/>
  </w:style>
  <w:style w:type="paragraph" w:customStyle="1" w:styleId="LongTitle">
    <w:name w:val="Long Title"/>
    <w:rPr>
      <w:b/>
      <w:sz w:val="24"/>
    </w:rPr>
  </w:style>
  <w:style w:type="paragraph" w:styleId="Signature">
    <w:name w:val="Signature"/>
    <w:basedOn w:val="Normal"/>
    <w:pPr>
      <w:ind w:left="4252"/>
    </w:pPr>
  </w:style>
  <w:style w:type="paragraph" w:styleId="List">
    <w:name w:val="List"/>
    <w:basedOn w:val="Normal"/>
    <w:pPr>
      <w:ind w:left="283" w:hanging="283"/>
    </w:pPr>
  </w:style>
  <w:style w:type="paragraph" w:customStyle="1" w:styleId="Indenta">
    <w:name w:val="Indent(a)"/>
    <w:pPr>
      <w:tabs>
        <w:tab w:val="right" w:pos="1332"/>
        <w:tab w:val="left" w:pos="1616"/>
      </w:tabs>
      <w:spacing w:before="80" w:line="260" w:lineRule="atLeast"/>
      <w:ind w:left="1616" w:hanging="1616"/>
    </w:pPr>
    <w:rPr>
      <w:sz w:val="24"/>
    </w:rPr>
  </w:style>
  <w:style w:type="paragraph" w:customStyle="1" w:styleId="IndentA0">
    <w:name w:val="Indent(A)"/>
    <w:pPr>
      <w:tabs>
        <w:tab w:val="right" w:pos="3686"/>
        <w:tab w:val="left" w:pos="3969"/>
      </w:tabs>
      <w:spacing w:before="80" w:line="260" w:lineRule="atLeast"/>
      <w:ind w:left="3969" w:hanging="3969"/>
    </w:pPr>
    <w:rPr>
      <w:sz w:val="24"/>
    </w:rPr>
  </w:style>
  <w:style w:type="paragraph" w:customStyle="1" w:styleId="Indenti">
    <w:name w:val="Indent(i)"/>
    <w:pPr>
      <w:tabs>
        <w:tab w:val="right" w:pos="2041"/>
        <w:tab w:val="left" w:pos="2325"/>
      </w:tabs>
      <w:spacing w:before="80" w:line="260" w:lineRule="atLeast"/>
      <w:ind w:left="2325" w:hanging="2325"/>
    </w:pPr>
    <w:rPr>
      <w:sz w:val="24"/>
    </w:rPr>
  </w:style>
  <w:style w:type="paragraph" w:customStyle="1" w:styleId="IndentI0">
    <w:name w:val="Indent(I)"/>
    <w:pPr>
      <w:tabs>
        <w:tab w:val="right" w:pos="2892"/>
        <w:tab w:val="left" w:pos="3204"/>
      </w:tabs>
      <w:spacing w:before="80" w:line="260" w:lineRule="atLeast"/>
      <w:ind w:left="3204" w:hanging="3204"/>
    </w:pPr>
    <w:rPr>
      <w:sz w:val="24"/>
    </w:rPr>
  </w:style>
  <w:style w:type="character" w:customStyle="1" w:styleId="CharChapNo">
    <w:name w:val="CharChapNo"/>
    <w:rPr>
      <w:noProof w:val="0"/>
    </w:rPr>
  </w:style>
  <w:style w:type="paragraph" w:customStyle="1" w:styleId="Ednotesubpara">
    <w:name w:val="Ednote(subpara)"/>
    <w:pPr>
      <w:tabs>
        <w:tab w:val="right" w:pos="2047"/>
        <w:tab w:val="left" w:pos="2333"/>
      </w:tabs>
      <w:spacing w:before="80" w:line="260" w:lineRule="atLeast"/>
      <w:ind w:left="2330" w:hanging="2330"/>
    </w:pPr>
    <w:rPr>
      <w:i/>
      <w:sz w:val="24"/>
    </w:rPr>
  </w:style>
  <w:style w:type="paragraph" w:customStyle="1" w:styleId="Ednotepara">
    <w:name w:val="Ednote(para)"/>
    <w:pPr>
      <w:tabs>
        <w:tab w:val="right" w:pos="1325"/>
        <w:tab w:val="left" w:pos="1613"/>
      </w:tabs>
      <w:spacing w:before="120" w:line="260" w:lineRule="atLeast"/>
      <w:ind w:left="1613" w:hanging="1613"/>
    </w:pPr>
    <w:rPr>
      <w:i/>
      <w:sz w:val="24"/>
    </w:rPr>
  </w:style>
  <w:style w:type="paragraph" w:customStyle="1" w:styleId="Footnoteheading">
    <w:name w:val="Footnote(heading)"/>
    <w:pPr>
      <w:tabs>
        <w:tab w:val="left" w:pos="879"/>
      </w:tabs>
      <w:spacing w:before="120" w:line="260" w:lineRule="atLeast"/>
      <w:ind w:left="879" w:hanging="879"/>
    </w:pPr>
    <w:rPr>
      <w:i/>
      <w:sz w:val="24"/>
    </w:rPr>
  </w:style>
  <w:style w:type="character" w:customStyle="1" w:styleId="CharChapText">
    <w:name w:val="CharChapText"/>
    <w:rPr>
      <w:noProof w:val="0"/>
    </w:rPr>
  </w:style>
  <w:style w:type="character" w:customStyle="1" w:styleId="CharDivNo">
    <w:name w:val="CharDivNo"/>
    <w:rPr>
      <w:noProof w:val="0"/>
    </w:rPr>
  </w:style>
  <w:style w:type="character" w:customStyle="1" w:styleId="CharDivText">
    <w:name w:val="CharDivText"/>
    <w:rPr>
      <w:noProof w:val="0"/>
    </w:rPr>
  </w:style>
  <w:style w:type="character" w:customStyle="1" w:styleId="CharPartNo">
    <w:name w:val="CharPartNo"/>
    <w:rPr>
      <w:noProof w:val="0"/>
    </w:rPr>
  </w:style>
  <w:style w:type="character" w:customStyle="1" w:styleId="CharPartText">
    <w:name w:val="CharPartText"/>
    <w:rPr>
      <w:noProof w:val="0"/>
    </w:rPr>
  </w:style>
  <w:style w:type="character" w:customStyle="1" w:styleId="CharSectno">
    <w:name w:val="CharSectno"/>
    <w:rPr>
      <w:noProof w:val="0"/>
    </w:rPr>
  </w:style>
  <w:style w:type="paragraph" w:customStyle="1" w:styleId="MiscClose">
    <w:name w:val="MiscClose"/>
    <w:basedOn w:val="Normal"/>
    <w:pPr>
      <w:keepLines/>
      <w:tabs>
        <w:tab w:val="left" w:pos="893"/>
      </w:tabs>
      <w:spacing w:line="260" w:lineRule="atLeast"/>
      <w:jc w:val="right"/>
    </w:pPr>
  </w:style>
  <w:style w:type="character" w:customStyle="1" w:styleId="CharSchNo">
    <w:name w:val="CharSchNo"/>
    <w:rPr>
      <w:noProof w:val="0"/>
    </w:rPr>
  </w:style>
  <w:style w:type="paragraph" w:customStyle="1" w:styleId="Ednoteitem">
    <w:name w:val="Ednote(item)"/>
    <w:pPr>
      <w:tabs>
        <w:tab w:val="right" w:pos="2765"/>
        <w:tab w:val="left" w:pos="3053"/>
      </w:tabs>
      <w:spacing w:before="80" w:line="260" w:lineRule="atLeast"/>
      <w:ind w:left="3050" w:hanging="3050"/>
    </w:pPr>
    <w:rPr>
      <w:i/>
      <w:sz w:val="24"/>
    </w:rPr>
  </w:style>
  <w:style w:type="paragraph" w:customStyle="1" w:styleId="zHeading1">
    <w:name w:val="zHeading 1"/>
    <w:basedOn w:val="Heading1"/>
    <w:pPr>
      <w:ind w:left="567" w:right="284"/>
      <w:outlineLvl w:val="9"/>
    </w:p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yHeading2">
    <w:name w:val="yHeading 2"/>
    <w:basedOn w:val="Heading2"/>
    <w:pPr>
      <w:pageBreakBefore w:val="0"/>
      <w:spacing w:before="240" w:line="240" w:lineRule="auto"/>
    </w:pPr>
    <w:rPr>
      <w:sz w:val="28"/>
    </w:rPr>
  </w:style>
  <w:style w:type="paragraph" w:customStyle="1" w:styleId="yHeading1">
    <w:name w:val="yHeading 1"/>
    <w:basedOn w:val="Heading1"/>
    <w:pPr>
      <w:spacing w:line="240" w:lineRule="auto"/>
    </w:pPr>
    <w:rPr>
      <w:sz w:val="32"/>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Ednotesubitem">
    <w:name w:val="Ednote(subitem)"/>
    <w:pPr>
      <w:tabs>
        <w:tab w:val="right" w:pos="3485"/>
        <w:tab w:val="left" w:pos="3773"/>
      </w:tabs>
      <w:spacing w:before="80" w:line="260" w:lineRule="atLeast"/>
      <w:ind w:left="3771" w:hanging="3771"/>
    </w:pPr>
    <w:rPr>
      <w:i/>
      <w:sz w:val="24"/>
    </w:rPr>
  </w:style>
  <w:style w:type="paragraph" w:customStyle="1" w:styleId="Penpara">
    <w:name w:val="Penpara"/>
    <w:pPr>
      <w:tabs>
        <w:tab w:val="right" w:pos="1616"/>
        <w:tab w:val="left" w:pos="1899"/>
      </w:tabs>
      <w:spacing w:before="80" w:line="260" w:lineRule="atLeast"/>
      <w:ind w:left="1899" w:hanging="1899"/>
    </w:pPr>
    <w:rPr>
      <w:sz w:val="24"/>
    </w:rPr>
  </w:style>
  <w:style w:type="paragraph" w:customStyle="1" w:styleId="Pensubpara">
    <w:name w:val="Pensubpara"/>
    <w:pPr>
      <w:tabs>
        <w:tab w:val="right" w:pos="2325"/>
        <w:tab w:val="left" w:pos="2608"/>
      </w:tabs>
      <w:spacing w:before="80" w:line="260" w:lineRule="atLeast"/>
      <w:ind w:left="2608" w:hanging="2608"/>
    </w:pPr>
    <w:rPr>
      <w:sz w:val="24"/>
    </w:rPr>
  </w:style>
  <w:style w:type="paragraph" w:customStyle="1" w:styleId="Penitem">
    <w:name w:val="Penitem"/>
    <w:pPr>
      <w:tabs>
        <w:tab w:val="right" w:pos="3119"/>
        <w:tab w:val="left" w:pos="3402"/>
      </w:tabs>
      <w:spacing w:before="80" w:line="260" w:lineRule="atLeast"/>
      <w:ind w:left="3402" w:hanging="3402"/>
    </w:pPr>
    <w:rPr>
      <w:sz w:val="24"/>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yPenstart">
    <w:name w:val="yPenstart"/>
    <w:basedOn w:val="Penstart"/>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Penitem">
    <w:name w:val="yPenitem"/>
    <w:basedOn w:val="Penitem"/>
    <w:pPr>
      <w:spacing w:line="240" w:lineRule="auto"/>
    </w:pPr>
    <w:rPr>
      <w:sz w:val="22"/>
    </w:rPr>
  </w:style>
  <w:style w:type="paragraph" w:customStyle="1" w:styleId="zPenpara">
    <w:name w:val="zPenpara"/>
    <w:basedOn w:val="Normal"/>
    <w:pPr>
      <w:tabs>
        <w:tab w:val="right" w:pos="2155"/>
        <w:tab w:val="left" w:pos="2438"/>
      </w:tabs>
      <w:spacing w:before="80" w:line="260" w:lineRule="atLeast"/>
      <w:ind w:left="2439" w:right="284" w:hanging="2070"/>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yDefpara">
    <w:name w:val="yDefpara"/>
    <w:pPr>
      <w:tabs>
        <w:tab w:val="right" w:pos="1332"/>
      </w:tabs>
      <w:spacing w:before="80"/>
      <w:ind w:left="1616" w:hanging="1616"/>
    </w:pPr>
    <w:rPr>
      <w:snapToGrid w:val="0"/>
      <w:sz w:val="22"/>
    </w:rPr>
  </w:style>
  <w:style w:type="paragraph" w:customStyle="1" w:styleId="yDefstart">
    <w:name w:val="yDefstart"/>
    <w:pPr>
      <w:spacing w:before="80"/>
      <w:ind w:left="879" w:hanging="879"/>
    </w:pPr>
    <w:rPr>
      <w:snapToGrid w:val="0"/>
      <w:sz w:val="22"/>
    </w:rPr>
  </w:style>
  <w:style w:type="paragraph" w:customStyle="1" w:styleId="yDefsubpara">
    <w:name w:val="yDefsubpara"/>
    <w:pPr>
      <w:keepLines/>
      <w:tabs>
        <w:tab w:val="right" w:pos="2041"/>
      </w:tabs>
      <w:spacing w:before="80"/>
      <w:ind w:left="2325" w:hanging="2325"/>
    </w:pPr>
    <w:rPr>
      <w:snapToGrid w:val="0"/>
      <w:sz w:val="22"/>
    </w:rPr>
  </w:style>
  <w:style w:type="paragraph" w:customStyle="1" w:styleId="yDefitem">
    <w:name w:val="yDefitem"/>
    <w:pPr>
      <w:tabs>
        <w:tab w:val="right" w:pos="2892"/>
      </w:tabs>
      <w:spacing w:before="80"/>
      <w:ind w:left="3204" w:hanging="3204"/>
    </w:pPr>
    <w:rPr>
      <w:snapToGrid w:val="0"/>
      <w:sz w:val="22"/>
    </w:rPr>
  </w:style>
  <w:style w:type="paragraph" w:customStyle="1" w:styleId="zDefstart">
    <w:name w:val="zDefstart"/>
    <w:pPr>
      <w:spacing w:before="80" w:line="260" w:lineRule="atLeast"/>
      <w:ind w:left="1446" w:right="284" w:hanging="879"/>
    </w:pPr>
    <w:rPr>
      <w:snapToGrid w:val="0"/>
      <w:sz w:val="24"/>
    </w:rPr>
  </w:style>
  <w:style w:type="paragraph" w:customStyle="1" w:styleId="zDefpara">
    <w:name w:val="zDefpara"/>
    <w:pPr>
      <w:tabs>
        <w:tab w:val="right" w:pos="1899"/>
      </w:tabs>
      <w:spacing w:before="80" w:line="260" w:lineRule="atLeast"/>
      <w:ind w:left="2183" w:right="284" w:hanging="1616"/>
    </w:pPr>
    <w:rPr>
      <w:snapToGrid w:val="0"/>
      <w:sz w:val="24"/>
    </w:rPr>
  </w:style>
  <w:style w:type="paragraph" w:customStyle="1" w:styleId="zDefsubpara">
    <w:name w:val="zDefsubpara"/>
    <w:pPr>
      <w:keepLines/>
      <w:tabs>
        <w:tab w:val="right" w:pos="2608"/>
      </w:tabs>
      <w:spacing w:before="80" w:line="260" w:lineRule="atLeast"/>
      <w:ind w:left="2892" w:right="284" w:hanging="2325"/>
    </w:pPr>
    <w:rPr>
      <w:snapToGrid w:val="0"/>
      <w:sz w:val="24"/>
    </w:rPr>
  </w:style>
  <w:style w:type="paragraph" w:customStyle="1" w:styleId="zyDefpara">
    <w:name w:val="zyDefpara"/>
    <w:pPr>
      <w:tabs>
        <w:tab w:val="right" w:pos="1899"/>
      </w:tabs>
      <w:spacing w:before="80"/>
      <w:ind w:left="2183" w:right="284" w:hanging="1616"/>
    </w:pPr>
    <w:rPr>
      <w:snapToGrid w:val="0"/>
      <w:sz w:val="22"/>
    </w:rPr>
  </w:style>
  <w:style w:type="paragraph" w:customStyle="1" w:styleId="zyDefstart">
    <w:name w:val="zyDefstart"/>
    <w:pPr>
      <w:spacing w:before="80"/>
      <w:ind w:left="1446" w:right="284" w:hanging="879"/>
    </w:pPr>
    <w:rPr>
      <w:snapToGrid w:val="0"/>
      <w:sz w:val="22"/>
    </w:rPr>
  </w:style>
  <w:style w:type="paragraph" w:customStyle="1" w:styleId="zyDefsubpara">
    <w:name w:val="zyDefsubpara"/>
    <w:pPr>
      <w:keepLines/>
      <w:tabs>
        <w:tab w:val="right" w:pos="2608"/>
      </w:tabs>
      <w:spacing w:before="80"/>
      <w:ind w:left="2892" w:right="284" w:hanging="2325"/>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8"/>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8"/>
    </w:rPr>
  </w:style>
  <w:style w:type="paragraph" w:styleId="Caption">
    <w:name w:val="caption"/>
    <w:basedOn w:val="Normal"/>
    <w:next w:val="Normal"/>
    <w:qFormat/>
    <w:pPr>
      <w:spacing w:before="120" w:after="120"/>
    </w:pPr>
    <w:rPr>
      <w:b/>
    </w:rPr>
  </w:style>
  <w:style w:type="paragraph" w:styleId="Closing">
    <w:name w:val="Closing"/>
    <w:basedOn w:val="Normal"/>
    <w:pPr>
      <w:ind w:left="4252"/>
    </w:pPr>
  </w:style>
  <w:style w:type="character" w:styleId="CommentReference">
    <w:name w:val="annotation reference"/>
    <w:basedOn w:val="DefaultParagraphFont"/>
    <w:semiHidden/>
    <w:rPr>
      <w:noProof w:val="0"/>
      <w:sz w:val="18"/>
    </w:rPr>
  </w:style>
  <w:style w:type="paragraph" w:styleId="CommentText">
    <w:name w:val="annotation text"/>
    <w:basedOn w:val="Normal"/>
    <w:semiHidden/>
  </w:style>
  <w:style w:type="paragraph" w:styleId="Date">
    <w:name w:val="Date"/>
    <w:basedOn w:val="Normal"/>
    <w:next w:val="Normal"/>
  </w:style>
  <w:style w:type="character" w:styleId="Emphasis">
    <w:name w:val="Emphasis"/>
    <w:basedOn w:val="DefaultParagraphFont"/>
    <w:qFormat/>
    <w:rPr>
      <w:i/>
      <w:sz w:val="24"/>
    </w:rPr>
  </w:style>
  <w:style w:type="paragraph" w:styleId="EndnoteText">
    <w:name w:val="endnote text"/>
    <w:basedOn w:val="Normal"/>
    <w:semiHidden/>
    <w:pPr>
      <w:spacing w:after="40"/>
      <w:ind w:left="397" w:hanging="397"/>
    </w:pPr>
  </w:style>
  <w:style w:type="paragraph" w:styleId="EnvelopeAddress">
    <w:name w:val="envelope address"/>
    <w:basedOn w:val="Normal"/>
    <w:pPr>
      <w:framePr w:w="7920" w:h="1980" w:hRule="exact" w:hSpace="180" w:wrap="auto" w:hAnchor="page" w:xAlign="center" w:yAlign="bottom"/>
      <w:ind w:left="2880"/>
    </w:pPr>
    <w:rPr>
      <w:rFonts w:ascii="Arial" w:hAnsi="Arial"/>
      <w:sz w:val="26"/>
    </w:rPr>
  </w:style>
  <w:style w:type="paragraph" w:styleId="EnvelopeReturn">
    <w:name w:val="envelope return"/>
    <w:basedOn w:val="Normal"/>
    <w:rPr>
      <w:rFonts w:ascii="Arial" w:hAnsi="Arial"/>
    </w:rPr>
  </w:style>
  <w:style w:type="character" w:styleId="FootnoteReference">
    <w:name w:val="footnote reference"/>
    <w:basedOn w:val="DefaultParagraphFont"/>
    <w:semiHidden/>
    <w:rPr>
      <w:sz w:val="24"/>
      <w:vertAlign w:val="superscript"/>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autoRedefine/>
    <w:pPr>
      <w:numPr>
        <w:numId w:val="15"/>
      </w:numPr>
    </w:pPr>
  </w:style>
  <w:style w:type="paragraph" w:styleId="ListBullet2">
    <w:name w:val="List Bullet 2"/>
    <w:basedOn w:val="Normal"/>
    <w:autoRedefine/>
    <w:pPr>
      <w:numPr>
        <w:numId w:val="16"/>
      </w:numPr>
      <w:tabs>
        <w:tab w:val="clear" w:pos="643"/>
        <w:tab w:val="num" w:pos="720"/>
      </w:tabs>
      <w:ind w:left="720"/>
    </w:pPr>
  </w:style>
  <w:style w:type="paragraph" w:styleId="ListBullet3">
    <w:name w:val="List Bullet 3"/>
    <w:basedOn w:val="Normal"/>
    <w:autoRedefine/>
    <w:pPr>
      <w:numPr>
        <w:numId w:val="17"/>
      </w:numPr>
      <w:tabs>
        <w:tab w:val="clear" w:pos="926"/>
        <w:tab w:val="num" w:pos="1080"/>
      </w:tabs>
      <w:ind w:left="1080"/>
    </w:pPr>
  </w:style>
  <w:style w:type="paragraph" w:styleId="ListBullet4">
    <w:name w:val="List Bullet 4"/>
    <w:basedOn w:val="Normal"/>
    <w:autoRedefine/>
    <w:pPr>
      <w:numPr>
        <w:numId w:val="18"/>
      </w:numPr>
      <w:tabs>
        <w:tab w:val="clear" w:pos="1209"/>
        <w:tab w:val="num" w:pos="1440"/>
      </w:tabs>
      <w:ind w:left="1440"/>
    </w:pPr>
  </w:style>
  <w:style w:type="paragraph" w:styleId="ListBullet5">
    <w:name w:val="List Bullet 5"/>
    <w:basedOn w:val="Normal"/>
    <w:autoRedefine/>
    <w:pPr>
      <w:numPr>
        <w:numId w:val="19"/>
      </w:numPr>
      <w:tabs>
        <w:tab w:val="clear" w:pos="1492"/>
        <w:tab w:val="num" w:pos="1800"/>
      </w:tabs>
      <w:ind w:left="1800"/>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numPr>
        <w:numId w:val="20"/>
      </w:numPr>
    </w:pPr>
  </w:style>
  <w:style w:type="paragraph" w:styleId="ListNumber2">
    <w:name w:val="List Number 2"/>
    <w:basedOn w:val="Normal"/>
    <w:pPr>
      <w:numPr>
        <w:numId w:val="21"/>
      </w:numPr>
      <w:tabs>
        <w:tab w:val="clear" w:pos="643"/>
        <w:tab w:val="num" w:pos="720"/>
      </w:tabs>
      <w:ind w:left="720"/>
    </w:pPr>
  </w:style>
  <w:style w:type="paragraph" w:styleId="ListNumber3">
    <w:name w:val="List Number 3"/>
    <w:basedOn w:val="Normal"/>
    <w:pPr>
      <w:numPr>
        <w:numId w:val="22"/>
      </w:numPr>
      <w:tabs>
        <w:tab w:val="clear" w:pos="926"/>
        <w:tab w:val="num" w:pos="1080"/>
      </w:tabs>
      <w:ind w:left="1080"/>
    </w:pPr>
  </w:style>
  <w:style w:type="paragraph" w:styleId="ListNumber4">
    <w:name w:val="List Number 4"/>
    <w:basedOn w:val="Normal"/>
    <w:pPr>
      <w:numPr>
        <w:numId w:val="23"/>
      </w:numPr>
      <w:tabs>
        <w:tab w:val="clear" w:pos="1209"/>
        <w:tab w:val="num" w:pos="1440"/>
      </w:tabs>
      <w:ind w:left="1440"/>
    </w:pPr>
  </w:style>
  <w:style w:type="paragraph" w:styleId="ListNumber5">
    <w:name w:val="List Number 5"/>
    <w:basedOn w:val="Normal"/>
    <w:pPr>
      <w:numPr>
        <w:numId w:val="24"/>
      </w:numPr>
      <w:tabs>
        <w:tab w:val="clear" w:pos="1492"/>
        <w:tab w:val="num" w:pos="1800"/>
      </w:tabs>
      <w:ind w:left="1800"/>
    </w:p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styleId="NormalIndent">
    <w:name w:val="Normal Indent"/>
    <w:basedOn w:val="Normal"/>
    <w:pPr>
      <w:ind w:left="720"/>
    </w:pPr>
  </w:style>
  <w:style w:type="paragraph" w:styleId="NoteHeading">
    <w:name w:val="Note Heading"/>
    <w:basedOn w:val="Normal"/>
    <w:next w:val="Normal"/>
  </w:style>
  <w:style w:type="paragraph" w:styleId="Salutation">
    <w:name w:val="Salutation"/>
    <w:basedOn w:val="Normal"/>
    <w:next w:val="Normal"/>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WA">
    <w:name w:val="WA"/>
    <w:pPr>
      <w:spacing w:after="720"/>
      <w:jc w:val="center"/>
    </w:pPr>
    <w:rPr>
      <w:sz w:val="24"/>
    </w:rPr>
  </w:style>
  <w:style w:type="paragraph" w:customStyle="1" w:styleId="NameofActRegPage1">
    <w:name w:val="Name of Act/Reg(Page 1)"/>
    <w:basedOn w:val="NameofActReg"/>
    <w:pPr>
      <w:spacing w:before="0" w:after="720"/>
    </w:pPr>
  </w:style>
  <w:style w:type="paragraph" w:customStyle="1" w:styleId="yEdnotesection">
    <w:name w:val="yEdnote(section)"/>
    <w:basedOn w:val="Ednotesection"/>
    <w:pPr>
      <w:spacing w:line="240" w:lineRule="auto"/>
      <w:ind w:left="890" w:hanging="890"/>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ubpara">
    <w:name w:val="yEdnote(subpara)"/>
    <w:basedOn w:val="Ednote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subitem">
    <w:name w:val="yEdnote(subitem)"/>
    <w:basedOn w:val="Ednotesubitem"/>
    <w:pPr>
      <w:spacing w:line="240" w:lineRule="auto"/>
    </w:pPr>
    <w:rPr>
      <w:sz w:val="22"/>
    </w:rPr>
  </w:style>
  <w:style w:type="paragraph" w:customStyle="1" w:styleId="Ednotedefpara">
    <w:name w:val="Ednote(defpara)"/>
    <w:basedOn w:val="Defpara"/>
    <w:rPr>
      <w:i/>
    </w:rPr>
  </w:style>
  <w:style w:type="paragraph" w:customStyle="1" w:styleId="Ednotedefitem">
    <w:name w:val="Ednote(defitem)"/>
    <w:basedOn w:val="Defitem"/>
    <w:rPr>
      <w:i/>
    </w:rPr>
  </w:style>
  <w:style w:type="paragraph" w:customStyle="1" w:styleId="Ednotedefsubpara">
    <w:name w:val="Ednote(defsubpara)"/>
    <w:basedOn w:val="Defsubpara"/>
    <w:rPr>
      <w:i/>
    </w:rPr>
  </w:style>
  <w:style w:type="paragraph" w:customStyle="1" w:styleId="Ednotepenpara">
    <w:name w:val="Ednote(penpara)"/>
    <w:basedOn w:val="Ednotepara"/>
  </w:style>
  <w:style w:type="paragraph" w:customStyle="1" w:styleId="Ednotepenitem">
    <w:name w:val="Ednote(penitem)"/>
    <w:basedOn w:val="Ednoteitem"/>
  </w:style>
  <w:style w:type="paragraph" w:customStyle="1" w:styleId="Ednotepensubpara">
    <w:name w:val="Ednote(pensubpara)"/>
    <w:basedOn w:val="Ednotesubpara"/>
  </w:style>
  <w:style w:type="paragraph" w:customStyle="1" w:styleId="Arrangement">
    <w:name w:val="Arrangement"/>
    <w:pPr>
      <w:spacing w:after="480"/>
      <w:ind w:left="2304" w:right="2304"/>
      <w:jc w:val="center"/>
    </w:pPr>
    <w:rPr>
      <w:b/>
      <w:sz w:val="28"/>
    </w:rPr>
  </w:style>
  <w:style w:type="paragraph" w:customStyle="1" w:styleId="yFootnotesection">
    <w:name w:val="yFootnote(section)"/>
    <w:basedOn w:val="Footnotesection"/>
    <w:pPr>
      <w:spacing w:line="240" w:lineRule="auto"/>
      <w:ind w:left="890" w:hanging="890"/>
    </w:pPr>
    <w:rPr>
      <w:sz w:val="22"/>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zDefpara">
    <w:name w:val="nzDefpara"/>
    <w:pPr>
      <w:tabs>
        <w:tab w:val="right" w:pos="1899"/>
      </w:tabs>
      <w:spacing w:before="40"/>
      <w:ind w:left="2183" w:right="284" w:hanging="1616"/>
    </w:pPr>
    <w:rPr>
      <w:snapToGrid w:val="0"/>
    </w:rPr>
  </w:style>
  <w:style w:type="paragraph" w:customStyle="1" w:styleId="nzDefstart">
    <w:name w:val="nzDefstart"/>
    <w:pPr>
      <w:spacing w:before="40"/>
      <w:ind w:left="1446" w:right="284" w:hanging="879"/>
    </w:pPr>
    <w:rPr>
      <w:snapToGrid w:val="0"/>
    </w:rPr>
  </w:style>
  <w:style w:type="paragraph" w:customStyle="1" w:styleId="nzDefsubpara">
    <w:name w:val="nzDefsubpara"/>
    <w:pPr>
      <w:keepLines/>
      <w:tabs>
        <w:tab w:val="right" w:pos="2608"/>
      </w:tabs>
      <w:spacing w:before="40"/>
      <w:ind w:left="2892" w:right="284" w:hanging="2325"/>
    </w:pPr>
    <w:rPr>
      <w:snapToGrid w:val="0"/>
    </w:rPr>
  </w:style>
  <w:style w:type="paragraph" w:customStyle="1" w:styleId="MiscOpen">
    <w:name w:val="MiscOpen"/>
    <w:pPr>
      <w:keepNext/>
      <w:keepLines/>
      <w:tabs>
        <w:tab w:val="left" w:pos="893"/>
      </w:tabs>
      <w:spacing w:before="120" w:line="260" w:lineRule="atLeast"/>
    </w:pPr>
    <w:rPr>
      <w:sz w:val="24"/>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paragraph" w:customStyle="1" w:styleId="MiscellaneousHeading">
    <w:name w:val="Miscellaneous Heading"/>
    <w:pPr>
      <w:keepNext/>
      <w:spacing w:before="160" w:line="260" w:lineRule="atLeast"/>
      <w:jc w:val="center"/>
    </w:pPr>
    <w:rPr>
      <w:sz w:val="24"/>
    </w:rPr>
  </w:style>
  <w:style w:type="paragraph" w:customStyle="1" w:styleId="nzHeading2">
    <w:name w:val="nzHeading 2"/>
    <w:basedOn w:val="zHeading2"/>
    <w:pPr>
      <w:spacing w:before="120" w:line="240" w:lineRule="auto"/>
    </w:pPr>
    <w:rPr>
      <w:sz w:val="26"/>
    </w:rPr>
  </w:style>
  <w:style w:type="paragraph" w:customStyle="1" w:styleId="nzHeading3">
    <w:name w:val="nzHeading 3"/>
    <w:basedOn w:val="zHeading3"/>
    <w:pPr>
      <w:spacing w:before="120" w:line="240" w:lineRule="auto"/>
    </w:pPr>
    <w:rPr>
      <w:sz w:val="22"/>
    </w:rPr>
  </w:style>
  <w:style w:type="paragraph" w:customStyle="1" w:styleId="nzHeading4">
    <w:name w:val="nzHeading 4"/>
    <w:basedOn w:val="zHeading4"/>
    <w:pPr>
      <w:spacing w:before="120"/>
    </w:pPr>
    <w:rPr>
      <w:sz w:val="20"/>
    </w:rPr>
  </w:style>
  <w:style w:type="paragraph" w:customStyle="1" w:styleId="nzHeading5">
    <w:name w:val="nzHeading 5"/>
    <w:basedOn w:val="zHeading5"/>
    <w:pPr>
      <w:spacing w:before="100" w:line="240" w:lineRule="auto"/>
    </w:pPr>
    <w:rPr>
      <w:sz w:val="20"/>
    </w:rPr>
  </w:style>
  <w:style w:type="paragraph" w:customStyle="1" w:styleId="nzIndenta">
    <w:name w:val="nzIndent(a)"/>
    <w:basedOn w:val="zIndenta"/>
    <w:pPr>
      <w:spacing w:before="40" w:line="240" w:lineRule="auto"/>
    </w:pPr>
    <w:rPr>
      <w:sz w:val="20"/>
    </w:rPr>
  </w:style>
  <w:style w:type="paragraph" w:customStyle="1" w:styleId="nzIndentA0">
    <w:name w:val="nzIndent(A)"/>
    <w:basedOn w:val="zIndentA0"/>
    <w:pPr>
      <w:spacing w:before="40" w:line="240" w:lineRule="auto"/>
    </w:pPr>
    <w:rPr>
      <w:sz w:val="20"/>
    </w:rPr>
  </w:style>
  <w:style w:type="paragraph" w:customStyle="1" w:styleId="nzIndenti">
    <w:name w:val="nzIndent(i)"/>
    <w:basedOn w:val="zIndenti"/>
    <w:pPr>
      <w:spacing w:before="40" w:line="240" w:lineRule="auto"/>
    </w:pPr>
    <w:rPr>
      <w:sz w:val="20"/>
    </w:rPr>
  </w:style>
  <w:style w:type="paragraph" w:customStyle="1" w:styleId="nzIndentI0">
    <w:name w:val="nzIndent(I)"/>
    <w:basedOn w:val="zIndentI0"/>
    <w:pPr>
      <w:spacing w:before="40" w:line="240" w:lineRule="auto"/>
    </w:pPr>
    <w:rPr>
      <w:sz w:val="20"/>
    </w:rPr>
  </w:style>
  <w:style w:type="paragraph" w:customStyle="1" w:styleId="nzPenpara">
    <w:name w:val="nzPenpara"/>
    <w:basedOn w:val="zPenpara"/>
    <w:pPr>
      <w:spacing w:before="40" w:line="240" w:lineRule="auto"/>
    </w:pPr>
    <w:rPr>
      <w:sz w:val="20"/>
    </w:rPr>
  </w:style>
  <w:style w:type="paragraph" w:customStyle="1" w:styleId="nzPenstart">
    <w:name w:val="nzPenstart"/>
    <w:basedOn w:val="zPenstart"/>
    <w:pPr>
      <w:spacing w:before="40" w:line="240" w:lineRule="auto"/>
    </w:pPr>
    <w:rPr>
      <w:sz w:val="20"/>
    </w:rPr>
  </w:style>
  <w:style w:type="paragraph" w:customStyle="1" w:styleId="nzSubsection">
    <w:name w:val="nzSubsection"/>
    <w:basedOn w:val="zSubsection"/>
    <w:pPr>
      <w:spacing w:before="80" w:line="240" w:lineRule="auto"/>
    </w:pPr>
    <w:rPr>
      <w:sz w:val="20"/>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yShoulderClause">
    <w:name w:val="yShoulderClause"/>
    <w:next w:val="ySubsection"/>
    <w:pPr>
      <w:spacing w:before="120"/>
      <w:jc w:val="right"/>
    </w:pPr>
    <w:rPr>
      <w:sz w:val="22"/>
    </w:rPr>
  </w:style>
  <w:style w:type="paragraph" w:customStyle="1" w:styleId="yScheduleHeading">
    <w:name w:val="yScheduleHeading"/>
    <w:basedOn w:val="yHeading2"/>
    <w:pPr>
      <w:pageBreakBefore/>
      <w:spacing w:before="0"/>
    </w:pPr>
  </w:style>
  <w:style w:type="character" w:customStyle="1" w:styleId="CharProduced">
    <w:name w:val="CharProduced"/>
    <w:rPr>
      <w:noProof w:val="0"/>
      <w:spacing w:val="-3"/>
    </w:rPr>
  </w:style>
  <w:style w:type="paragraph" w:customStyle="1" w:styleId="FooterDisclaimer">
    <w:name w:val="Footer.Disclaimer"/>
    <w:pPr>
      <w:jc w:val="center"/>
    </w:pPr>
    <w:rPr>
      <w:rFonts w:ascii="Arial" w:hAnsi="Arial"/>
      <w:i/>
      <w:sz w:val="16"/>
    </w:rPr>
  </w:style>
  <w:style w:type="paragraph" w:styleId="TOC3">
    <w:name w:val="toc 3"/>
    <w:next w:val="Normal"/>
    <w:semiHidden/>
    <w:pPr>
      <w:keepNext/>
      <w:spacing w:before="120" w:after="60"/>
      <w:ind w:left="1985" w:right="1134" w:hanging="567"/>
    </w:pPr>
    <w:rPr>
      <w:rFonts w:ascii="Helvetica" w:hAnsi="Helvetica"/>
      <w:b/>
      <w:noProof/>
      <w:sz w:val="18"/>
    </w:rPr>
  </w:style>
  <w:style w:type="paragraph" w:customStyle="1" w:styleId="yTable">
    <w:name w:val="yTable"/>
    <w:basedOn w:val="Table"/>
    <w:pPr>
      <w:spacing w:line="240" w:lineRule="auto"/>
    </w:pPr>
  </w:style>
  <w:style w:type="paragraph" w:customStyle="1" w:styleId="nTable">
    <w:name w:val="nTable"/>
    <w:pPr>
      <w:spacing w:before="40"/>
    </w:pPr>
    <w:rPr>
      <w:sz w:val="19"/>
    </w:rPr>
  </w:style>
  <w:style w:type="paragraph" w:customStyle="1" w:styleId="nzTable">
    <w:name w:val="nzTable"/>
    <w:basedOn w:val="Normal"/>
    <w:rPr>
      <w:sz w:val="20"/>
    </w:rPr>
  </w:style>
  <w:style w:type="paragraph" w:customStyle="1" w:styleId="zMiscellaneousHeading">
    <w:name w:val="zMiscellaneousHeading"/>
    <w:basedOn w:val="MiscellaneousHeading"/>
    <w:pPr>
      <w:ind w:left="567" w:right="284"/>
    </w:pPr>
  </w:style>
  <w:style w:type="paragraph" w:customStyle="1" w:styleId="zMiscellaneousBody">
    <w:name w:val="zMiscellaneousBody"/>
    <w:basedOn w:val="Normal"/>
    <w:pPr>
      <w:spacing w:before="160" w:line="260" w:lineRule="atLeast"/>
      <w:ind w:left="567" w:right="284"/>
    </w:pPr>
  </w:style>
  <w:style w:type="paragraph" w:customStyle="1" w:styleId="ABillFor">
    <w:name w:val="ABillFor"/>
    <w:basedOn w:val="Normal"/>
    <w:pPr>
      <w:spacing w:before="240" w:after="600"/>
      <w:jc w:val="center"/>
    </w:pPr>
    <w:rPr>
      <w:b/>
    </w:rPr>
  </w:style>
  <w:style w:type="paragraph" w:customStyle="1" w:styleId="yFootnoteheading">
    <w:name w:val="yFootnote(heading)"/>
    <w:basedOn w:val="Footnoteheading"/>
    <w:pPr>
      <w:spacing w:line="240" w:lineRule="auto"/>
    </w:pPr>
    <w:rPr>
      <w:sz w:val="22"/>
    </w:rPr>
  </w:style>
  <w:style w:type="paragraph" w:customStyle="1" w:styleId="PrincipalActReg">
    <w:name w:val="PrincipalAct_Reg"/>
    <w:pPr>
      <w:spacing w:after="480"/>
      <w:jc w:val="center"/>
    </w:pPr>
    <w:rPr>
      <w:sz w:val="24"/>
    </w:rPr>
  </w:style>
  <w:style w:type="paragraph" w:customStyle="1" w:styleId="CentredBaseLine">
    <w:name w:val="CentredBaseLine"/>
    <w:pPr>
      <w:suppressLineNumbers/>
      <w:spacing w:before="240"/>
    </w:pPr>
  </w:style>
  <w:style w:type="paragraph" w:customStyle="1" w:styleId="MadeBy">
    <w:name w:val="MadeBy"/>
    <w:pPr>
      <w:spacing w:before="600"/>
    </w:pPr>
    <w:rPr>
      <w:sz w:val="24"/>
    </w:rPr>
  </w:style>
  <w:style w:type="paragraph" w:customStyle="1" w:styleId="ParlHouse">
    <w:name w:val="ParlHouse"/>
    <w:basedOn w:val="WA"/>
    <w:pPr>
      <w:spacing w:after="300"/>
    </w:pPr>
    <w:rPr>
      <w:u w:val="single"/>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Equation">
    <w:name w:val="Equation"/>
    <w:rPr>
      <w:noProof/>
      <w:sz w:val="24"/>
    </w:rPr>
  </w:style>
  <w:style w:type="paragraph" w:customStyle="1" w:styleId="DraftNo">
    <w:name w:val="DraftNo"/>
    <w:basedOn w:val="WA"/>
    <w:pPr>
      <w:spacing w:before="120" w:after="120"/>
    </w:p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character" w:customStyle="1" w:styleId="DraftersNotes">
    <w:name w:val="DraftersNotes"/>
    <w:basedOn w:val="DefaultParagraphFont"/>
    <w:rPr>
      <w:b/>
      <w:i/>
      <w:sz w:val="20"/>
    </w:rPr>
  </w:style>
  <w:style w:type="paragraph" w:customStyle="1" w:styleId="ByCommand">
    <w:name w:val="ByCommand"/>
    <w:basedOn w:val="Normal"/>
    <w:pPr>
      <w:tabs>
        <w:tab w:val="left" w:pos="4536"/>
      </w:tabs>
      <w:spacing w:before="240"/>
    </w:pPr>
  </w:style>
  <w:style w:type="paragraph" w:styleId="Header">
    <w:name w:val="header"/>
    <w:rPr>
      <w:rFonts w:ascii="Arial" w:hAnsi="Arial"/>
      <w:noProof/>
    </w:rPr>
  </w:style>
  <w:style w:type="character" w:customStyle="1" w:styleId="CharSchText">
    <w:name w:val="CharSchText"/>
    <w:rPr>
      <w:noProof w:val="0"/>
    </w:rPr>
  </w:style>
  <w:style w:type="paragraph" w:customStyle="1" w:styleId="DefinedTerms">
    <w:name w:val="Defined Terms"/>
    <w:pPr>
      <w:tabs>
        <w:tab w:val="right" w:leader="dot" w:pos="7070"/>
      </w:tabs>
      <w:ind w:left="578" w:right="578"/>
    </w:pPr>
  </w:style>
  <w:style w:type="character" w:customStyle="1" w:styleId="CharDefText">
    <w:name w:val="CharDefText"/>
    <w:basedOn w:val="DefaultParagraphFont"/>
    <w:rPr>
      <w:b/>
      <w:i/>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Heading">
    <w:name w:val="yMiscellaneous Heading"/>
    <w:basedOn w:val="MiscellaneousHeading"/>
    <w:pPr>
      <w:spacing w:line="240" w:lineRule="auto"/>
    </w:pPr>
    <w:rPr>
      <w:sz w:val="22"/>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zyMiscellaneousBody">
    <w:name w:val="zyMiscellaneous Body"/>
    <w:basedOn w:val="zMiscellaneousBody"/>
    <w:pPr>
      <w:spacing w:line="240" w:lineRule="auto"/>
    </w:pPr>
    <w:rPr>
      <w:sz w:val="22"/>
    </w:rPr>
  </w:style>
  <w:style w:type="paragraph" w:customStyle="1" w:styleId="zTablet">
    <w:name w:val="zTable t"/>
    <w:basedOn w:val="Table"/>
  </w:style>
  <w:style w:type="paragraph" w:customStyle="1" w:styleId="nzMiscellaneousBody">
    <w:name w:val="nzMiscellaneous Body"/>
    <w:basedOn w:val="zMiscellaneousBody"/>
    <w:pPr>
      <w:spacing w:before="80" w:line="240" w:lineRule="auto"/>
    </w:pPr>
    <w:rPr>
      <w:sz w:val="20"/>
    </w:rPr>
  </w:style>
  <w:style w:type="paragraph" w:customStyle="1" w:styleId="OmitFootnote">
    <w:name w:val="OmitFootnote"/>
    <w:basedOn w:val="yEdnotesection"/>
    <w:pPr>
      <w:spacing w:before="600"/>
      <w:outlineLvl w:val="1"/>
    </w:pPr>
  </w:style>
  <w:style w:type="paragraph" w:customStyle="1" w:styleId="yNumberedItem">
    <w:name w:val="yNumberedItem"/>
    <w:pPr>
      <w:spacing w:before="120"/>
      <w:ind w:left="879" w:hanging="879"/>
    </w:pPr>
    <w:rPr>
      <w:sz w:val="22"/>
    </w:rPr>
  </w:style>
  <w:style w:type="paragraph" w:customStyle="1" w:styleId="zyNumberedItem">
    <w:name w:val="zyNumberedItem"/>
    <w:pPr>
      <w:spacing w:before="120"/>
      <w:ind w:left="1446" w:right="284" w:hanging="879"/>
    </w:pPr>
    <w:rPr>
      <w:sz w:val="22"/>
    </w:rPr>
  </w:style>
  <w:style w:type="paragraph" w:customStyle="1" w:styleId="nzLongTitle">
    <w:name w:val="nzLong Title"/>
    <w:basedOn w:val="zLongTitle"/>
    <w:pPr>
      <w:spacing w:before="40"/>
    </w:pPr>
    <w:rPr>
      <w:sz w:val="20"/>
    </w:rPr>
  </w:style>
  <w:style w:type="paragraph" w:customStyle="1" w:styleId="nzNumberedItem">
    <w:name w:val="nzNumberedItem"/>
    <w:pPr>
      <w:spacing w:before="40"/>
      <w:ind w:left="1446" w:right="284" w:hanging="879"/>
    </w:pPr>
  </w:style>
  <w:style w:type="paragraph" w:customStyle="1" w:styleId="yScheduleHeading2">
    <w:name w:val="yScheduleHeading 2"/>
    <w:basedOn w:val="yScheduleHeading"/>
    <w:pPr>
      <w:pageBreakBefore w:val="0"/>
      <w:spacing w:before="240"/>
    </w:pPr>
  </w:style>
  <w:style w:type="character" w:customStyle="1" w:styleId="CharSDivNo">
    <w:name w:val="CharSDivNo"/>
    <w:basedOn w:val="DefaultParagraphFont"/>
    <w:rPr>
      <w:sz w:val="24"/>
    </w:rPr>
  </w:style>
  <w:style w:type="character" w:customStyle="1" w:styleId="CharSDivText">
    <w:name w:val="CharSDivText"/>
    <w:basedOn w:val="DefaultParagraphFont"/>
    <w:rPr>
      <w:sz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rPr>
      <w:b/>
      <w:noProof/>
      <w:sz w:val="28"/>
    </w:rPr>
  </w:style>
  <w:style w:type="paragraph" w:customStyle="1" w:styleId="yEdnotedefitem">
    <w:name w:val="yEdnote(defitem)"/>
    <w:basedOn w:val="yDefitem"/>
    <w:rPr>
      <w:i/>
    </w:rPr>
  </w:style>
  <w:style w:type="paragraph" w:customStyle="1" w:styleId="yEdnotedefpara">
    <w:name w:val="yEdnote(defpara)"/>
    <w:basedOn w:val="yDefpara"/>
    <w:rPr>
      <w:i/>
    </w:rPr>
  </w:style>
  <w:style w:type="paragraph" w:customStyle="1" w:styleId="yEdnotedefsubpara">
    <w:name w:val="yEdnote(defsubpara)"/>
    <w:basedOn w:val="yDefsubpara"/>
    <w:rPr>
      <w:i/>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TableAm">
    <w:name w:val="TableAm"/>
    <w:basedOn w:val="Normal"/>
    <w:pPr>
      <w:tabs>
        <w:tab w:val="left" w:pos="567"/>
      </w:tabs>
      <w:spacing w:before="120"/>
    </w:pPr>
  </w:style>
  <w:style w:type="paragraph" w:customStyle="1" w:styleId="TableAmNote">
    <w:name w:val="TableAmNote"/>
    <w:pPr>
      <w:tabs>
        <w:tab w:val="left" w:pos="567"/>
      </w:tabs>
      <w:spacing w:before="60"/>
    </w:pPr>
  </w:style>
  <w:style w:type="paragraph" w:customStyle="1" w:styleId="BlankOpen">
    <w:name w:val="BlankOpen"/>
    <w:basedOn w:val="Normal"/>
    <w:pPr>
      <w:keepNext/>
      <w:keepLines/>
      <w:jc w:val="center"/>
    </w:pPr>
    <w:rPr>
      <w:szCs w:val="24"/>
    </w:rPr>
  </w:style>
  <w:style w:type="paragraph" w:customStyle="1" w:styleId="BlankClose">
    <w:name w:val="BlankClose"/>
    <w:basedOn w:val="Normal"/>
    <w:pPr>
      <w:keepLines/>
      <w:jc w:val="center"/>
    </w:pPr>
    <w:rPr>
      <w:szCs w:val="24"/>
    </w:rPr>
  </w:style>
  <w:style w:type="paragraph" w:customStyle="1" w:styleId="DeleteClose">
    <w:name w:val="DeleteClose"/>
    <w:basedOn w:val="Normal"/>
    <w:pPr>
      <w:keepLines/>
      <w:jc w:val="center"/>
    </w:pPr>
    <w:rPr>
      <w:szCs w:val="24"/>
    </w:rPr>
  </w:style>
  <w:style w:type="paragraph" w:customStyle="1" w:styleId="DeleteListSub">
    <w:name w:val="DeleteListSub"/>
    <w:basedOn w:val="Normal"/>
    <w:pPr>
      <w:widowControl w:val="0"/>
      <w:spacing w:before="80" w:line="260" w:lineRule="atLeast"/>
      <w:ind w:left="879"/>
    </w:pPr>
  </w:style>
  <w:style w:type="paragraph" w:customStyle="1" w:styleId="DeleteListPara">
    <w:name w:val="DeleteListPara"/>
    <w:basedOn w:val="DeleteListSub"/>
    <w:pPr>
      <w:ind w:left="1616"/>
    </w:pPr>
  </w:style>
  <w:style w:type="paragraph" w:customStyle="1" w:styleId="DeleteOpen">
    <w:name w:val="DeleteOpen"/>
    <w:basedOn w:val="Normal"/>
    <w:pPr>
      <w:keepNext/>
      <w:keepLines/>
      <w:jc w:val="center"/>
    </w:pPr>
    <w:rPr>
      <w:szCs w:val="24"/>
    </w:rPr>
  </w:style>
  <w:style w:type="paragraph" w:customStyle="1" w:styleId="TableNAm">
    <w:name w:val="TableNAm"/>
    <w:basedOn w:val="TableAm"/>
  </w:style>
  <w:style w:type="paragraph" w:customStyle="1" w:styleId="THeading">
    <w:name w:val="THeading"/>
    <w:pPr>
      <w:keepNext/>
      <w:spacing w:before="160" w:after="60" w:line="260" w:lineRule="atLeast"/>
      <w:jc w:val="center"/>
    </w:pPr>
    <w:rPr>
      <w:b/>
      <w:bCs/>
      <w:sz w:val="24"/>
    </w:rPr>
  </w:style>
  <w:style w:type="paragraph" w:customStyle="1" w:styleId="THeadingAmNote">
    <w:name w:val="THeadingAmNote"/>
    <w:basedOn w:val="THeading"/>
    <w:pPr>
      <w:spacing w:line="240" w:lineRule="auto"/>
    </w:pPr>
    <w:rPr>
      <w:rFonts w:ascii="Arial" w:hAnsi="Arial"/>
      <w:bCs w:val="0"/>
      <w:sz w:val="18"/>
    </w:rPr>
  </w:style>
  <w:style w:type="paragraph" w:customStyle="1" w:styleId="THeadingNAm">
    <w:name w:val="THeadingNAm"/>
    <w:basedOn w:val="THeading"/>
    <w:pPr>
      <w:ind w:left="879" w:right="142"/>
    </w:pPr>
  </w:style>
  <w:style w:type="paragraph" w:customStyle="1" w:styleId="yDeleteListPara">
    <w:name w:val="yDeleteListPara"/>
    <w:basedOn w:val="DeleteListPara"/>
    <w:rPr>
      <w:sz w:val="22"/>
    </w:rPr>
  </w:style>
  <w:style w:type="paragraph" w:customStyle="1" w:styleId="yDeleteListSub">
    <w:name w:val="yDeleteListSub"/>
    <w:basedOn w:val="DeleteListSub"/>
    <w:rPr>
      <w:sz w:val="22"/>
    </w:rPr>
  </w:style>
  <w:style w:type="paragraph" w:customStyle="1" w:styleId="yTableNAm">
    <w:name w:val="yTableNAm"/>
    <w:basedOn w:val="TableAm"/>
    <w:rPr>
      <w:sz w:val="22"/>
    </w:rPr>
  </w:style>
  <w:style w:type="paragraph" w:customStyle="1" w:styleId="yTHeadingNAm">
    <w:name w:val="yTHeadingNAm"/>
    <w:basedOn w:val="THeading"/>
    <w:pPr>
      <w:ind w:left="142" w:right="142"/>
    </w:pPr>
    <w:rPr>
      <w:sz w:val="22"/>
    </w:rPr>
  </w:style>
  <w:style w:type="paragraph" w:customStyle="1" w:styleId="zDeleteListPara">
    <w:name w:val="zDeleteListPara"/>
    <w:basedOn w:val="DeleteListPara"/>
    <w:pPr>
      <w:ind w:left="2183"/>
    </w:pPr>
  </w:style>
  <w:style w:type="paragraph" w:customStyle="1" w:styleId="zDeleteListSub">
    <w:name w:val="zDeleteListSub"/>
    <w:basedOn w:val="DeleteListSub"/>
    <w:pPr>
      <w:ind w:left="1446"/>
    </w:pPr>
  </w:style>
  <w:style w:type="paragraph" w:customStyle="1" w:styleId="zTableNAm">
    <w:name w:val="zTableNAm"/>
    <w:basedOn w:val="TableAm"/>
  </w:style>
  <w:style w:type="paragraph" w:customStyle="1" w:styleId="zTHeadingNAm">
    <w:name w:val="zTHeadingNAm"/>
    <w:basedOn w:val="THeading"/>
    <w:pPr>
      <w:ind w:left="1446" w:right="142"/>
    </w:pPr>
  </w:style>
  <w:style w:type="paragraph" w:customStyle="1" w:styleId="zyDeleteListPara">
    <w:name w:val="zyDeleteListPara"/>
    <w:basedOn w:val="DeleteListPara"/>
    <w:rPr>
      <w:sz w:val="22"/>
    </w:rPr>
  </w:style>
  <w:style w:type="paragraph" w:customStyle="1" w:styleId="zyDeleteListSub">
    <w:name w:val="zyDeleteListSub"/>
    <w:basedOn w:val="DeleteListSub"/>
    <w:rPr>
      <w:sz w:val="22"/>
    </w:rPr>
  </w:style>
  <w:style w:type="paragraph" w:customStyle="1" w:styleId="zyTableNAm">
    <w:name w:val="zyTableNAm"/>
    <w:basedOn w:val="TableAm"/>
    <w:rPr>
      <w:sz w:val="22"/>
    </w:rPr>
  </w:style>
  <w:style w:type="paragraph" w:customStyle="1" w:styleId="zyTHeadingNAm">
    <w:name w:val="zyTHeadingNAm"/>
    <w:basedOn w:val="THeading"/>
    <w:pPr>
      <w:ind w:left="709" w:right="142"/>
    </w:pPr>
    <w:rPr>
      <w:sz w:val="22"/>
    </w:rPr>
  </w:style>
  <w:style w:type="paragraph" w:styleId="BalloonText">
    <w:name w:val="Balloon Text"/>
    <w:basedOn w:val="Normal"/>
    <w:semiHidden/>
    <w:rPr>
      <w:rFonts w:ascii="Tahoma" w:hAnsi="Tahoma" w:cs="Tahoma"/>
      <w:sz w:val="16"/>
      <w:szCs w:val="16"/>
    </w:rPr>
  </w:style>
  <w:style w:type="paragraph" w:customStyle="1" w:styleId="PrincipalActRegPage1">
    <w:name w:val="PrincipalAct_Reg(Page 1)"/>
    <w:pPr>
      <w:spacing w:before="2600"/>
      <w:jc w:val="center"/>
    </w:pPr>
    <w:rPr>
      <w:sz w:val="24"/>
    </w:rPr>
  </w:style>
  <w:style w:type="paragraph" w:customStyle="1" w:styleId="nzDefitem">
    <w:name w:val="nzDefitem"/>
    <w:pPr>
      <w:tabs>
        <w:tab w:val="right" w:pos="3459"/>
      </w:tabs>
      <w:spacing w:before="40"/>
      <w:ind w:left="3686" w:right="284" w:hanging="3119"/>
    </w:pPr>
    <w:rPr>
      <w:snapToGrid w:val="0"/>
    </w:rPr>
  </w:style>
  <w:style w:type="paragraph" w:customStyle="1" w:styleId="Defsubitem">
    <w:name w:val="Defsubitem"/>
    <w:qFormat/>
    <w:pPr>
      <w:tabs>
        <w:tab w:val="right" w:pos="3686"/>
      </w:tabs>
      <w:spacing w:before="80" w:line="260" w:lineRule="atLeast"/>
      <w:ind w:left="3969" w:hanging="3969"/>
    </w:pPr>
    <w:rPr>
      <w:snapToGrid w:val="0"/>
      <w:sz w:val="24"/>
    </w:rPr>
  </w:style>
  <w:style w:type="paragraph" w:customStyle="1" w:styleId="Ednotedefsubitem">
    <w:name w:val="Ednote(defsubitem)"/>
    <w:basedOn w:val="Defsubitem"/>
    <w:rPr>
      <w:i/>
    </w:rPr>
  </w:style>
  <w:style w:type="paragraph" w:customStyle="1" w:styleId="yDefsubitem">
    <w:name w:val="yDefsubitem"/>
    <w:qFormat/>
    <w:pPr>
      <w:tabs>
        <w:tab w:val="right" w:pos="3686"/>
      </w:tabs>
      <w:spacing w:before="80"/>
      <w:ind w:left="3969" w:hanging="3969"/>
    </w:pPr>
    <w:rPr>
      <w:snapToGrid w:val="0"/>
      <w:sz w:val="22"/>
    </w:rPr>
  </w:style>
  <w:style w:type="paragraph" w:customStyle="1" w:styleId="yEdnotedefsubitem">
    <w:name w:val="yEdnote(defsubitem)"/>
    <w:basedOn w:val="yDefsubitem"/>
    <w:rPr>
      <w:i/>
    </w:rPr>
  </w:style>
  <w:style w:type="paragraph" w:customStyle="1" w:styleId="zDefsubitem">
    <w:name w:val="zDefsubitem"/>
    <w:qFormat/>
    <w:pPr>
      <w:tabs>
        <w:tab w:val="right" w:pos="4167"/>
      </w:tabs>
      <w:spacing w:before="80" w:line="260" w:lineRule="atLeast"/>
      <w:ind w:left="4451" w:right="284" w:hanging="3884"/>
    </w:pPr>
    <w:rPr>
      <w:snapToGrid w:val="0"/>
      <w:sz w:val="24"/>
    </w:rPr>
  </w:style>
  <w:style w:type="paragraph" w:customStyle="1" w:styleId="nzDefsubitem">
    <w:name w:val="nzDefsubitem"/>
    <w:qFormat/>
    <w:pPr>
      <w:tabs>
        <w:tab w:val="right" w:pos="4167"/>
      </w:tabs>
      <w:spacing w:before="40"/>
      <w:ind w:left="4451" w:right="284" w:hanging="3884"/>
    </w:pPr>
    <w:rPr>
      <w:snapToGrid w:val="0"/>
    </w:rPr>
  </w:style>
  <w:style w:type="paragraph" w:customStyle="1" w:styleId="zyDefsubitem">
    <w:name w:val="zyDefsubitem"/>
    <w:qFormat/>
    <w:pPr>
      <w:tabs>
        <w:tab w:val="right" w:pos="4167"/>
      </w:tabs>
      <w:spacing w:before="80"/>
      <w:ind w:left="4451" w:right="284" w:hanging="3884"/>
    </w:pPr>
    <w:rPr>
      <w:snapToGrid w:val="0"/>
      <w:sz w:val="22"/>
    </w:rPr>
  </w:style>
  <w:style w:type="paragraph" w:customStyle="1" w:styleId="nzPensubpara">
    <w:name w:val="nzPensubpara"/>
    <w:basedOn w:val="zPensubpara"/>
    <w:pPr>
      <w:spacing w:before="40" w:line="240" w:lineRule="auto"/>
    </w:pPr>
    <w:rPr>
      <w:sz w:val="20"/>
    </w:rPr>
  </w:style>
  <w:style w:type="paragraph" w:customStyle="1" w:styleId="nzPenitem">
    <w:name w:val="nzPenitem"/>
    <w:basedOn w:val="zPenitem"/>
    <w:pPr>
      <w:spacing w:before="40" w:line="240" w:lineRule="auto"/>
    </w:pPr>
    <w:rPr>
      <w:sz w:val="20"/>
    </w:rPr>
  </w:style>
  <w:style w:type="paragraph" w:customStyle="1" w:styleId="yEdnotenumbereditem">
    <w:name w:val="yEdnote(numbereditem)"/>
    <w:basedOn w:val="yNumberedItem"/>
    <w:rPr>
      <w:i/>
    </w:rPr>
  </w:style>
  <w:style w:type="paragraph" w:customStyle="1" w:styleId="yNumberedItemPara">
    <w:name w:val="yNumberedItemPara"/>
    <w:qFormat/>
    <w:pPr>
      <w:tabs>
        <w:tab w:val="right" w:pos="1332"/>
      </w:tabs>
      <w:spacing w:before="80"/>
      <w:ind w:left="1616" w:hanging="1616"/>
    </w:pPr>
    <w:rPr>
      <w:sz w:val="22"/>
    </w:rPr>
  </w:style>
  <w:style w:type="paragraph" w:customStyle="1" w:styleId="yEdnotenumbereditempara">
    <w:name w:val="yEdnote(numbereditempara)"/>
    <w:basedOn w:val="yNumberedItemPara"/>
    <w:rPr>
      <w:i/>
    </w:rPr>
  </w:style>
  <w:style w:type="paragraph" w:customStyle="1" w:styleId="zyNumberedItemPara">
    <w:name w:val="zyNumberedItemPara"/>
    <w:qFormat/>
    <w:pPr>
      <w:tabs>
        <w:tab w:val="right" w:pos="1899"/>
      </w:tabs>
      <w:spacing w:before="80"/>
      <w:ind w:left="2183" w:right="284" w:hanging="1616"/>
    </w:pPr>
    <w:rPr>
      <w:sz w:val="22"/>
    </w:rPr>
  </w:style>
  <w:style w:type="paragraph" w:customStyle="1" w:styleId="nzNumberedItemPara">
    <w:name w:val="nzNumberedItemPara"/>
    <w:pPr>
      <w:tabs>
        <w:tab w:val="right" w:pos="1899"/>
      </w:tabs>
      <w:spacing w:before="40"/>
      <w:ind w:left="2183" w:right="284" w:hanging="1616"/>
    </w:pPr>
  </w:style>
  <w:style w:type="paragraph" w:customStyle="1" w:styleId="yNumberedItemSubPara">
    <w:name w:val="yNumberedItemSubPara"/>
    <w:qFormat/>
    <w:pPr>
      <w:tabs>
        <w:tab w:val="right" w:pos="2041"/>
      </w:tabs>
      <w:spacing w:before="80"/>
      <w:ind w:left="2325" w:hanging="2325"/>
    </w:pPr>
    <w:rPr>
      <w:sz w:val="22"/>
    </w:rPr>
  </w:style>
  <w:style w:type="paragraph" w:customStyle="1" w:styleId="yEdnotenumbereditemsubpara">
    <w:name w:val="yEdnote(numbereditemsubpara)"/>
    <w:basedOn w:val="yNumberedItemSubPara"/>
    <w:rPr>
      <w:i/>
    </w:rPr>
  </w:style>
  <w:style w:type="paragraph" w:customStyle="1" w:styleId="zyNumberedItemSubPara">
    <w:name w:val="zyNumberedItemSubPara"/>
    <w:qFormat/>
    <w:pPr>
      <w:tabs>
        <w:tab w:val="right" w:pos="2608"/>
      </w:tabs>
      <w:spacing w:before="80"/>
      <w:ind w:left="2892" w:right="284" w:hanging="2325"/>
    </w:pPr>
    <w:rPr>
      <w:sz w:val="22"/>
    </w:rPr>
  </w:style>
  <w:style w:type="paragraph" w:customStyle="1" w:styleId="nzNumberedItemSubPara">
    <w:name w:val="nzNumberedItemSubPara"/>
    <w:pPr>
      <w:tabs>
        <w:tab w:val="right" w:pos="2608"/>
      </w:tabs>
      <w:spacing w:before="40"/>
      <w:ind w:left="2892" w:right="284" w:hanging="2325"/>
    </w:pPr>
  </w:style>
  <w:style w:type="paragraph" w:customStyle="1" w:styleId="PermNoteHeading">
    <w:name w:val="PermNoteHeading"/>
    <w:qFormat/>
    <w:pPr>
      <w:keepNext/>
      <w:spacing w:before="160"/>
      <w:ind w:left="879" w:hanging="879"/>
    </w:pPr>
    <w:rPr>
      <w:rFonts w:ascii="Arial" w:hAnsi="Arial"/>
      <w:sz w:val="18"/>
    </w:rPr>
  </w:style>
  <w:style w:type="paragraph" w:customStyle="1" w:styleId="Ednotepermnoteheading">
    <w:name w:val="Ednote(permnoteheading)"/>
    <w:basedOn w:val="PermNoteHeading"/>
    <w:rPr>
      <w:i/>
    </w:rPr>
  </w:style>
  <w:style w:type="paragraph" w:customStyle="1" w:styleId="zPermNoteHeading">
    <w:name w:val="zPermNoteHeading"/>
    <w:qFormat/>
    <w:pPr>
      <w:spacing w:before="160"/>
      <w:ind w:left="1446" w:right="284" w:hanging="879"/>
    </w:pPr>
    <w:rPr>
      <w:rFonts w:ascii="Arial" w:hAnsi="Arial"/>
      <w:sz w:val="18"/>
    </w:rPr>
  </w:style>
  <w:style w:type="paragraph" w:customStyle="1" w:styleId="nzPermNoteHeading">
    <w:name w:val="nzPermNoteHeading"/>
    <w:pPr>
      <w:spacing w:before="40"/>
      <w:ind w:left="1446" w:right="284" w:hanging="879"/>
    </w:pPr>
    <w:rPr>
      <w:rFonts w:ascii="Arial" w:hAnsi="Arial"/>
      <w:sz w:val="14"/>
    </w:rPr>
  </w:style>
  <w:style w:type="paragraph" w:customStyle="1" w:styleId="PermNoteText">
    <w:name w:val="PermNoteText"/>
    <w:qFormat/>
    <w:pPr>
      <w:tabs>
        <w:tab w:val="left" w:pos="879"/>
      </w:tabs>
      <w:spacing w:before="80"/>
      <w:ind w:left="1418" w:hanging="1418"/>
    </w:pPr>
    <w:rPr>
      <w:rFonts w:ascii="Arial" w:hAnsi="Arial"/>
      <w:sz w:val="18"/>
    </w:rPr>
  </w:style>
  <w:style w:type="paragraph" w:customStyle="1" w:styleId="Ednotepermnotetext">
    <w:name w:val="Ednote(permnotetext)"/>
    <w:basedOn w:val="PermNoteText"/>
    <w:rPr>
      <w:i/>
    </w:rPr>
  </w:style>
  <w:style w:type="paragraph" w:customStyle="1" w:styleId="zPermNoteText">
    <w:name w:val="zPermNoteText"/>
    <w:qFormat/>
    <w:pPr>
      <w:tabs>
        <w:tab w:val="left" w:pos="1446"/>
      </w:tabs>
      <w:spacing w:before="80"/>
      <w:ind w:left="2013" w:right="284" w:hanging="1446"/>
    </w:pPr>
    <w:rPr>
      <w:rFonts w:ascii="Arial" w:hAnsi="Arial"/>
      <w:sz w:val="18"/>
    </w:rPr>
  </w:style>
  <w:style w:type="paragraph" w:customStyle="1" w:styleId="nzPermNoteText">
    <w:name w:val="nzPermNoteText"/>
    <w:pPr>
      <w:tabs>
        <w:tab w:val="left" w:pos="1446"/>
      </w:tabs>
      <w:spacing w:before="40"/>
      <w:ind w:left="2013" w:right="284" w:hanging="1446"/>
    </w:pPr>
    <w:rPr>
      <w:rFonts w:ascii="Arial" w:hAnsi="Arial"/>
      <w:sz w:val="14"/>
    </w:rPr>
  </w:style>
  <w:style w:type="paragraph" w:customStyle="1" w:styleId="PermNotePara">
    <w:name w:val="PermNotePara"/>
    <w:qFormat/>
    <w:pPr>
      <w:tabs>
        <w:tab w:val="right" w:pos="1843"/>
      </w:tabs>
      <w:spacing w:before="80"/>
      <w:ind w:left="2013" w:hanging="2013"/>
    </w:pPr>
    <w:rPr>
      <w:rFonts w:ascii="Arial" w:hAnsi="Arial"/>
      <w:sz w:val="18"/>
    </w:rPr>
  </w:style>
  <w:style w:type="paragraph" w:customStyle="1" w:styleId="Ednotepermnotepara">
    <w:name w:val="Ednote(permnotepara)"/>
    <w:basedOn w:val="PermNotePara"/>
    <w:rPr>
      <w:i/>
    </w:rPr>
  </w:style>
  <w:style w:type="paragraph" w:customStyle="1" w:styleId="zPermNotePara">
    <w:name w:val="zPermNotePara"/>
    <w:qFormat/>
    <w:pPr>
      <w:tabs>
        <w:tab w:val="right" w:pos="2410"/>
      </w:tabs>
      <w:spacing w:before="80"/>
      <w:ind w:left="2580" w:right="284" w:hanging="2013"/>
    </w:pPr>
    <w:rPr>
      <w:rFonts w:ascii="Arial" w:hAnsi="Arial"/>
      <w:sz w:val="18"/>
    </w:rPr>
  </w:style>
  <w:style w:type="paragraph" w:customStyle="1" w:styleId="nzPermNotePara">
    <w:name w:val="nzPermNotePara"/>
    <w:pPr>
      <w:tabs>
        <w:tab w:val="right" w:pos="2410"/>
      </w:tabs>
      <w:spacing w:before="40"/>
      <w:ind w:left="2580" w:right="284" w:hanging="2013"/>
    </w:pPr>
    <w:rPr>
      <w:rFonts w:ascii="Arial" w:hAnsi="Arial"/>
      <w:sz w:val="14"/>
    </w:rPr>
  </w:style>
  <w:style w:type="paragraph" w:customStyle="1" w:styleId="PermNoteSubPara">
    <w:name w:val="PermNoteSubPara"/>
    <w:qFormat/>
    <w:pPr>
      <w:tabs>
        <w:tab w:val="right" w:pos="2296"/>
      </w:tabs>
      <w:spacing w:before="80"/>
      <w:ind w:left="2580" w:hanging="2580"/>
    </w:pPr>
    <w:rPr>
      <w:rFonts w:ascii="Arial" w:hAnsi="Arial"/>
      <w:sz w:val="18"/>
    </w:rPr>
  </w:style>
  <w:style w:type="paragraph" w:customStyle="1" w:styleId="Ednotepermnotesubpara">
    <w:name w:val="Ednote(permnotesubpara)"/>
    <w:basedOn w:val="PermNoteSubPara"/>
    <w:rPr>
      <w:i/>
    </w:rPr>
  </w:style>
  <w:style w:type="paragraph" w:customStyle="1" w:styleId="zPermNoteSubPara">
    <w:name w:val="zPermNoteSubPara"/>
    <w:qFormat/>
    <w:pPr>
      <w:tabs>
        <w:tab w:val="right" w:pos="2863"/>
      </w:tabs>
      <w:spacing w:before="80"/>
      <w:ind w:left="3147" w:right="284" w:hanging="2580"/>
    </w:pPr>
    <w:rPr>
      <w:rFonts w:ascii="Arial" w:hAnsi="Arial"/>
      <w:sz w:val="18"/>
    </w:rPr>
  </w:style>
  <w:style w:type="paragraph" w:customStyle="1" w:styleId="nzPermNoteSubPara">
    <w:name w:val="nzPermNoteSubPara"/>
    <w:pPr>
      <w:tabs>
        <w:tab w:val="right" w:pos="2863"/>
      </w:tabs>
      <w:spacing w:before="40"/>
      <w:ind w:left="3147" w:right="284" w:hanging="2580"/>
    </w:pPr>
    <w:rPr>
      <w:rFonts w:ascii="Arial" w:hAnsi="Arial"/>
      <w:sz w:val="14"/>
    </w:rPr>
  </w:style>
  <w:style w:type="paragraph" w:customStyle="1" w:styleId="SectAltNote">
    <w:name w:val="SectAltNote"/>
    <w:qFormat/>
    <w:pPr>
      <w:keepNext/>
      <w:tabs>
        <w:tab w:val="left" w:pos="879"/>
      </w:tabs>
      <w:spacing w:before="160"/>
      <w:ind w:left="1418" w:hanging="1418"/>
    </w:pPr>
    <w:rPr>
      <w:rFonts w:ascii="Arial" w:hAnsi="Arial"/>
      <w:sz w:val="18"/>
    </w:rPr>
  </w:style>
  <w:style w:type="paragraph" w:customStyle="1" w:styleId="nzSectAltNote">
    <w:name w:val="nzSectAltNote"/>
    <w:qFormat/>
    <w:pPr>
      <w:tabs>
        <w:tab w:val="left" w:pos="1446"/>
      </w:tabs>
      <w:spacing w:before="40"/>
      <w:ind w:left="1990" w:hanging="1423"/>
    </w:pPr>
    <w:rPr>
      <w:rFonts w:ascii="Arial" w:hAnsi="Arial"/>
      <w:sz w:val="14"/>
    </w:rPr>
  </w:style>
  <w:style w:type="paragraph" w:customStyle="1" w:styleId="SectAltHeading">
    <w:name w:val="SectAltHeading"/>
    <w:qFormat/>
    <w:pPr>
      <w:tabs>
        <w:tab w:val="left" w:pos="879"/>
      </w:tabs>
      <w:spacing w:before="80"/>
      <w:ind w:left="1418" w:hanging="1418"/>
    </w:pPr>
    <w:rPr>
      <w:rFonts w:ascii="Arial" w:hAnsi="Arial"/>
      <w:b/>
      <w:sz w:val="18"/>
    </w:rPr>
  </w:style>
  <w:style w:type="paragraph" w:customStyle="1" w:styleId="nzSectAltHeading">
    <w:name w:val="nzSectAltHeading"/>
    <w:qFormat/>
    <w:pPr>
      <w:tabs>
        <w:tab w:val="left" w:pos="1446"/>
      </w:tabs>
      <w:spacing w:before="40"/>
      <w:ind w:left="1990" w:hanging="1423"/>
    </w:pPr>
    <w:rPr>
      <w:rFonts w:ascii="Arial" w:hAnsi="Arial"/>
      <w:b/>
      <w:sz w:val="14"/>
    </w:rPr>
  </w:style>
  <w:style w:type="paragraph" w:customStyle="1" w:styleId="nzShoulderClause">
    <w:name w:val="nzShoulderClause"/>
    <w:next w:val="ySubsection"/>
    <w:pPr>
      <w:spacing w:before="80"/>
      <w:jc w:val="right"/>
    </w:pPr>
  </w:style>
  <w:style w:type="paragraph" w:customStyle="1" w:styleId="nzDeleteListSub">
    <w:name w:val="nzDeleteListSub"/>
    <w:pPr>
      <w:spacing w:before="80"/>
      <w:ind w:left="1446"/>
    </w:pPr>
  </w:style>
  <w:style w:type="paragraph" w:customStyle="1" w:styleId="nzDeleteListPara">
    <w:name w:val="nzDeleteListPara"/>
    <w:pPr>
      <w:spacing w:before="80"/>
      <w:ind w:left="2183"/>
    </w:pPr>
  </w:style>
  <w:style w:type="paragraph" w:customStyle="1" w:styleId="nzEdnotepart">
    <w:name w:val="nzEdnote(part)"/>
    <w:basedOn w:val="nzHeading2"/>
    <w:rPr>
      <w:b w:val="0"/>
      <w:i/>
    </w:rPr>
  </w:style>
  <w:style w:type="paragraph" w:customStyle="1" w:styleId="nzEdnotedivision">
    <w:name w:val="nzEdnote(division)"/>
    <w:basedOn w:val="nzHeading3"/>
    <w:rPr>
      <w:b w:val="0"/>
      <w:i/>
    </w:rPr>
  </w:style>
  <w:style w:type="paragraph" w:customStyle="1" w:styleId="nzEdnotesubdivision">
    <w:name w:val="nzEdnote(subdivision)"/>
    <w:basedOn w:val="nzHeading4"/>
    <w:rPr>
      <w:i/>
    </w:rPr>
  </w:style>
  <w:style w:type="paragraph" w:customStyle="1" w:styleId="nzEdnotesection">
    <w:name w:val="nzEdnote(section)"/>
    <w:basedOn w:val="nzHeading5"/>
    <w:rPr>
      <w:b w:val="0"/>
      <w:i/>
    </w:rPr>
  </w:style>
  <w:style w:type="paragraph" w:customStyle="1" w:styleId="nzEdnotesubsection">
    <w:name w:val="nzEdnote(subsection)"/>
    <w:basedOn w:val="nzSubsection"/>
    <w:rPr>
      <w:i/>
    </w:rPr>
  </w:style>
  <w:style w:type="paragraph" w:customStyle="1" w:styleId="nzEdnotepara">
    <w:name w:val="nzEdnote(para)"/>
    <w:basedOn w:val="nzIndenta"/>
    <w:rPr>
      <w:i/>
    </w:rPr>
  </w:style>
  <w:style w:type="paragraph" w:customStyle="1" w:styleId="nzEdnotesubpara">
    <w:name w:val="nzEdnote(subpara)"/>
    <w:basedOn w:val="nzIndenti"/>
    <w:rPr>
      <w:i/>
    </w:rPr>
  </w:style>
  <w:style w:type="paragraph" w:customStyle="1" w:styleId="nzEdnoteitem">
    <w:name w:val="nzEdnote(item)"/>
    <w:basedOn w:val="nzIndentI0"/>
    <w:rPr>
      <w:i/>
    </w:rPr>
  </w:style>
  <w:style w:type="paragraph" w:customStyle="1" w:styleId="nzEdnotesubitem">
    <w:name w:val="nzEdnote(subitem)"/>
    <w:basedOn w:val="nzIndentA0"/>
    <w:rPr>
      <w:i/>
    </w:rPr>
  </w:style>
  <w:style w:type="paragraph" w:customStyle="1" w:styleId="nzEdnotedefpara">
    <w:name w:val="nzEdnote(defpara)"/>
    <w:basedOn w:val="nzDefpara"/>
    <w:rPr>
      <w:i/>
    </w:rPr>
  </w:style>
  <w:style w:type="paragraph" w:customStyle="1" w:styleId="nzEdnotedefsubpara">
    <w:name w:val="nzEdnote(defsubpara)"/>
    <w:basedOn w:val="nzDefsubpara"/>
    <w:rPr>
      <w:i/>
    </w:rPr>
  </w:style>
  <w:style w:type="paragraph" w:customStyle="1" w:styleId="nzEdnotedefitem">
    <w:name w:val="nzEdnote(defitem)"/>
    <w:basedOn w:val="nzDefitem"/>
    <w:rPr>
      <w:i/>
    </w:rPr>
  </w:style>
  <w:style w:type="paragraph" w:customStyle="1" w:styleId="nzEdnotedefsubitem">
    <w:name w:val="nzEdnote(defsubitem)"/>
    <w:basedOn w:val="nzDefsubitem"/>
    <w:rPr>
      <w:i/>
    </w:rPr>
  </w:style>
  <w:style w:type="paragraph" w:customStyle="1" w:styleId="nzEdnotepenpara">
    <w:name w:val="nzEdnote(penpara)"/>
    <w:basedOn w:val="nzPenpara"/>
    <w:rPr>
      <w:i/>
    </w:rPr>
  </w:style>
  <w:style w:type="paragraph" w:customStyle="1" w:styleId="nzEdnotepensubpara">
    <w:name w:val="nzEdnote(pensubpara)"/>
    <w:basedOn w:val="nzPensubpara"/>
    <w:rPr>
      <w:i/>
    </w:rPr>
  </w:style>
  <w:style w:type="paragraph" w:customStyle="1" w:styleId="nzEdnotepenitem">
    <w:name w:val="nzEdnote(penitem)"/>
    <w:basedOn w:val="nzPenitem"/>
    <w:rPr>
      <w:i/>
    </w:rPr>
  </w:style>
  <w:style w:type="paragraph" w:customStyle="1" w:styleId="nzFootnoteheading">
    <w:name w:val="nzFootnote(heading)"/>
    <w:pPr>
      <w:tabs>
        <w:tab w:val="left" w:pos="879"/>
      </w:tabs>
      <w:spacing w:before="40"/>
      <w:ind w:left="879" w:hanging="879"/>
    </w:pPr>
    <w:rPr>
      <w:i/>
      <w:snapToGrid w:val="0"/>
    </w:rPr>
  </w:style>
  <w:style w:type="paragraph" w:customStyle="1" w:styleId="nzFootnotesection">
    <w:name w:val="nzFootnote(section)"/>
    <w:pPr>
      <w:keepLines/>
      <w:tabs>
        <w:tab w:val="left" w:pos="893"/>
      </w:tabs>
      <w:spacing w:before="40"/>
      <w:ind w:left="893" w:hanging="893"/>
    </w:pPr>
    <w:rPr>
      <w:i/>
      <w:snapToGrid w:val="0"/>
    </w:rPr>
  </w:style>
  <w:style w:type="paragraph" w:customStyle="1" w:styleId="nzFootnotelongtitle">
    <w:name w:val="nzFootnote(longtitle)"/>
    <w:basedOn w:val="nzFootnotesection"/>
  </w:style>
  <w:style w:type="paragraph" w:customStyle="1" w:styleId="nzFootnotepreamble">
    <w:name w:val="nzFootnote(preamble)"/>
    <w:basedOn w:val="nzFootnotesection"/>
  </w:style>
  <w:style w:type="paragraph" w:customStyle="1" w:styleId="nzOmitFootnote">
    <w:name w:val="nzOmitFootnote"/>
    <w:basedOn w:val="nzEdnotesection"/>
  </w:style>
  <w:style w:type="paragraph" w:styleId="Revision">
    <w:name w:val="Revision"/>
    <w:hidden/>
    <w:uiPriority w:val="99"/>
    <w:semiHidden/>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2494663">
      <w:bodyDiv w:val="1"/>
      <w:marLeft w:val="0"/>
      <w:marRight w:val="0"/>
      <w:marTop w:val="0"/>
      <w:marBottom w:val="0"/>
      <w:divBdr>
        <w:top w:val="none" w:sz="0" w:space="0" w:color="auto"/>
        <w:left w:val="none" w:sz="0" w:space="0" w:color="auto"/>
        <w:bottom w:val="none" w:sz="0" w:space="0" w:color="auto"/>
        <w:right w:val="none" w:sz="0" w:space="0" w:color="auto"/>
      </w:divBdr>
    </w:div>
    <w:div w:id="379984222">
      <w:bodyDiv w:val="1"/>
      <w:marLeft w:val="0"/>
      <w:marRight w:val="0"/>
      <w:marTop w:val="0"/>
      <w:marBottom w:val="0"/>
      <w:divBdr>
        <w:top w:val="none" w:sz="0" w:space="0" w:color="auto"/>
        <w:left w:val="none" w:sz="0" w:space="0" w:color="auto"/>
        <w:bottom w:val="none" w:sz="0" w:space="0" w:color="auto"/>
        <w:right w:val="none" w:sz="0" w:space="0" w:color="auto"/>
      </w:divBdr>
    </w:div>
    <w:div w:id="16907908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image" Target="media/image3.png"/><Relationship Id="rId39" Type="http://schemas.openxmlformats.org/officeDocument/2006/relationships/footer" Target="footer7.xml"/><Relationship Id="rId3" Type="http://schemas.openxmlformats.org/officeDocument/2006/relationships/styles" Target="styles.xml"/><Relationship Id="rId21" Type="http://schemas.openxmlformats.org/officeDocument/2006/relationships/footer" Target="footer6.xml"/><Relationship Id="rId34" Type="http://schemas.openxmlformats.org/officeDocument/2006/relationships/header" Target="header14.xml"/><Relationship Id="rId42" Type="http://schemas.openxmlformats.org/officeDocument/2006/relationships/footer" Target="footer9.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header" Target="header9.xml"/><Relationship Id="rId33" Type="http://schemas.openxmlformats.org/officeDocument/2006/relationships/header" Target="header13.xml"/><Relationship Id="rId38" Type="http://schemas.openxmlformats.org/officeDocument/2006/relationships/header" Target="header18.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6.xml"/><Relationship Id="rId29" Type="http://schemas.openxmlformats.org/officeDocument/2006/relationships/image" Target="media/image6.png"/><Relationship Id="rId41" Type="http://schemas.openxmlformats.org/officeDocument/2006/relationships/header" Target="header19.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eader" Target="header8.xml"/><Relationship Id="rId32" Type="http://schemas.openxmlformats.org/officeDocument/2006/relationships/header" Target="header12.xml"/><Relationship Id="rId37" Type="http://schemas.openxmlformats.org/officeDocument/2006/relationships/header" Target="header17.xml"/><Relationship Id="rId40" Type="http://schemas.openxmlformats.org/officeDocument/2006/relationships/footer" Target="footer8.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eader" Target="header7.xml"/><Relationship Id="rId28" Type="http://schemas.openxmlformats.org/officeDocument/2006/relationships/image" Target="media/image5.jpg"/><Relationship Id="rId36" Type="http://schemas.openxmlformats.org/officeDocument/2006/relationships/header" Target="header16.xml"/><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header" Target="header11.xml"/><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3.xml"/><Relationship Id="rId22" Type="http://schemas.openxmlformats.org/officeDocument/2006/relationships/image" Target="media/image2.png"/><Relationship Id="rId27" Type="http://schemas.openxmlformats.org/officeDocument/2006/relationships/image" Target="media/image4.jpeg"/><Relationship Id="rId30" Type="http://schemas.openxmlformats.org/officeDocument/2006/relationships/header" Target="header10.xml"/><Relationship Id="rId35" Type="http://schemas.openxmlformats.org/officeDocument/2006/relationships/header" Target="header15.xml"/><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EA3A9E-C742-48D3-A1B2-10F48FE68C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41</Pages>
  <Words>9365</Words>
  <Characters>42707</Characters>
  <Application>Microsoft Office Word</Application>
  <DocSecurity>0</DocSecurity>
  <Lines>1423</Lines>
  <Paragraphs>853</Paragraphs>
  <ScaleCrop>false</ScaleCrop>
  <HeadingPairs>
    <vt:vector size="2" baseType="variant">
      <vt:variant>
        <vt:lpstr>Title</vt:lpstr>
      </vt:variant>
      <vt:variant>
        <vt:i4>1</vt:i4>
      </vt:variant>
    </vt:vector>
  </HeadingPairs>
  <TitlesOfParts>
    <vt:vector size="1" baseType="lpstr">
      <vt:lpstr>Country Areas Water Supply By-laws 1957</vt:lpstr>
    </vt:vector>
  </TitlesOfParts>
  <Manager/>
  <Company/>
  <LinksUpToDate>false</LinksUpToDate>
  <CharactersWithSpaces>51219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Country Areas Water Supply By-laws 1957 - 06-00-00</dc:title>
  <dc:subject/>
  <dc:creator/>
  <cp:keywords/>
  <dc:description/>
  <cp:lastModifiedBy>svcMRProcess</cp:lastModifiedBy>
  <cp:revision>4</cp:revision>
  <cp:lastPrinted>2017-05-29T01:58:00Z</cp:lastPrinted>
  <dcterms:created xsi:type="dcterms:W3CDTF">2020-03-07T03:39:00Z</dcterms:created>
  <dcterms:modified xsi:type="dcterms:W3CDTF">2020-03-07T03:39:00Z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D">
    <vt:lpwstr>24 July 1968 p.2111</vt:lpwstr>
  </property>
  <property fmtid="{D5CDD505-2E9C-101B-9397-08002B2CF9AE}" pid="3" name="DocumentType">
    <vt:lpwstr>Reg</vt:lpwstr>
  </property>
  <property fmtid="{D5CDD505-2E9C-101B-9397-08002B2CF9AE}" pid="4" name="OwlsUID">
    <vt:i4>4374</vt:i4>
  </property>
  <property fmtid="{D5CDD505-2E9C-101B-9397-08002B2CF9AE}" pid="5" name="DocDate">
    <vt:filetime>2013-11-14T06:16:59Z</vt:filetime>
  </property>
  <property fmtid="{D5CDD505-2E9C-101B-9397-08002B2CF9AE}" pid="6" name="AsAtDate">
    <vt:lpwstr>19 May 2017</vt:lpwstr>
  </property>
  <property fmtid="{D5CDD505-2E9C-101B-9397-08002B2CF9AE}" pid="7" name="Suffix">
    <vt:lpwstr>06-00-00</vt:lpwstr>
  </property>
  <property fmtid="{D5CDD505-2E9C-101B-9397-08002B2CF9AE}" pid="8" name="ReprintedAsAt">
    <vt:filetime>2017-05-18T16:00:00Z</vt:filetime>
  </property>
  <property fmtid="{D5CDD505-2E9C-101B-9397-08002B2CF9AE}" pid="9" name="ReprintNo">
    <vt:lpwstr>6</vt:lpwstr>
  </property>
  <property fmtid="{D5CDD505-2E9C-101B-9397-08002B2CF9AE}" pid="10" name="CommencementDate">
    <vt:lpwstr>20170519</vt:lpwstr>
  </property>
</Properties>
</file>