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spacing w:after="400"/>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_Toc485977806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_Toc485977807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_Toc485977808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_Toc485977809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_Toc485977810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_Toc485977811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(s. 73(1)(n))</w:t>
      </w:r>
      <w:r>
        <w:tab/>
      </w:r>
      <w:r>
        <w:fldChar w:fldCharType="begin"/>
      </w:r>
      <w:r>
        <w:instrText xml:space="preserve"> PAGEREF _Toc485977812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_Toc485977813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_Toc485977814 \h </w:instrText>
      </w:r>
      <w:r>
        <w:fldChar w:fldCharType="separate"/>
      </w:r>
      <w:r>
        <w:t>7</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_Toc485977815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_Toc485977816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_Toc485977817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_Toc485977821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485977806"/>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85977807"/>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5" w:name="_Toc485977808"/>
      <w:r>
        <w:rPr>
          <w:rStyle w:val="CharSectno"/>
        </w:rPr>
        <w:t>3</w:t>
      </w:r>
      <w:r>
        <w:t>.</w:t>
      </w:r>
      <w:r>
        <w:tab/>
        <w:t>Public officers (s. 5(1))</w:t>
      </w:r>
      <w:bookmarkEnd w:id="5"/>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6" w:name="_Toc485977809"/>
      <w:r>
        <w:rPr>
          <w:rStyle w:val="CharSectno"/>
        </w:rPr>
        <w:t>3A</w:t>
      </w:r>
      <w:r>
        <w:t>.</w:t>
      </w:r>
      <w:r>
        <w:tab/>
        <w:t>Forensic purpose for which police officers may be required to undergo identifying procedure (s. 22(1))</w:t>
      </w:r>
      <w:bookmarkEnd w:id="6"/>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7" w:name="_Toc485977810"/>
      <w:r>
        <w:rPr>
          <w:rStyle w:val="CharSectno"/>
        </w:rPr>
        <w:t>4</w:t>
      </w:r>
      <w:r>
        <w:t>.</w:t>
      </w:r>
      <w:r>
        <w:tab/>
        <w:t>Qualified persons (s. 52)</w:t>
      </w:r>
      <w:bookmarkEnd w:id="7"/>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8" w:name="_Toc485977811"/>
      <w:r>
        <w:rPr>
          <w:rStyle w:val="CharSectno"/>
        </w:rPr>
        <w:t>5</w:t>
      </w:r>
      <w:r>
        <w:t>.</w:t>
      </w:r>
      <w:r>
        <w:tab/>
        <w:t>Law enforcement officers (s. 73(1)(e))</w:t>
      </w:r>
      <w:bookmarkEnd w:id="8"/>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9" w:name="_Toc484592310"/>
      <w:bookmarkStart w:id="10" w:name="_Toc484592945"/>
      <w:bookmarkStart w:id="11" w:name="_Toc485977812"/>
      <w:r>
        <w:rPr>
          <w:rStyle w:val="CharSectno"/>
        </w:rPr>
        <w:t>5A</w:t>
      </w:r>
      <w:r>
        <w:t>.</w:t>
      </w:r>
      <w:r>
        <w:tab/>
        <w:t>Disclosure of identifying information (s. 73(1)(n))</w:t>
      </w:r>
      <w:bookmarkEnd w:id="9"/>
      <w:bookmarkEnd w:id="10"/>
      <w:bookmarkEnd w:id="11"/>
    </w:p>
    <w:p>
      <w:pPr>
        <w:pStyle w:val="Subsection"/>
      </w:pPr>
      <w:r>
        <w:tab/>
      </w:r>
      <w:r>
        <w:tab/>
        <w:t xml:space="preserve">For section 73(1)(n) of the Act, the following purposes are prescribed — </w:t>
      </w:r>
    </w:p>
    <w:p>
      <w:pPr>
        <w:pStyle w:val="Indenta"/>
      </w:pPr>
      <w:r>
        <w:tab/>
        <w:t>(a)</w:t>
      </w:r>
      <w:r>
        <w:tab/>
        <w:t xml:space="preserve">the Australian Crime Commission’s national policing information functions under the </w:t>
      </w:r>
      <w:r>
        <w:rPr>
          <w:i/>
        </w:rPr>
        <w:t>Australian Crime Commission Act 2002</w:t>
      </w:r>
      <w:r>
        <w:t xml:space="preserve"> (Commonwealth);</w:t>
      </w:r>
    </w:p>
    <w:p>
      <w:pPr>
        <w:pStyle w:val="Indenta"/>
      </w:pPr>
      <w:r>
        <w:tab/>
        <w:t>(b)</w:t>
      </w:r>
      <w:r>
        <w:tab/>
        <w:t xml:space="preserve">a review, special inquiry or investigation under the </w:t>
      </w:r>
      <w:r>
        <w:rPr>
          <w:i/>
        </w:rPr>
        <w:t>Public Sector Management Act 1994</w:t>
      </w:r>
      <w:r>
        <w:t xml:space="preserve"> Part 3A Division 3.</w:t>
      </w:r>
    </w:p>
    <w:p>
      <w:pPr>
        <w:pStyle w:val="Footnotesection"/>
      </w:pPr>
      <w:r>
        <w:tab/>
        <w:t>[Regulation 5A inserted in Gazette 23 Jun 2017 p. 3187.]</w:t>
      </w:r>
    </w:p>
    <w:p>
      <w:pPr>
        <w:pStyle w:val="Heading5"/>
      </w:pPr>
      <w:bookmarkStart w:id="12" w:name="_Toc485977813"/>
      <w:r>
        <w:rPr>
          <w:rStyle w:val="CharSectno"/>
        </w:rPr>
        <w:t>5B</w:t>
      </w:r>
      <w:r>
        <w:t>.</w:t>
      </w:r>
      <w:r>
        <w:tab/>
        <w:t>DNA database indexes (s. 76)</w:t>
      </w:r>
      <w:bookmarkEnd w:id="1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13" w:name="_Toc485977814"/>
      <w:r>
        <w:rPr>
          <w:rStyle w:val="CharSectno"/>
        </w:rPr>
        <w:t>6</w:t>
      </w:r>
      <w:r>
        <w:t>.</w:t>
      </w:r>
      <w:r>
        <w:tab/>
        <w:t>Corresponding laws (s. 87, 88(a))</w:t>
      </w:r>
      <w:bookmarkEnd w:id="13"/>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14" w:name="_Toc485977815"/>
      <w:r>
        <w:rPr>
          <w:rStyle w:val="CharSectno"/>
        </w:rPr>
        <w:t>7</w:t>
      </w:r>
      <w:r>
        <w:t>.</w:t>
      </w:r>
      <w:r>
        <w:tab/>
        <w:t>Authorised officers (s. 87, 88(b))</w:t>
      </w:r>
      <w:bookmarkEnd w:id="14"/>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15" w:name="_Toc485977816"/>
      <w:r>
        <w:rPr>
          <w:rStyle w:val="CharSectno"/>
        </w:rPr>
        <w:t>8</w:t>
      </w:r>
      <w:r>
        <w:t>.</w:t>
      </w:r>
      <w:r>
        <w:tab/>
        <w:t>Registrar (s. 87, 88(c))</w:t>
      </w:r>
      <w:bookmarkEnd w:id="15"/>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in Gazette 2 Oct 2007 p. 4973.]</w:t>
      </w:r>
    </w:p>
    <w:p>
      <w:pPr>
        <w:pStyle w:val="Heading5"/>
      </w:pPr>
      <w:bookmarkStart w:id="16" w:name="_Toc485977817"/>
      <w:r>
        <w:rPr>
          <w:rStyle w:val="CharSectno"/>
        </w:rPr>
        <w:t>10</w:t>
      </w:r>
      <w:r>
        <w:t>.</w:t>
      </w:r>
      <w:r>
        <w:tab/>
        <w:t>Form of warrants (s. 33(6), 46(4))</w:t>
      </w:r>
      <w:bookmarkEnd w:id="1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473895649"/>
      <w:bookmarkStart w:id="18" w:name="_Toc485977786"/>
      <w:bookmarkStart w:id="19" w:name="_Toc485977818"/>
      <w:bookmarkStart w:id="20" w:name="_Toc437325833"/>
      <w:bookmarkStart w:id="21" w:name="_Toc453586603"/>
      <w:bookmarkStart w:id="22" w:name="_Toc453590897"/>
      <w:bookmarkStart w:id="23" w:name="_Toc453590915"/>
      <w:bookmarkStart w:id="24" w:name="_Toc453591093"/>
      <w:bookmarkStart w:id="25" w:name="_Toc455401474"/>
      <w:r>
        <w:rPr>
          <w:rStyle w:val="CharSchNo"/>
        </w:rPr>
        <w:t>Schedule 3</w:t>
      </w:r>
      <w:r>
        <w:t> — </w:t>
      </w:r>
      <w:r>
        <w:rPr>
          <w:rStyle w:val="CharSchText"/>
        </w:rPr>
        <w:t>IP warrant (involved protected person)</w:t>
      </w:r>
      <w:bookmarkEnd w:id="17"/>
      <w:bookmarkEnd w:id="18"/>
      <w:bookmarkEnd w:id="19"/>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26" w:name="_Toc473895650"/>
      <w:bookmarkStart w:id="27" w:name="_Toc485977787"/>
      <w:bookmarkStart w:id="28" w:name="_Toc485977819"/>
      <w:r>
        <w:rPr>
          <w:rStyle w:val="CharSchNo"/>
        </w:rPr>
        <w:t>Schedule 4</w:t>
      </w:r>
      <w:r>
        <w:t> — </w:t>
      </w:r>
      <w:r>
        <w:rPr>
          <w:rStyle w:val="CharSchText"/>
        </w:rPr>
        <w:t>IP warrant (suspect)</w:t>
      </w:r>
      <w:bookmarkEnd w:id="26"/>
      <w:bookmarkEnd w:id="27"/>
      <w:bookmarkEnd w:id="28"/>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0" w:name="_Toc473895651"/>
      <w:bookmarkStart w:id="31" w:name="_Toc485977788"/>
      <w:bookmarkStart w:id="32" w:name="_Toc485977820"/>
      <w:r>
        <w:t>Notes</w:t>
      </w:r>
      <w:bookmarkEnd w:id="20"/>
      <w:bookmarkEnd w:id="21"/>
      <w:bookmarkEnd w:id="22"/>
      <w:bookmarkEnd w:id="23"/>
      <w:bookmarkEnd w:id="24"/>
      <w:bookmarkEnd w:id="25"/>
      <w:bookmarkEnd w:id="30"/>
      <w:bookmarkEnd w:id="31"/>
      <w:bookmarkEnd w:id="32"/>
    </w:p>
    <w:p>
      <w:pPr>
        <w:pStyle w:val="nSubsection"/>
      </w:pPr>
      <w:r>
        <w:rPr>
          <w:vertAlign w:val="superscript"/>
        </w:rPr>
        <w:t>1</w:t>
      </w:r>
      <w:r>
        <w:tab/>
        <w:t xml:space="preserve">This is a compilation of the </w:t>
      </w:r>
      <w:r>
        <w:rPr>
          <w:i/>
          <w:noProof/>
        </w:rPr>
        <w:t>Criminal Investigation (Identifying People) Regulations 2002</w:t>
      </w:r>
      <w:r>
        <w:t xml:space="preserve"> and includes the amendments made by the other written laws referred to in the following table.  The table also contains information about any reprint.</w:t>
      </w:r>
    </w:p>
    <w:p>
      <w:pPr>
        <w:pStyle w:val="nHeading3"/>
      </w:pPr>
      <w:bookmarkStart w:id="33" w:name="_Toc485977821"/>
      <w:r>
        <w:t>Compilation table</w:t>
      </w:r>
      <w:bookmarkEnd w:id="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r>
        <w:tc>
          <w:tcPr>
            <w:tcW w:w="3118" w:type="dxa"/>
            <w:shd w:val="clear" w:color="auto" w:fill="auto"/>
          </w:tcPr>
          <w:p>
            <w:pPr>
              <w:pStyle w:val="nTable"/>
              <w:keepNext/>
              <w:spacing w:before="60" w:after="60"/>
              <w:rPr>
                <w:i/>
              </w:rPr>
            </w:pPr>
            <w:r>
              <w:rPr>
                <w:i/>
              </w:rPr>
              <w:t>Criminal Investigation (Identifying People) Amendment Regulations 2016</w:t>
            </w:r>
            <w:r>
              <w:t xml:space="preserve"> </w:t>
            </w:r>
          </w:p>
        </w:tc>
        <w:tc>
          <w:tcPr>
            <w:tcW w:w="1276" w:type="dxa"/>
            <w:shd w:val="clear" w:color="auto" w:fill="auto"/>
          </w:tcPr>
          <w:p>
            <w:pPr>
              <w:pStyle w:val="nTable"/>
              <w:spacing w:before="60" w:after="60"/>
            </w:pPr>
            <w:r>
              <w:t>14 Jun 2016 p. 1833</w:t>
            </w:r>
            <w:r>
              <w:noBreakHyphen/>
              <w:t>4</w:t>
            </w:r>
          </w:p>
        </w:tc>
        <w:tc>
          <w:tcPr>
            <w:tcW w:w="2694" w:type="dxa"/>
            <w:shd w:val="clear" w:color="auto" w:fill="auto"/>
          </w:tcPr>
          <w:p>
            <w:pPr>
              <w:pStyle w:val="nTable"/>
              <w:spacing w:before="60" w:after="60"/>
              <w:rPr>
                <w:snapToGrid w:val="0"/>
              </w:rPr>
            </w:pPr>
            <w:r>
              <w:rPr>
                <w:snapToGrid w:val="0"/>
              </w:rPr>
              <w:t>r. 1 and 2: 14</w:t>
            </w:r>
            <w:r>
              <w:t> Jun 2016</w:t>
            </w:r>
            <w:r>
              <w:rPr>
                <w:snapToGrid w:val="0"/>
              </w:rPr>
              <w:t xml:space="preserve"> (see r. 2(a));</w:t>
            </w:r>
            <w:r>
              <w:rPr>
                <w:snapToGrid w:val="0"/>
              </w:rPr>
              <w:br/>
              <w:t xml:space="preserve">Regulations other than r. 1 and 2: </w:t>
            </w:r>
            <w:r>
              <w:t>1 Jul 2016 (see r. 2(b))</w:t>
            </w:r>
          </w:p>
        </w:tc>
      </w:tr>
      <w:tr>
        <w:tc>
          <w:tcPr>
            <w:tcW w:w="3118" w:type="dxa"/>
            <w:tcBorders>
              <w:bottom w:val="single" w:sz="4" w:space="0" w:color="auto"/>
            </w:tcBorders>
            <w:shd w:val="clear" w:color="auto" w:fill="auto"/>
          </w:tcPr>
          <w:p>
            <w:pPr>
              <w:pStyle w:val="nTable"/>
              <w:keepNext/>
              <w:spacing w:before="60" w:after="60"/>
              <w:rPr>
                <w:i/>
              </w:rPr>
            </w:pPr>
            <w:r>
              <w:rPr>
                <w:i/>
              </w:rPr>
              <w:t>Criminal Investigation (Identifying People) Amendment Regulations 2017</w:t>
            </w:r>
          </w:p>
        </w:tc>
        <w:tc>
          <w:tcPr>
            <w:tcW w:w="1276" w:type="dxa"/>
            <w:tcBorders>
              <w:bottom w:val="single" w:sz="4" w:space="0" w:color="auto"/>
            </w:tcBorders>
            <w:shd w:val="clear" w:color="auto" w:fill="auto"/>
          </w:tcPr>
          <w:p>
            <w:pPr>
              <w:pStyle w:val="nTable"/>
              <w:spacing w:before="60" w:after="60"/>
            </w:pPr>
            <w:r>
              <w:t>23 Jun 2017 p. 3186</w:t>
            </w:r>
            <w:r>
              <w:noBreakHyphen/>
              <w:t>7</w:t>
            </w:r>
          </w:p>
        </w:tc>
        <w:tc>
          <w:tcPr>
            <w:tcW w:w="2694" w:type="dxa"/>
            <w:tcBorders>
              <w:bottom w:val="single" w:sz="4" w:space="0" w:color="auto"/>
            </w:tcBorders>
            <w:shd w:val="clear" w:color="auto" w:fill="auto"/>
          </w:tcPr>
          <w:p>
            <w:pPr>
              <w:pStyle w:val="nTable"/>
              <w:spacing w:before="60" w:after="60"/>
              <w:rPr>
                <w:snapToGrid w:val="0"/>
              </w:rPr>
            </w:pPr>
            <w:r>
              <w:rPr>
                <w:rFonts w:ascii="Times" w:hAnsi="Times"/>
                <w:bCs/>
                <w:snapToGrid w:val="0"/>
                <w:spacing w:val="-2"/>
              </w:rPr>
              <w:t xml:space="preserve">r. 1 and 2: </w:t>
            </w:r>
            <w:r>
              <w:rPr>
                <w:bCs/>
                <w:snapToGrid w:val="0"/>
              </w:rPr>
              <w:t>23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24 Jun 2017</w:t>
            </w:r>
            <w:r>
              <w:rPr>
                <w:rFonts w:ascii="Times" w:hAnsi="Times"/>
                <w:bCs/>
                <w:snapToGrid w:val="0"/>
                <w:spacing w:val="-2"/>
              </w:rPr>
              <w:t xml:space="preserve"> (see r. 2(b))</w:t>
            </w:r>
          </w:p>
        </w:tc>
      </w:tr>
    </w:tbl>
    <w:p>
      <w:pPr>
        <w:pStyle w:val="nSubsection"/>
      </w:pPr>
      <w:r>
        <w:rPr>
          <w:vertAlign w:val="superscript"/>
        </w:rPr>
        <w:t>2</w:t>
      </w:r>
      <w:r>
        <w:tab/>
        <w:t xml:space="preserve">16 April 2014 (see </w:t>
      </w:r>
      <w:r>
        <w:rPr>
          <w:i/>
        </w:rPr>
        <w:t>Gazette</w:t>
      </w:r>
      <w:r>
        <w:t xml:space="preserve"> 15 April 2014 p. 1053).</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5" w:name="_Toc437325835"/>
      <w:bookmarkStart w:id="36" w:name="_Toc453586606"/>
      <w:bookmarkStart w:id="37" w:name="_Toc453590900"/>
      <w:bookmarkStart w:id="38" w:name="_Toc453590918"/>
      <w:bookmarkStart w:id="39" w:name="_Toc453591096"/>
      <w:bookmarkStart w:id="40" w:name="_Toc455401476"/>
      <w:bookmarkStart w:id="41" w:name="_Toc473895653"/>
      <w:bookmarkStart w:id="42" w:name="_Toc485977790"/>
      <w:bookmarkStart w:id="43" w:name="_Toc485977822"/>
      <w:r>
        <w:rPr>
          <w:sz w:val="28"/>
        </w:rPr>
        <w:t>Defined terms</w:t>
      </w:r>
      <w:bookmarkEnd w:id="35"/>
      <w:bookmarkEnd w:id="36"/>
      <w:bookmarkEnd w:id="37"/>
      <w:bookmarkEnd w:id="38"/>
      <w:bookmarkEnd w:id="39"/>
      <w:bookmarkEnd w:id="40"/>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rsidR="00200331" w:rsidRDefault="006A480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lvlText w:val="%1."/>
      <w:lvlJc w:val="left"/>
      <w:pPr>
        <w:tabs>
          <w:tab w:val="num" w:pos="1492"/>
        </w:tabs>
        <w:ind w:left="1492" w:hanging="360"/>
      </w:pPr>
    </w:lvl>
  </w:abstractNum>
  <w:abstractNum w:abstractNumId="1">
    <w:nsid w:val="FFFFFF7D"/>
    <w:multiLevelType w:val="singleLevel"/>
    <w:tmpl w:val="DC96F3C4"/>
    <w:lvl w:ilvl="0">
      <w:start w:val="1"/>
      <w:numFmt w:val="decimal"/>
      <w:lvlText w:val="%1."/>
      <w:lvlJc w:val="left"/>
      <w:pPr>
        <w:tabs>
          <w:tab w:val="num" w:pos="1209"/>
        </w:tabs>
        <w:ind w:left="1209" w:hanging="360"/>
      </w:pPr>
    </w:lvl>
  </w:abstractNum>
  <w:abstractNum w:abstractNumId="2">
    <w:nsid w:val="FFFFFF7E"/>
    <w:multiLevelType w:val="singleLevel"/>
    <w:tmpl w:val="0B701FD6"/>
    <w:lvl w:ilvl="0">
      <w:start w:val="1"/>
      <w:numFmt w:val="decimal"/>
      <w:lvlText w:val="%1."/>
      <w:lvlJc w:val="left"/>
      <w:pPr>
        <w:tabs>
          <w:tab w:val="num" w:pos="926"/>
        </w:tabs>
        <w:ind w:left="926" w:hanging="360"/>
      </w:pPr>
    </w:lvl>
  </w:abstractNum>
  <w:abstractNum w:abstractNumId="3">
    <w:nsid w:val="FFFFFF7F"/>
    <w:multiLevelType w:val="singleLevel"/>
    <w:tmpl w:val="042C75FE"/>
    <w:lvl w:ilvl="0">
      <w:start w:val="1"/>
      <w:numFmt w:val="decimal"/>
      <w:lvlText w:val="%1."/>
      <w:lvlJc w:val="left"/>
      <w:pPr>
        <w:tabs>
          <w:tab w:val="num" w:pos="643"/>
        </w:tabs>
        <w:ind w:left="643" w:hanging="360"/>
      </w:pPr>
    </w:lvl>
  </w:abstractNum>
  <w:abstractNum w:abstractNumId="4">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lvlText w:val="%1."/>
      <w:lvlJc w:val="left"/>
      <w:pPr>
        <w:tabs>
          <w:tab w:val="num" w:pos="360"/>
        </w:tabs>
        <w:ind w:left="360" w:hanging="360"/>
      </w:pPr>
    </w:lvl>
  </w:abstractNum>
  <w:abstractNum w:abstractNumId="9">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22EC-267A-479E-8927-7D60A579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3227</Words>
  <Characters>19140</Characters>
  <Application>Microsoft Office Word</Application>
  <DocSecurity>0</DocSecurity>
  <Lines>660</Lines>
  <Paragraphs>344</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2002 - 02-d0-00</dc:title>
  <dc:subject/>
  <dc:creator/>
  <cp:keywords/>
  <dc:description/>
  <cp:lastModifiedBy>svcMRProcess</cp:lastModifiedBy>
  <cp:revision>4</cp:revision>
  <cp:lastPrinted>2016-06-13T06:21:00Z</cp:lastPrinted>
  <dcterms:created xsi:type="dcterms:W3CDTF">2017-06-23T04:19:00Z</dcterms:created>
  <dcterms:modified xsi:type="dcterms:W3CDTF">2017-06-23T04:19:00Z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AsAtDate">
    <vt:lpwstr>24 Jun 2017</vt:lpwstr>
  </property>
  <property fmtid="{D5CDD505-2E9C-101B-9397-08002B2CF9AE}" pid="8" name="Suffix">
    <vt:lpwstr>02-d0-00</vt:lpwstr>
  </property>
  <property fmtid="{D5CDD505-2E9C-101B-9397-08002B2CF9AE}" pid="9" name="CommencementDate">
    <vt:lpwstr>20170624</vt:lpwstr>
  </property>
</Properties>
</file>