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_Toc485977629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_Toc485977630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_Toc485977631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_Toc485977632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_Toc485977633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_Toc485977634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_Toc485977637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_Toc485977638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423515754"/>
      <w:bookmarkStart w:id="4" w:name="_Toc48597762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85977630"/>
      <w:r>
        <w:rPr>
          <w:rStyle w:val="CharSectno"/>
        </w:rPr>
        <w:t>2</w:t>
      </w:r>
      <w:r>
        <w:rPr>
          <w:snapToGrid w:val="0"/>
        </w:rPr>
        <w:t>.</w:t>
      </w:r>
      <w:r>
        <w:rPr>
          <w:snapToGrid w:val="0"/>
        </w:rPr>
        <w:tab/>
        <w:t>Term used: Act</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7" w:name="_Toc423515756"/>
      <w:bookmarkStart w:id="8" w:name="_Toc485977631"/>
      <w:r>
        <w:rPr>
          <w:rStyle w:val="CharSectno"/>
        </w:rPr>
        <w:t>3</w:t>
      </w:r>
      <w:r>
        <w:t>.</w:t>
      </w:r>
      <w:r>
        <w:tab/>
        <w:t>Prescribed assessed value percentage</w:t>
      </w:r>
      <w:bookmarkEnd w:id="7"/>
      <w:bookmarkEnd w:id="8"/>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9" w:name="_Toc423515757"/>
      <w:bookmarkStart w:id="10" w:name="_Toc485977632"/>
      <w:r>
        <w:rPr>
          <w:rStyle w:val="CharSectno"/>
        </w:rPr>
        <w:t>3A</w:t>
      </w:r>
      <w:r>
        <w:t>.</w:t>
      </w:r>
      <w:r>
        <w:tab/>
        <w:t>Prescribed percentage under paragraph (b)(vii)(II) of the definition of unimproved value in s. 4(1)</w:t>
      </w:r>
      <w:bookmarkEnd w:id="9"/>
      <w:bookmarkEnd w:id="10"/>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1" w:name="_Toc423515758"/>
      <w:bookmarkStart w:id="12" w:name="_Toc485977633"/>
      <w:r>
        <w:rPr>
          <w:rStyle w:val="CharSectno"/>
        </w:rPr>
        <w:t>4</w:t>
      </w:r>
      <w:r>
        <w:rPr>
          <w:snapToGrid w:val="0"/>
        </w:rPr>
        <w:t>.</w:t>
      </w:r>
      <w:r>
        <w:rPr>
          <w:snapToGrid w:val="0"/>
        </w:rPr>
        <w:tab/>
        <w:t>Details of land to be furnished to Valuer</w:t>
      </w:r>
      <w:r>
        <w:rPr>
          <w:snapToGrid w:val="0"/>
        </w:rPr>
        <w:noBreakHyphen/>
        <w:t>General</w:t>
      </w:r>
      <w:bookmarkEnd w:id="11"/>
      <w:bookmarkEnd w:id="12"/>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3" w:name="_Toc423515759"/>
      <w:bookmarkStart w:id="14" w:name="_Toc485977634"/>
      <w:r>
        <w:rPr>
          <w:rStyle w:val="CharSectno"/>
        </w:rPr>
        <w:t>6</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395394"/>
      <w:bookmarkStart w:id="16" w:name="_Toc377395404"/>
      <w:bookmarkStart w:id="17" w:name="_Toc423515760"/>
      <w:bookmarkStart w:id="18" w:name="_Toc425252821"/>
      <w:bookmarkStart w:id="19" w:name="_Toc455129882"/>
      <w:bookmarkStart w:id="20" w:name="_Toc485977635"/>
      <w:r>
        <w:rPr>
          <w:rStyle w:val="CharSchNo"/>
        </w:rPr>
        <w:t>Schedule 1</w:t>
      </w:r>
      <w:r>
        <w:t> — </w:t>
      </w:r>
      <w:r>
        <w:rPr>
          <w:rStyle w:val="CharSchText"/>
        </w:rPr>
        <w:t>Fees</w:t>
      </w:r>
      <w:bookmarkEnd w:id="15"/>
      <w:bookmarkEnd w:id="16"/>
      <w:bookmarkEnd w:id="17"/>
      <w:bookmarkEnd w:id="18"/>
      <w:bookmarkEnd w:id="19"/>
      <w:bookmarkEnd w:id="2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147.00</w:t>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59.00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8.10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17.60</w:t>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2" w:name="_Toc377395395"/>
      <w:bookmarkStart w:id="23" w:name="_Toc377395405"/>
      <w:bookmarkStart w:id="24" w:name="_Toc423515761"/>
      <w:bookmarkStart w:id="25" w:name="_Toc425252822"/>
      <w:bookmarkStart w:id="26" w:name="_Toc455129883"/>
      <w:bookmarkStart w:id="27" w:name="_Toc485977636"/>
      <w:r>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 w:name="_Toc423515762"/>
      <w:bookmarkStart w:id="29" w:name="_Toc485977637"/>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5</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485977638"/>
      <w:r>
        <w:t>Provisions that have not come into operation</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Lands Regulations Amendment (Fees and Charges) Regulations 2017</w:t>
            </w:r>
            <w:r>
              <w:t xml:space="preserve"> Pt. 5 </w:t>
            </w:r>
            <w:r>
              <w:rPr>
                <w:vertAlign w:val="superscript"/>
              </w:rPr>
              <w:t>2</w:t>
            </w:r>
          </w:p>
        </w:tc>
        <w:tc>
          <w:tcPr>
            <w:tcW w:w="1276" w:type="dxa"/>
          </w:tcPr>
          <w:p>
            <w:pPr>
              <w:pStyle w:val="nTable"/>
              <w:spacing w:after="40"/>
            </w:pPr>
            <w:r>
              <w:t>23 Jun 2017 p. 3181</w:t>
            </w:r>
            <w:r>
              <w:noBreakHyphen/>
              <w:t>6</w:t>
            </w:r>
          </w:p>
        </w:tc>
        <w:tc>
          <w:tcPr>
            <w:tcW w:w="2693" w:type="dxa"/>
          </w:tcPr>
          <w:p>
            <w:pPr>
              <w:pStyle w:val="nTable"/>
              <w:spacing w:after="40"/>
            </w:pPr>
            <w:r>
              <w:t>3 Jul 2017 (see r. 2(b))</w:t>
            </w:r>
          </w:p>
        </w:tc>
      </w:tr>
    </w:tbl>
    <w:p>
      <w:pPr>
        <w:pStyle w:val="nSubsection"/>
        <w:keepLines/>
        <w:spacing w:before="12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5 had not come into operation.  It reads as follows:</w:t>
      </w:r>
    </w:p>
    <w:p>
      <w:pPr>
        <w:pStyle w:val="BlankOpen"/>
      </w:pPr>
    </w:p>
    <w:p>
      <w:pPr>
        <w:pStyle w:val="nzHeading2"/>
      </w:pPr>
      <w:bookmarkStart w:id="31" w:name="_Toc483916223"/>
      <w:bookmarkStart w:id="32" w:name="_Toc483916241"/>
      <w:bookmarkStart w:id="33" w:name="_Toc483916625"/>
      <w:bookmarkStart w:id="34" w:name="_Toc483916925"/>
      <w:bookmarkStart w:id="35" w:name="_Toc483916973"/>
      <w:bookmarkStart w:id="36" w:name="_Toc483916991"/>
      <w:bookmarkStart w:id="37" w:name="_Toc483917569"/>
      <w:bookmarkStart w:id="38" w:name="_Toc483917592"/>
      <w:bookmarkStart w:id="39" w:name="_Toc483917671"/>
      <w:bookmarkStart w:id="40" w:name="_Toc483917689"/>
      <w:bookmarkStart w:id="41" w:name="_Toc483918246"/>
      <w:bookmarkStart w:id="42" w:name="_Toc483918281"/>
      <w:bookmarkStart w:id="43" w:name="_Toc483920703"/>
      <w:bookmarkStart w:id="44" w:name="_Toc483920730"/>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nzHeading5"/>
      </w:pPr>
      <w:bookmarkStart w:id="45" w:name="_Toc483916974"/>
      <w:bookmarkStart w:id="46" w:name="_Toc483917570"/>
      <w:bookmarkStart w:id="47" w:name="_Toc483917672"/>
      <w:bookmarkStart w:id="48" w:name="_Toc483918247"/>
      <w:bookmarkStart w:id="49" w:name="_Toc483920704"/>
      <w:bookmarkStart w:id="50" w:name="_Toc483920731"/>
      <w:r>
        <w:rPr>
          <w:rStyle w:val="CharSectno"/>
        </w:rPr>
        <w:t>12</w:t>
      </w:r>
      <w:r>
        <w:t>.</w:t>
      </w:r>
      <w:r>
        <w:tab/>
        <w:t>Regulations amended</w:t>
      </w:r>
      <w:bookmarkEnd w:id="45"/>
      <w:bookmarkEnd w:id="46"/>
      <w:bookmarkEnd w:id="47"/>
      <w:bookmarkEnd w:id="48"/>
      <w:bookmarkEnd w:id="49"/>
      <w:bookmarkEnd w:id="50"/>
    </w:p>
    <w:p>
      <w:pPr>
        <w:pStyle w:val="nzSubsection"/>
        <w:rPr>
          <w:rStyle w:val="CharDivText"/>
        </w:rPr>
      </w:pPr>
      <w:r>
        <w:tab/>
      </w:r>
      <w:r>
        <w:tab/>
        <w:t xml:space="preserve">This Part amends the </w:t>
      </w:r>
      <w:r>
        <w:rPr>
          <w:rStyle w:val="CharDivText"/>
          <w:i/>
        </w:rPr>
        <w:t>Valuation of Land Regulations 1979</w:t>
      </w:r>
      <w:r>
        <w:rPr>
          <w:rStyle w:val="CharDivText"/>
        </w:rPr>
        <w:t>.</w:t>
      </w:r>
    </w:p>
    <w:p>
      <w:pPr>
        <w:pStyle w:val="nzHeading5"/>
      </w:pPr>
      <w:bookmarkStart w:id="51" w:name="_Toc483916975"/>
      <w:bookmarkStart w:id="52" w:name="_Toc483917571"/>
      <w:bookmarkStart w:id="53" w:name="_Toc483917673"/>
      <w:bookmarkStart w:id="54" w:name="_Toc483918248"/>
      <w:bookmarkStart w:id="55" w:name="_Toc483920705"/>
      <w:bookmarkStart w:id="56" w:name="_Toc483920732"/>
      <w:r>
        <w:rPr>
          <w:rStyle w:val="CharSectno"/>
        </w:rPr>
        <w:t>13</w:t>
      </w:r>
      <w:r>
        <w:t>.</w:t>
      </w:r>
      <w:r>
        <w:tab/>
        <w:t>Schedule 1 amended</w:t>
      </w:r>
      <w:bookmarkEnd w:id="51"/>
      <w:bookmarkEnd w:id="52"/>
      <w:bookmarkEnd w:id="53"/>
      <w:bookmarkEnd w:id="54"/>
      <w:bookmarkEnd w:id="55"/>
      <w:bookmarkEnd w:id="56"/>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it. 1 </w:t>
            </w:r>
          </w:p>
        </w:tc>
        <w:tc>
          <w:tcPr>
            <w:tcW w:w="2268" w:type="dxa"/>
          </w:tcPr>
          <w:p>
            <w:pPr>
              <w:pStyle w:val="TableAm"/>
              <w:rPr>
                <w:sz w:val="22"/>
              </w:rPr>
            </w:pPr>
            <w:r>
              <w:rPr>
                <w:sz w:val="22"/>
              </w:rPr>
              <w:t>147.00</w:t>
            </w:r>
          </w:p>
        </w:tc>
        <w:tc>
          <w:tcPr>
            <w:tcW w:w="2268" w:type="dxa"/>
          </w:tcPr>
          <w:p>
            <w:pPr>
              <w:pStyle w:val="TableAm"/>
              <w:rPr>
                <w:sz w:val="22"/>
              </w:rPr>
            </w:pPr>
            <w:r>
              <w:rPr>
                <w:sz w:val="22"/>
              </w:rPr>
              <w:t>149.50</w:t>
            </w:r>
          </w:p>
        </w:tc>
      </w:tr>
      <w:tr>
        <w:trPr>
          <w:cantSplit/>
          <w:jc w:val="center"/>
        </w:trPr>
        <w:tc>
          <w:tcPr>
            <w:tcW w:w="2268" w:type="dxa"/>
          </w:tcPr>
          <w:p>
            <w:pPr>
              <w:pStyle w:val="TableAm"/>
            </w:pPr>
            <w:r>
              <w:t>it. 2 </w:t>
            </w:r>
          </w:p>
        </w:tc>
        <w:tc>
          <w:tcPr>
            <w:tcW w:w="2268" w:type="dxa"/>
          </w:tcPr>
          <w:p>
            <w:pPr>
              <w:pStyle w:val="TableAm"/>
              <w:rPr>
                <w:sz w:val="22"/>
              </w:rPr>
            </w:pPr>
            <w:r>
              <w:rPr>
                <w:sz w:val="22"/>
              </w:rPr>
              <w:t>59.00</w:t>
            </w:r>
          </w:p>
        </w:tc>
        <w:tc>
          <w:tcPr>
            <w:tcW w:w="2268" w:type="dxa"/>
          </w:tcPr>
          <w:p>
            <w:pPr>
              <w:pStyle w:val="TableAm"/>
              <w:rPr>
                <w:sz w:val="22"/>
              </w:rPr>
            </w:pPr>
            <w:r>
              <w:rPr>
                <w:sz w:val="22"/>
              </w:rPr>
              <w:t>60.00</w:t>
            </w:r>
          </w:p>
        </w:tc>
      </w:tr>
      <w:tr>
        <w:trPr>
          <w:cantSplit/>
          <w:jc w:val="center"/>
        </w:trPr>
        <w:tc>
          <w:tcPr>
            <w:tcW w:w="2268" w:type="dxa"/>
          </w:tcPr>
          <w:p>
            <w:pPr>
              <w:pStyle w:val="TableAm"/>
            </w:pPr>
            <w:r>
              <w:t>it. 3 </w:t>
            </w:r>
          </w:p>
        </w:tc>
        <w:tc>
          <w:tcPr>
            <w:tcW w:w="2268" w:type="dxa"/>
          </w:tcPr>
          <w:p>
            <w:pPr>
              <w:pStyle w:val="TableAm"/>
              <w:rPr>
                <w:sz w:val="22"/>
              </w:rPr>
            </w:pPr>
            <w:r>
              <w:rPr>
                <w:sz w:val="22"/>
              </w:rPr>
              <w:t>8.10</w:t>
            </w:r>
          </w:p>
        </w:tc>
        <w:tc>
          <w:tcPr>
            <w:tcW w:w="2268" w:type="dxa"/>
          </w:tcPr>
          <w:p>
            <w:pPr>
              <w:pStyle w:val="TableAm"/>
              <w:rPr>
                <w:sz w:val="22"/>
              </w:rPr>
            </w:pPr>
            <w:r>
              <w:rPr>
                <w:sz w:val="22"/>
              </w:rPr>
              <w:t>8.20</w:t>
            </w:r>
          </w:p>
        </w:tc>
      </w:tr>
      <w:tr>
        <w:trPr>
          <w:cantSplit/>
          <w:jc w:val="center"/>
        </w:trPr>
        <w:tc>
          <w:tcPr>
            <w:tcW w:w="2268" w:type="dxa"/>
          </w:tcPr>
          <w:p>
            <w:pPr>
              <w:pStyle w:val="TableAm"/>
            </w:pPr>
            <w:r>
              <w:t>it. 4 </w:t>
            </w:r>
          </w:p>
        </w:tc>
        <w:tc>
          <w:tcPr>
            <w:tcW w:w="2268" w:type="dxa"/>
          </w:tcPr>
          <w:p>
            <w:pPr>
              <w:pStyle w:val="TableAm"/>
              <w:rPr>
                <w:sz w:val="22"/>
              </w:rPr>
            </w:pPr>
            <w:r>
              <w:rPr>
                <w:sz w:val="22"/>
              </w:rPr>
              <w:t>17.60</w:t>
            </w:r>
          </w:p>
        </w:tc>
        <w:tc>
          <w:tcPr>
            <w:tcW w:w="2268" w:type="dxa"/>
          </w:tcPr>
          <w:p>
            <w:pPr>
              <w:pStyle w:val="TableAm"/>
              <w:rPr>
                <w:sz w:val="22"/>
              </w:rPr>
            </w:pPr>
            <w:r>
              <w:rPr>
                <w:sz w:val="22"/>
              </w:rPr>
              <w:t>17.90</w:t>
            </w:r>
          </w:p>
        </w:tc>
      </w:tr>
    </w:tbl>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8" w:name="_Toc455129885"/>
      <w:bookmarkStart w:id="59" w:name="_Toc485977639"/>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AEC8-CE32-4073-BCCA-BED68EB1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2135</Words>
  <Characters>10164</Characters>
  <Application>Microsoft Office Word</Application>
  <DocSecurity>0</DocSecurity>
  <Lines>462</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1979 - 04-e0-00</dc:title>
  <dc:subject/>
  <dc:creator/>
  <cp:keywords/>
  <dc:description/>
  <cp:lastModifiedBy>svcMRProcess</cp:lastModifiedBy>
  <cp:revision>4</cp:revision>
  <cp:lastPrinted>2013-03-26T05:46:00Z</cp:lastPrinted>
  <dcterms:created xsi:type="dcterms:W3CDTF">2017-06-28T03:24:00Z</dcterms:created>
  <dcterms:modified xsi:type="dcterms:W3CDTF">2017-06-28T03:24:00Z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20170623</vt:lpwstr>
  </property>
  <property fmtid="{D5CDD505-2E9C-101B-9397-08002B2CF9AE}" pid="8" name="AsAtDate">
    <vt:lpwstr>23 Jun 2017</vt:lpwstr>
  </property>
  <property fmtid="{D5CDD505-2E9C-101B-9397-08002B2CF9AE}" pid="9" name="Suffix">
    <vt:lpwstr>04-e0-00</vt:lpwstr>
  </property>
</Properties>
</file>