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Weapons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Weapons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Weapons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_Toc486518660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_Toc486518661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_Toc486518662 \h </w:instrText>
      </w:r>
      <w:r>
        <w:fldChar w:fldCharType="separate"/>
      </w:r>
      <w:r>
        <w:t>1</w:t>
      </w:r>
      <w:r>
        <w:fldChar w:fldCharType="end"/>
      </w:r>
    </w:p>
    <w:p>
      <w:pPr>
        <w:pStyle w:val="TOC8"/>
        <w:rPr>
          <w:rFonts w:asciiTheme="minorHAnsi" w:eastAsiaTheme="minorEastAsia" w:hAnsiTheme="minorHAnsi" w:cstheme="minorBidi"/>
          <w:szCs w:val="22"/>
        </w:rPr>
      </w:pPr>
      <w:r>
        <w:t>4.</w:t>
      </w:r>
      <w:r>
        <w:tab/>
        <w:t>Prohibited weapons prescribed (Act s. 3) (Sch. 1)</w:t>
      </w:r>
      <w:r>
        <w:tab/>
      </w:r>
      <w:r>
        <w:fldChar w:fldCharType="begin"/>
      </w:r>
      <w:r>
        <w:instrText xml:space="preserve"> PAGEREF _Toc486518663 \h </w:instrText>
      </w:r>
      <w:r>
        <w:fldChar w:fldCharType="separate"/>
      </w:r>
      <w:r>
        <w:t>2</w:t>
      </w:r>
      <w:r>
        <w:fldChar w:fldCharType="end"/>
      </w:r>
    </w:p>
    <w:p>
      <w:pPr>
        <w:pStyle w:val="TOC8"/>
        <w:rPr>
          <w:rFonts w:asciiTheme="minorHAnsi" w:eastAsiaTheme="minorEastAsia" w:hAnsiTheme="minorHAnsi" w:cstheme="minorBidi"/>
          <w:szCs w:val="22"/>
        </w:rPr>
      </w:pPr>
      <w:r>
        <w:t>5.</w:t>
      </w:r>
      <w:r>
        <w:tab/>
        <w:t>Controlled weapons prescribed (Act s. 3) (Sch. 2)</w:t>
      </w:r>
      <w:r>
        <w:tab/>
      </w:r>
      <w:r>
        <w:fldChar w:fldCharType="begin"/>
      </w:r>
      <w:r>
        <w:instrText xml:space="preserve"> PAGEREF _Toc486518664 \h </w:instrText>
      </w:r>
      <w:r>
        <w:fldChar w:fldCharType="separate"/>
      </w:r>
      <w:r>
        <w:t>2</w:t>
      </w:r>
      <w:r>
        <w:fldChar w:fldCharType="end"/>
      </w:r>
    </w:p>
    <w:p>
      <w:pPr>
        <w:pStyle w:val="TOC8"/>
        <w:rPr>
          <w:rFonts w:asciiTheme="minorHAnsi" w:eastAsiaTheme="minorEastAsia" w:hAnsiTheme="minorHAnsi" w:cstheme="minorBidi"/>
          <w:szCs w:val="22"/>
        </w:rPr>
      </w:pPr>
      <w:r>
        <w:t>6.</w:t>
      </w:r>
      <w:r>
        <w:tab/>
        <w:t>Briefcase etc. giving electric shock prescribed (Act s. 7(3) and (4))</w:t>
      </w:r>
      <w:r>
        <w:tab/>
      </w:r>
      <w:r>
        <w:fldChar w:fldCharType="begin"/>
      </w:r>
      <w:r>
        <w:instrText xml:space="preserve"> PAGEREF _Toc486518665 \h </w:instrText>
      </w:r>
      <w:r>
        <w:fldChar w:fldCharType="separate"/>
      </w:r>
      <w:r>
        <w:t>2</w:t>
      </w:r>
      <w:r>
        <w:fldChar w:fldCharType="end"/>
      </w:r>
    </w:p>
    <w:p>
      <w:pPr>
        <w:pStyle w:val="TOC8"/>
        <w:rPr>
          <w:rFonts w:asciiTheme="minorHAnsi" w:eastAsiaTheme="minorEastAsia" w:hAnsiTheme="minorHAnsi" w:cstheme="minorBidi"/>
          <w:szCs w:val="22"/>
        </w:rPr>
      </w:pPr>
      <w:r>
        <w:t>7.</w:t>
      </w:r>
      <w:r>
        <w:tab/>
        <w:t>Oleoresin capsicum spray weapon prescribed (Act s. 7(3) and (4))</w:t>
      </w:r>
      <w:r>
        <w:tab/>
      </w:r>
      <w:r>
        <w:fldChar w:fldCharType="begin"/>
      </w:r>
      <w:r>
        <w:instrText xml:space="preserve"> PAGEREF _Toc486518666 \h </w:instrText>
      </w:r>
      <w:r>
        <w:fldChar w:fldCharType="separate"/>
      </w:r>
      <w:r>
        <w:t>3</w:t>
      </w:r>
      <w:r>
        <w:fldChar w:fldCharType="end"/>
      </w:r>
    </w:p>
    <w:p>
      <w:pPr>
        <w:pStyle w:val="TOC8"/>
        <w:rPr>
          <w:rFonts w:asciiTheme="minorHAnsi" w:eastAsiaTheme="minorEastAsia" w:hAnsiTheme="minorHAnsi" w:cstheme="minorBidi"/>
          <w:szCs w:val="22"/>
        </w:rPr>
      </w:pPr>
      <w:r>
        <w:t>8.</w:t>
      </w:r>
      <w:r>
        <w:tab/>
        <w:t>Circumstances prescribed (Act s. 10(3))</w:t>
      </w:r>
      <w:r>
        <w:tab/>
      </w:r>
      <w:r>
        <w:fldChar w:fldCharType="begin"/>
      </w:r>
      <w:r>
        <w:instrText xml:space="preserve"> PAGEREF _Toc486518667 \h </w:instrText>
      </w:r>
      <w:r>
        <w:fldChar w:fldCharType="separate"/>
      </w:r>
      <w:r>
        <w:t>3</w:t>
      </w:r>
      <w:r>
        <w:fldChar w:fldCharType="end"/>
      </w:r>
    </w:p>
    <w:p>
      <w:pPr>
        <w:pStyle w:val="TOC8"/>
        <w:rPr>
          <w:rFonts w:asciiTheme="minorHAnsi" w:eastAsiaTheme="minorEastAsia" w:hAnsiTheme="minorHAnsi" w:cstheme="minorBidi"/>
          <w:szCs w:val="22"/>
        </w:rPr>
      </w:pPr>
      <w:r>
        <w:t>9.</w:t>
      </w:r>
      <w:r>
        <w:tab/>
        <w:t>Collectors of prohibited weapons, exceptions of from Act s. 6(1)(a)-(c)</w:t>
      </w:r>
      <w:r>
        <w:tab/>
      </w:r>
      <w:r>
        <w:fldChar w:fldCharType="begin"/>
      </w:r>
      <w:r>
        <w:instrText xml:space="preserve"> PAGEREF _Toc486518668 \h </w:instrText>
      </w:r>
      <w:r>
        <w:fldChar w:fldCharType="separate"/>
      </w:r>
      <w:r>
        <w:t>5</w:t>
      </w:r>
      <w:r>
        <w:fldChar w:fldCharType="end"/>
      </w:r>
    </w:p>
    <w:p>
      <w:pPr>
        <w:pStyle w:val="TOC8"/>
        <w:rPr>
          <w:rFonts w:asciiTheme="minorHAnsi" w:eastAsiaTheme="minorEastAsia" w:hAnsiTheme="minorHAnsi" w:cstheme="minorBidi"/>
          <w:szCs w:val="22"/>
        </w:rPr>
      </w:pPr>
      <w:r>
        <w:t>10.</w:t>
      </w:r>
      <w:r>
        <w:tab/>
        <w:t>Prison officers etc. excepted from Act s. 6-8</w:t>
      </w:r>
      <w:r>
        <w:tab/>
      </w:r>
      <w:r>
        <w:fldChar w:fldCharType="begin"/>
      </w:r>
      <w:r>
        <w:instrText xml:space="preserve"> PAGEREF _Toc486518669 \h </w:instrText>
      </w:r>
      <w:r>
        <w:fldChar w:fldCharType="separate"/>
      </w:r>
      <w:r>
        <w:t>6</w:t>
      </w:r>
      <w:r>
        <w:fldChar w:fldCharType="end"/>
      </w:r>
    </w:p>
    <w:p>
      <w:pPr>
        <w:pStyle w:val="TOC8"/>
        <w:rPr>
          <w:rFonts w:asciiTheme="minorHAnsi" w:eastAsiaTheme="minorEastAsia" w:hAnsiTheme="minorHAnsi" w:cstheme="minorBidi"/>
          <w:szCs w:val="22"/>
        </w:rPr>
      </w:pPr>
      <w:r>
        <w:t>11.</w:t>
      </w:r>
      <w:r>
        <w:tab/>
        <w:t>Blow pipes, certain people excepted from Act s. 6 as to</w:t>
      </w:r>
      <w:r>
        <w:tab/>
      </w:r>
      <w:r>
        <w:fldChar w:fldCharType="begin"/>
      </w:r>
      <w:r>
        <w:instrText xml:space="preserve"> PAGEREF _Toc486518670 \h </w:instrText>
      </w:r>
      <w:r>
        <w:fldChar w:fldCharType="separate"/>
      </w:r>
      <w:r>
        <w:t>7</w:t>
      </w:r>
      <w:r>
        <w:fldChar w:fldCharType="end"/>
      </w:r>
    </w:p>
    <w:p>
      <w:pPr>
        <w:pStyle w:val="TOC8"/>
        <w:rPr>
          <w:rFonts w:asciiTheme="minorHAnsi" w:eastAsiaTheme="minorEastAsia" w:hAnsiTheme="minorHAnsi" w:cstheme="minorBidi"/>
          <w:szCs w:val="22"/>
        </w:rPr>
      </w:pPr>
      <w:r>
        <w:t>12.</w:t>
      </w:r>
      <w:r>
        <w:tab/>
        <w:t>Federal and interstate police officers excepted from Act s. 6-8</w:t>
      </w:r>
      <w:r>
        <w:tab/>
      </w:r>
      <w:r>
        <w:fldChar w:fldCharType="begin"/>
      </w:r>
      <w:r>
        <w:instrText xml:space="preserve"> PAGEREF _Toc486518671 \h </w:instrText>
      </w:r>
      <w:r>
        <w:fldChar w:fldCharType="separate"/>
      </w:r>
      <w:r>
        <w:t>8</w:t>
      </w:r>
      <w:r>
        <w:fldChar w:fldCharType="end"/>
      </w:r>
    </w:p>
    <w:p>
      <w:pPr>
        <w:pStyle w:val="TOC8"/>
        <w:rPr>
          <w:rFonts w:asciiTheme="minorHAnsi" w:eastAsiaTheme="minorEastAsia" w:hAnsiTheme="minorHAnsi" w:cstheme="minorBidi"/>
          <w:szCs w:val="22"/>
        </w:rPr>
      </w:pPr>
      <w:r>
        <w:t>13.</w:t>
      </w:r>
      <w:r>
        <w:tab/>
        <w:t>Dramatic productions, exceptions from Act s. 6 for people connected with</w:t>
      </w:r>
      <w:r>
        <w:tab/>
      </w:r>
      <w:r>
        <w:fldChar w:fldCharType="begin"/>
      </w:r>
      <w:r>
        <w:instrText xml:space="preserve"> PAGEREF _Toc486518672 \h </w:instrText>
      </w:r>
      <w:r>
        <w:fldChar w:fldCharType="separate"/>
      </w:r>
      <w:r>
        <w:t>8</w:t>
      </w:r>
      <w:r>
        <w:fldChar w:fldCharType="end"/>
      </w:r>
    </w:p>
    <w:p>
      <w:pPr>
        <w:pStyle w:val="TOC8"/>
        <w:rPr>
          <w:rFonts w:asciiTheme="minorHAnsi" w:eastAsiaTheme="minorEastAsia" w:hAnsiTheme="minorHAnsi" w:cstheme="minorBidi"/>
          <w:szCs w:val="22"/>
        </w:rPr>
      </w:pPr>
      <w:r>
        <w:t>14.</w:t>
      </w:r>
      <w:r>
        <w:tab/>
        <w:t>Crossbows for competitions etc., excepting people from Act s. 6 in relation to</w:t>
      </w:r>
      <w:r>
        <w:tab/>
      </w:r>
      <w:r>
        <w:fldChar w:fldCharType="begin"/>
      </w:r>
      <w:r>
        <w:instrText xml:space="preserve"> PAGEREF _Toc486518673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Prohibited weapons</w:t>
      </w:r>
    </w:p>
    <w:p>
      <w:pPr>
        <w:pStyle w:val="TOC2"/>
        <w:tabs>
          <w:tab w:val="right" w:leader="dot" w:pos="7077"/>
        </w:tabs>
        <w:rPr>
          <w:rFonts w:asciiTheme="minorHAnsi" w:eastAsiaTheme="minorEastAsia" w:hAnsiTheme="minorHAnsi" w:cstheme="minorBidi"/>
          <w:b w:val="0"/>
          <w:sz w:val="22"/>
          <w:szCs w:val="22"/>
        </w:rPr>
      </w:pPr>
      <w:r>
        <w:t>Schedule 2 — Controlled weapons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_Toc486518677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pPr>
      <w:r>
        <w:t>Weapons Act 1999</w:t>
      </w:r>
    </w:p>
    <w:p>
      <w:pPr>
        <w:pStyle w:val="NameofActReg"/>
        <w:spacing w:after="720"/>
      </w:pPr>
      <w:r>
        <w:t>Weapons Regulations 1999</w:t>
      </w:r>
    </w:p>
    <w:p>
      <w:pPr>
        <w:pStyle w:val="Heading5"/>
        <w:spacing w:before="240"/>
      </w:pPr>
      <w:bookmarkStart w:id="3" w:name="_Toc379277864"/>
      <w:bookmarkStart w:id="4" w:name="_Toc425248161"/>
      <w:bookmarkStart w:id="5" w:name="_Toc486518660"/>
      <w:r>
        <w:rPr>
          <w:rStyle w:val="CharSectno"/>
        </w:rPr>
        <w:t>1</w:t>
      </w:r>
      <w:r>
        <w:t>.</w:t>
      </w:r>
      <w:r>
        <w:tab/>
        <w:t>Citation</w:t>
      </w:r>
      <w:bookmarkEnd w:id="3"/>
      <w:bookmarkEnd w:id="4"/>
      <w:bookmarkEnd w:id="5"/>
    </w:p>
    <w:p>
      <w:pPr>
        <w:pStyle w:val="Subsection"/>
        <w:spacing w:before="180"/>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240"/>
      </w:pPr>
      <w:bookmarkStart w:id="6" w:name="_Toc379277865"/>
      <w:bookmarkStart w:id="7" w:name="_Toc425248162"/>
      <w:bookmarkStart w:id="8" w:name="_Toc486518661"/>
      <w:r>
        <w:rPr>
          <w:rStyle w:val="CharSectno"/>
        </w:rPr>
        <w:t>2</w:t>
      </w:r>
      <w:r>
        <w:t>.</w:t>
      </w:r>
      <w:r>
        <w:tab/>
        <w:t>Commencement</w:t>
      </w:r>
      <w:bookmarkEnd w:id="6"/>
      <w:bookmarkEnd w:id="7"/>
      <w:bookmarkEnd w:id="8"/>
    </w:p>
    <w:p>
      <w:pPr>
        <w:pStyle w:val="Subsection"/>
        <w:spacing w:before="180"/>
      </w:pPr>
      <w:r>
        <w:tab/>
      </w:r>
      <w:r>
        <w:tab/>
        <w:t>These regulations come into operation on the day fixed by proclamation under section 2(1) of the Act </w:t>
      </w:r>
      <w:r>
        <w:rPr>
          <w:vertAlign w:val="superscript"/>
        </w:rPr>
        <w:t>1</w:t>
      </w:r>
      <w:r>
        <w:t>.</w:t>
      </w:r>
    </w:p>
    <w:p>
      <w:pPr>
        <w:pStyle w:val="Heading5"/>
        <w:spacing w:before="240"/>
      </w:pPr>
      <w:bookmarkStart w:id="9" w:name="_Toc379277866"/>
      <w:bookmarkStart w:id="10" w:name="_Toc425248163"/>
      <w:bookmarkStart w:id="11" w:name="_Toc486518662"/>
      <w:r>
        <w:rPr>
          <w:rStyle w:val="CharSectno"/>
        </w:rPr>
        <w:t>3</w:t>
      </w:r>
      <w:r>
        <w:t>.</w:t>
      </w:r>
      <w:r>
        <w:tab/>
        <w:t>Terms used</w:t>
      </w:r>
      <w:bookmarkEnd w:id="9"/>
      <w:bookmarkEnd w:id="10"/>
      <w:bookmarkEnd w:id="11"/>
    </w:p>
    <w:p>
      <w:pPr>
        <w:pStyle w:val="Subsection"/>
        <w:spacing w:before="180"/>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Next/>
        <w:keepLines/>
      </w:pPr>
      <w:r>
        <w:tab/>
        <w:t>(b)</w:t>
      </w:r>
      <w:r>
        <w:tab/>
        <w:t>made or modified to be used to injure or disable a person or as a martial arts weapon,</w:t>
      </w:r>
    </w:p>
    <w:p>
      <w:pPr>
        <w:pStyle w:val="Defstart"/>
        <w:keepLines/>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12" w:name="_Toc379277867"/>
      <w:bookmarkStart w:id="13" w:name="_Toc425248164"/>
      <w:bookmarkStart w:id="14" w:name="_Toc486518663"/>
      <w:r>
        <w:rPr>
          <w:rStyle w:val="CharSectno"/>
        </w:rPr>
        <w:t>4</w:t>
      </w:r>
      <w:r>
        <w:t>.</w:t>
      </w:r>
      <w:r>
        <w:tab/>
        <w:t>Prohibited weapons prescribed (Act s. 3) (Sch. 1)</w:t>
      </w:r>
      <w:bookmarkEnd w:id="12"/>
      <w:bookmarkEnd w:id="13"/>
      <w:bookmarkEnd w:id="14"/>
    </w:p>
    <w:p>
      <w:pPr>
        <w:pStyle w:val="Subsection"/>
      </w:pPr>
      <w:r>
        <w:tab/>
      </w:r>
      <w:r>
        <w:tab/>
        <w:t>An article described in the third column of Schedule 1 is prescribed to be a prohibited weapon.</w:t>
      </w:r>
    </w:p>
    <w:p>
      <w:pPr>
        <w:pStyle w:val="Heading5"/>
      </w:pPr>
      <w:bookmarkStart w:id="15" w:name="_Toc379277868"/>
      <w:bookmarkStart w:id="16" w:name="_Toc425248165"/>
      <w:bookmarkStart w:id="17" w:name="_Toc486518664"/>
      <w:r>
        <w:rPr>
          <w:rStyle w:val="CharSectno"/>
        </w:rPr>
        <w:t>5</w:t>
      </w:r>
      <w:r>
        <w:t>.</w:t>
      </w:r>
      <w:r>
        <w:tab/>
        <w:t>Controlled weapons prescribed (Act s. 3) (Sch. 2)</w:t>
      </w:r>
      <w:bookmarkEnd w:id="15"/>
      <w:bookmarkEnd w:id="16"/>
      <w:bookmarkEnd w:id="17"/>
    </w:p>
    <w:p>
      <w:pPr>
        <w:pStyle w:val="Subsection"/>
      </w:pPr>
      <w:r>
        <w:tab/>
      </w:r>
      <w:r>
        <w:tab/>
        <w:t>An article described in the third column of Schedule 2 is prescribed to be a controlled weapon.</w:t>
      </w:r>
    </w:p>
    <w:p>
      <w:pPr>
        <w:pStyle w:val="Heading5"/>
      </w:pPr>
      <w:bookmarkStart w:id="18" w:name="_Toc379277869"/>
      <w:bookmarkStart w:id="19" w:name="_Toc425248166"/>
      <w:bookmarkStart w:id="20" w:name="_Toc486518665"/>
      <w:r>
        <w:rPr>
          <w:rStyle w:val="CharSectno"/>
        </w:rPr>
        <w:t>6</w:t>
      </w:r>
      <w:r>
        <w:t>.</w:t>
      </w:r>
      <w:r>
        <w:tab/>
        <w:t>Briefcase etc. giving electric shock prescribed (Act s. 7(3) and (4))</w:t>
      </w:r>
      <w:bookmarkEnd w:id="18"/>
      <w:bookmarkEnd w:id="19"/>
      <w:bookmarkEnd w:id="20"/>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keepNext/>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21" w:name="_Toc379277870"/>
      <w:bookmarkStart w:id="22" w:name="_Toc425248167"/>
      <w:bookmarkStart w:id="23" w:name="_Toc486518666"/>
      <w:r>
        <w:rPr>
          <w:rStyle w:val="CharSectno"/>
        </w:rPr>
        <w:t>7</w:t>
      </w:r>
      <w:r>
        <w:t>.</w:t>
      </w:r>
      <w:r>
        <w:tab/>
        <w:t>Oleoresin capsicum spray weapon prescribed (Act s. 7(3) and (4))</w:t>
      </w:r>
      <w:bookmarkEnd w:id="21"/>
      <w:bookmarkEnd w:id="22"/>
      <w:bookmarkEnd w:id="23"/>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24" w:name="_Toc379277871"/>
      <w:bookmarkStart w:id="25" w:name="_Toc425248168"/>
      <w:bookmarkStart w:id="26" w:name="_Toc486518667"/>
      <w:r>
        <w:rPr>
          <w:rStyle w:val="CharSectno"/>
        </w:rPr>
        <w:t>8</w:t>
      </w:r>
      <w:r>
        <w:t>.</w:t>
      </w:r>
      <w:r>
        <w:tab/>
        <w:t>Circumstances prescribed (Act s. 10(3))</w:t>
      </w:r>
      <w:bookmarkEnd w:id="24"/>
      <w:bookmarkEnd w:id="25"/>
      <w:bookmarkEnd w:id="26"/>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 and</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spacing w:before="60"/>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Gazette 29 Feb 2000 p. 997</w:t>
      </w:r>
      <w:r>
        <w:noBreakHyphen/>
        <w:t>8; amended: Gazette 9 Jun 2000 p. 2774; 12 Sep 2006 p. 3665</w:t>
      </w:r>
      <w:r>
        <w:noBreakHyphen/>
        <w:t>6.]</w:t>
      </w:r>
    </w:p>
    <w:p>
      <w:pPr>
        <w:pStyle w:val="Heading5"/>
      </w:pPr>
      <w:bookmarkStart w:id="27" w:name="_Toc379277872"/>
      <w:bookmarkStart w:id="28" w:name="_Toc425248169"/>
      <w:bookmarkStart w:id="29" w:name="_Toc486518668"/>
      <w:r>
        <w:rPr>
          <w:rStyle w:val="CharSectno"/>
        </w:rPr>
        <w:t>9</w:t>
      </w:r>
      <w:r>
        <w:t>.</w:t>
      </w:r>
      <w:r>
        <w:tab/>
        <w:t>Collectors of prohibited weapons, exceptions of from Act s. 6(1)(a)-(c)</w:t>
      </w:r>
      <w:bookmarkEnd w:id="27"/>
      <w:bookmarkEnd w:id="28"/>
      <w:bookmarkEnd w:id="29"/>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the relevant date a genuine collector of specified prohibited weapons; and</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relevant date</w:t>
      </w:r>
      <w:r>
        <w:t> —</w:t>
      </w:r>
    </w:p>
    <w:p>
      <w:pPr>
        <w:pStyle w:val="Defpara"/>
      </w:pPr>
      <w:r>
        <w:tab/>
        <w:t>(a)</w:t>
      </w:r>
      <w:r>
        <w:tab/>
        <w:t>in relation to an article described in the third column of Schedule 1 item 3, 7, 10, 11, 12 or 13 — means 29 February 2000;</w:t>
      </w:r>
    </w:p>
    <w:p>
      <w:pPr>
        <w:pStyle w:val="Defpara"/>
      </w:pPr>
      <w:r>
        <w:tab/>
        <w:t>(b)</w:t>
      </w:r>
      <w:r>
        <w:tab/>
        <w:t>in relation to the article described in the third column of Schedule 1 item 7A — means 1 July 2011;</w:t>
      </w:r>
    </w:p>
    <w:p>
      <w:pPr>
        <w:pStyle w:val="Defstart"/>
      </w:pPr>
      <w:r>
        <w:tab/>
      </w:r>
      <w:r>
        <w:rPr>
          <w:rStyle w:val="CharDefText"/>
        </w:rPr>
        <w:t>specified prohibited weapon</w:t>
      </w:r>
      <w:r>
        <w:t xml:space="preserve"> means an article described in the third column of Schedule 1 item 3, 7, 7A, 10, 11, 12 or 13.</w:t>
      </w:r>
    </w:p>
    <w:p>
      <w:pPr>
        <w:pStyle w:val="Footnotesection"/>
      </w:pPr>
      <w:r>
        <w:tab/>
        <w:t>[Regulation 9 inserted: Gazette 10 Mar 2000 p. 1122</w:t>
      </w:r>
      <w:r>
        <w:noBreakHyphen/>
        <w:t>3; amended: Gazette 8 Apr 2011 p. 1282</w:t>
      </w:r>
      <w:r>
        <w:noBreakHyphen/>
        <w:t>3.]</w:t>
      </w:r>
    </w:p>
    <w:p>
      <w:pPr>
        <w:pStyle w:val="Heading5"/>
        <w:spacing w:before="180"/>
      </w:pPr>
      <w:bookmarkStart w:id="30" w:name="_Toc379277873"/>
      <w:bookmarkStart w:id="31" w:name="_Toc425248170"/>
      <w:bookmarkStart w:id="32" w:name="_Toc486518669"/>
      <w:r>
        <w:rPr>
          <w:rStyle w:val="CharSectno"/>
        </w:rPr>
        <w:t>10</w:t>
      </w:r>
      <w:r>
        <w:t>.</w:t>
      </w:r>
      <w:r>
        <w:tab/>
        <w:t>Prison officers etc. excepted from Act s. 6-8</w:t>
      </w:r>
      <w:bookmarkEnd w:id="30"/>
      <w:bookmarkEnd w:id="31"/>
      <w:bookmarkEnd w:id="32"/>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Gazette 28 Jul 2000 p. 4027.]</w:t>
      </w:r>
    </w:p>
    <w:p>
      <w:pPr>
        <w:pStyle w:val="Heading5"/>
      </w:pPr>
      <w:bookmarkStart w:id="33" w:name="_Toc379277874"/>
      <w:bookmarkStart w:id="34" w:name="_Toc425248171"/>
      <w:bookmarkStart w:id="35" w:name="_Toc486518670"/>
      <w:r>
        <w:rPr>
          <w:rStyle w:val="CharSectno"/>
        </w:rPr>
        <w:t>11</w:t>
      </w:r>
      <w:r>
        <w:t>.</w:t>
      </w:r>
      <w:r>
        <w:tab/>
        <w:t>Blow pipes, certain people excepted from Act s. 6 as to</w:t>
      </w:r>
      <w:bookmarkEnd w:id="33"/>
      <w:bookmarkEnd w:id="34"/>
      <w:bookmarkEnd w:id="35"/>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keepNext/>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Gazette 29 Feb 2008 p. 693.]</w:t>
      </w:r>
    </w:p>
    <w:p>
      <w:pPr>
        <w:pStyle w:val="Heading5"/>
      </w:pPr>
      <w:bookmarkStart w:id="36" w:name="_Toc379277875"/>
      <w:bookmarkStart w:id="37" w:name="_Toc425248172"/>
      <w:bookmarkStart w:id="38" w:name="_Toc486518671"/>
      <w:r>
        <w:rPr>
          <w:rStyle w:val="CharSectno"/>
        </w:rPr>
        <w:t>12</w:t>
      </w:r>
      <w:r>
        <w:t>.</w:t>
      </w:r>
      <w:r>
        <w:tab/>
        <w:t>Federal and interstate police officers excepted from</w:t>
      </w:r>
      <w:r>
        <w:br/>
        <w:t>Act s. 6-8</w:t>
      </w:r>
      <w:bookmarkEnd w:id="36"/>
      <w:bookmarkEnd w:id="37"/>
      <w:bookmarkEnd w:id="38"/>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 Gazette 12 Mar 2010 p. 953.]</w:t>
      </w:r>
    </w:p>
    <w:p>
      <w:pPr>
        <w:pStyle w:val="Heading5"/>
      </w:pPr>
      <w:bookmarkStart w:id="39" w:name="_Toc379277876"/>
      <w:bookmarkStart w:id="40" w:name="_Toc425248173"/>
      <w:bookmarkStart w:id="41" w:name="_Toc486518672"/>
      <w:r>
        <w:rPr>
          <w:rStyle w:val="CharSectno"/>
        </w:rPr>
        <w:t>13</w:t>
      </w:r>
      <w:r>
        <w:t>.</w:t>
      </w:r>
      <w:r>
        <w:tab/>
        <w:t>Dramatic productions, exceptions from Act s. 6 for people connected with</w:t>
      </w:r>
      <w:bookmarkEnd w:id="39"/>
      <w:bookmarkEnd w:id="40"/>
      <w:bookmarkEnd w:id="41"/>
    </w:p>
    <w:p>
      <w:pPr>
        <w:pStyle w:val="Subsection"/>
      </w:pPr>
      <w:r>
        <w:tab/>
        <w:t>(1)</w:t>
      </w:r>
      <w:r>
        <w:tab/>
        <w:t xml:space="preserve">In this regulation — </w:t>
      </w:r>
    </w:p>
    <w:p>
      <w:pPr>
        <w:pStyle w:val="Defstart"/>
      </w:pPr>
      <w:r>
        <w:tab/>
      </w:r>
      <w:r>
        <w:rPr>
          <w:rStyle w:val="CharDefText"/>
        </w:rPr>
        <w:t>dramatic production</w:t>
      </w:r>
      <w:r>
        <w:t xml:space="preserve"> means a theatrical, television, film or other dramatic production;</w:t>
      </w:r>
    </w:p>
    <w:p>
      <w:pPr>
        <w:pStyle w:val="Defstart"/>
      </w:pPr>
      <w:r>
        <w:tab/>
      </w:r>
      <w:r>
        <w:rPr>
          <w:rStyle w:val="CharDefText"/>
        </w:rPr>
        <w:t>exemption notice</w:t>
      </w:r>
      <w:r>
        <w:t xml:space="preserve"> means a notice under subregulation (3);</w:t>
      </w:r>
    </w:p>
    <w:p>
      <w:pPr>
        <w:pStyle w:val="Defstart"/>
        <w:keepLines/>
      </w:pPr>
      <w:r>
        <w:tab/>
      </w:r>
      <w:r>
        <w:rPr>
          <w:rStyle w:val="CharDefText"/>
        </w:rPr>
        <w:t>exempt production</w:t>
      </w:r>
      <w:r>
        <w:t xml:space="preserve"> means a dramatic production in relation to which an exemption notice has been given and that has not ceased to be an exempt production because of a notice under subregulation (7);</w:t>
      </w:r>
    </w:p>
    <w:p>
      <w:pPr>
        <w:pStyle w:val="Defstart"/>
      </w:pPr>
      <w:r>
        <w:tab/>
      </w:r>
      <w:r>
        <w:rPr>
          <w:rStyle w:val="CharDefText"/>
        </w:rPr>
        <w:t>specified weapon</w:t>
      </w:r>
      <w:r>
        <w:t xml:space="preserve"> means a prohibited weapon specified in an exemption notice.</w:t>
      </w:r>
    </w:p>
    <w:p>
      <w:pPr>
        <w:pStyle w:val="Subsection"/>
      </w:pPr>
      <w:r>
        <w:tab/>
        <w:t>(2)</w:t>
      </w:r>
      <w:r>
        <w:tab/>
        <w:t>The producer of a dramatic production may apply in writing to the Commissioner of Police for an exemption notice.</w:t>
      </w:r>
    </w:p>
    <w:p>
      <w:pPr>
        <w:pStyle w:val="Subsection"/>
      </w:pPr>
      <w:r>
        <w:tab/>
        <w:t>(3)</w:t>
      </w:r>
      <w:r>
        <w:tab/>
        <w:t>If the Commissioner of Police is satisfied that —</w:t>
      </w:r>
    </w:p>
    <w:p>
      <w:pPr>
        <w:pStyle w:val="Indenta"/>
      </w:pPr>
      <w:r>
        <w:tab/>
        <w:t>(a)</w:t>
      </w:r>
      <w:r>
        <w:tab/>
        <w:t>a particular prohibited weapon is required in or for the dramatic production and for no other purpose; and</w:t>
      </w:r>
    </w:p>
    <w:p>
      <w:pPr>
        <w:pStyle w:val="Indenta"/>
      </w:pPr>
      <w:r>
        <w:tab/>
        <w:t>(b)</w:t>
      </w:r>
      <w:r>
        <w:tab/>
        <w:t>the producer is fit and proper to be a producer of an exempt production; and</w:t>
      </w:r>
    </w:p>
    <w:p>
      <w:pPr>
        <w:pStyle w:val="Indenta"/>
      </w:pPr>
      <w:r>
        <w:tab/>
        <w:t>(c)</w:t>
      </w:r>
      <w:r>
        <w:tab/>
        <w:t>if the prohibited weapon is to be manufactured in or for the production — the weapon will be manufactured safely; and</w:t>
      </w:r>
    </w:p>
    <w:p>
      <w:pPr>
        <w:pStyle w:val="Indenta"/>
      </w:pPr>
      <w:r>
        <w:tab/>
        <w:t>(d)</w:t>
      </w:r>
      <w:r>
        <w:tab/>
        <w:t>the prohibited weapon will be used only —</w:t>
      </w:r>
    </w:p>
    <w:p>
      <w:pPr>
        <w:pStyle w:val="Indenti"/>
      </w:pPr>
      <w:r>
        <w:tab/>
        <w:t>(i)</w:t>
      </w:r>
      <w:r>
        <w:tab/>
        <w:t>in or for the production; and</w:t>
      </w:r>
    </w:p>
    <w:p>
      <w:pPr>
        <w:pStyle w:val="Indenti"/>
      </w:pPr>
      <w:r>
        <w:tab/>
        <w:t>(ii)</w:t>
      </w:r>
      <w:r>
        <w:tab/>
        <w:t>in a safe manner;</w:t>
      </w:r>
    </w:p>
    <w:p>
      <w:pPr>
        <w:pStyle w:val="Indenta"/>
      </w:pPr>
      <w:r>
        <w:tab/>
      </w:r>
      <w:r>
        <w:tab/>
        <w:t>and</w:t>
      </w:r>
    </w:p>
    <w:p>
      <w:pPr>
        <w:pStyle w:val="Indenta"/>
      </w:pPr>
      <w:r>
        <w:tab/>
        <w:t>(e)</w:t>
      </w:r>
      <w:r>
        <w:tab/>
        <w:t>adequate arrangements exist to keep the prohibited weapon secure when it is not being used,</w:t>
      </w:r>
    </w:p>
    <w:p>
      <w:pPr>
        <w:pStyle w:val="Subsection"/>
      </w:pPr>
      <w:r>
        <w:tab/>
      </w:r>
      <w:r>
        <w:tab/>
        <w:t>the Commissioner of Police may give to the producer written notice permitting the use of the prohibited weapon in and for the production.</w:t>
      </w:r>
    </w:p>
    <w:p>
      <w:pPr>
        <w:pStyle w:val="Subsection"/>
      </w:pPr>
      <w:r>
        <w:tab/>
        <w:t>(4)</w:t>
      </w:r>
      <w:r>
        <w:tab/>
        <w:t>A person does not commit an offence under section 6 of the Act if that person —</w:t>
      </w:r>
    </w:p>
    <w:p>
      <w:pPr>
        <w:pStyle w:val="Indenta"/>
      </w:pPr>
      <w:r>
        <w:tab/>
        <w:t>(a)</w:t>
      </w:r>
      <w:r>
        <w:tab/>
        <w:t>brings or sends a specified weapon into the State; or</w:t>
      </w:r>
    </w:p>
    <w:p>
      <w:pPr>
        <w:pStyle w:val="Indenta"/>
      </w:pPr>
      <w:r>
        <w:tab/>
        <w:t>(b)</w:t>
      </w:r>
      <w:r>
        <w:tab/>
        <w:t>carries or possesses a specified weapon; or</w:t>
      </w:r>
    </w:p>
    <w:p>
      <w:pPr>
        <w:pStyle w:val="Indenta"/>
      </w:pPr>
      <w:r>
        <w:tab/>
        <w:t>(c)</w:t>
      </w:r>
      <w:r>
        <w:tab/>
        <w:t>purchases, sells or supplies a specified weapon; or</w:t>
      </w:r>
    </w:p>
    <w:p>
      <w:pPr>
        <w:pStyle w:val="Indenta"/>
        <w:keepNext/>
      </w:pPr>
      <w:r>
        <w:tab/>
        <w:t>(d)</w:t>
      </w:r>
      <w:r>
        <w:tab/>
        <w:t>manufactures a specified weapon,</w:t>
      </w:r>
    </w:p>
    <w:p>
      <w:pPr>
        <w:pStyle w:val="Subsection"/>
      </w:pPr>
      <w:r>
        <w:tab/>
      </w:r>
      <w:r>
        <w:tab/>
        <w:t>or attempts to do any of those things, if that person does so in or for the exempt production and for no other purpose.</w:t>
      </w:r>
    </w:p>
    <w:p>
      <w:pPr>
        <w:pStyle w:val="Subsection"/>
        <w:keepNext/>
      </w:pPr>
      <w:r>
        <w:tab/>
        <w:t>(5)</w:t>
      </w:r>
      <w:r>
        <w:tab/>
        <w:t>An exemption notice must specify —</w:t>
      </w:r>
    </w:p>
    <w:p>
      <w:pPr>
        <w:pStyle w:val="Indenta"/>
      </w:pPr>
      <w:r>
        <w:tab/>
        <w:t>(a)</w:t>
      </w:r>
      <w:r>
        <w:tab/>
        <w:t>that the specified weapon is to be lawfully disposed of after it ceases to be required in or for the exempt production; and</w:t>
      </w:r>
    </w:p>
    <w:p>
      <w:pPr>
        <w:pStyle w:val="Indenta"/>
      </w:pPr>
      <w:r>
        <w:tab/>
        <w:t>(b)</w:t>
      </w:r>
      <w:r>
        <w:tab/>
        <w:t>how the specified weapon may be lawfully disposed of.</w:t>
      </w:r>
    </w:p>
    <w:p>
      <w:pPr>
        <w:pStyle w:val="Subsection"/>
      </w:pPr>
      <w:r>
        <w:tab/>
        <w:t>(6)</w:t>
      </w:r>
      <w:r>
        <w:tab/>
        <w:t>A person does not commit an offence under section 6(1)(c) of the Act if that person disposes, or attempts to dispose, of a specified weapon in accordance with the exemption notice.</w:t>
      </w:r>
    </w:p>
    <w:p>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pPr>
        <w:pStyle w:val="Footnotesection"/>
      </w:pPr>
      <w:r>
        <w:tab/>
        <w:t>[Regulation 13 inserted: Gazette 8 Apr 2011 p. 1283</w:t>
      </w:r>
      <w:r>
        <w:noBreakHyphen/>
        <w:t>4.]</w:t>
      </w:r>
    </w:p>
    <w:p>
      <w:pPr>
        <w:pStyle w:val="Heading5"/>
      </w:pPr>
      <w:bookmarkStart w:id="42" w:name="_Toc379277877"/>
      <w:bookmarkStart w:id="43" w:name="_Toc425248174"/>
      <w:bookmarkStart w:id="44" w:name="_Toc486518673"/>
      <w:r>
        <w:rPr>
          <w:rStyle w:val="CharSectno"/>
        </w:rPr>
        <w:t>14</w:t>
      </w:r>
      <w:r>
        <w:t>.</w:t>
      </w:r>
      <w:r>
        <w:tab/>
        <w:t>Crossbows for competitions etc., excepting people from Act s. 6 in relation to</w:t>
      </w:r>
      <w:bookmarkEnd w:id="42"/>
      <w:bookmarkEnd w:id="43"/>
      <w:bookmarkEnd w:id="44"/>
    </w:p>
    <w:p>
      <w:pPr>
        <w:pStyle w:val="Subsection"/>
      </w:pPr>
      <w:r>
        <w:tab/>
        <w:t>(1)</w:t>
      </w:r>
      <w:r>
        <w:tab/>
        <w:t xml:space="preserve">In this regulation — </w:t>
      </w:r>
    </w:p>
    <w:p>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pPr>
        <w:pStyle w:val="Subsection"/>
        <w:keepNext/>
      </w:pPr>
      <w:r>
        <w:tab/>
        <w:t>(2)</w:t>
      </w:r>
      <w:r>
        <w:tab/>
        <w:t>An exempt arbalest or any other person who, for the purpose of selling or supplying a crossbow to an exempt arbalest —</w:t>
      </w:r>
    </w:p>
    <w:p>
      <w:pPr>
        <w:pStyle w:val="Indenta"/>
      </w:pPr>
      <w:r>
        <w:tab/>
        <w:t>(a)</w:t>
      </w:r>
      <w:r>
        <w:tab/>
        <w:t>brings or sends into the State a crossbow; or</w:t>
      </w:r>
    </w:p>
    <w:p>
      <w:pPr>
        <w:pStyle w:val="Indenta"/>
        <w:keepNext/>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arbalest who, for the purpose of engaging in the sport of crossbow archery, carries or possesses a crossbow does not commit an offence under section 6(1)(b) of the Act.</w:t>
      </w:r>
    </w:p>
    <w:p>
      <w:pPr>
        <w:pStyle w:val="Subsection"/>
      </w:pPr>
      <w:r>
        <w:tab/>
        <w:t>(4)</w:t>
      </w:r>
      <w:r>
        <w:tab/>
        <w:t>An exempt arbalest or any other person who, for the purpose of selling or supplying a crossbow to an exempt arbalest, carries or possesses a crossbow does not commit an offence under section 6(1)(b) of the Act.</w:t>
      </w:r>
    </w:p>
    <w:p>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pPr>
        <w:pStyle w:val="Subsection"/>
      </w:pPr>
      <w:r>
        <w:tab/>
        <w:t>(6)</w:t>
      </w:r>
      <w:r>
        <w:tab/>
        <w:t>If the Minister is satisfied that —</w:t>
      </w:r>
    </w:p>
    <w:p>
      <w:pPr>
        <w:pStyle w:val="Indenta"/>
      </w:pPr>
      <w:r>
        <w:tab/>
        <w:t>(a)</w:t>
      </w:r>
      <w:r>
        <w:tab/>
        <w:t>a person was on or before 1 July 2011 an Archery Australia (Inc.) member; and</w:t>
      </w:r>
    </w:p>
    <w:p>
      <w:pPr>
        <w:pStyle w:val="Indenta"/>
      </w:pPr>
      <w:r>
        <w:tab/>
        <w:t>(b)</w:t>
      </w:r>
      <w:r>
        <w:tab/>
        <w:t>on or before 1 July 2011 the person possessed a crossbow for the purposes of taking part in crossbow events or competition; and</w:t>
      </w:r>
    </w:p>
    <w:p>
      <w:pPr>
        <w:pStyle w:val="Indenta"/>
      </w:pPr>
      <w:r>
        <w:tab/>
        <w:t>(c)</w:t>
      </w:r>
      <w:r>
        <w:tab/>
        <w:t>the person is fit and proper to be an exempt arbalest; and</w:t>
      </w:r>
    </w:p>
    <w:p>
      <w:pPr>
        <w:pStyle w:val="Indenta"/>
      </w:pPr>
      <w:r>
        <w:tab/>
        <w:t>(d)</w:t>
      </w:r>
      <w:r>
        <w:tab/>
        <w:t>adequate arrangements exist to keep each of the person’s crossbows secure,</w:t>
      </w:r>
    </w:p>
    <w:p>
      <w:pPr>
        <w:pStyle w:val="Subsection"/>
      </w:pPr>
      <w:r>
        <w:tab/>
      </w:r>
      <w:r>
        <w:tab/>
        <w:t>the Minister may give to the person written notice that the person is an exempt arbalest.</w:t>
      </w:r>
    </w:p>
    <w:p>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pPr>
        <w:pStyle w:val="Footnotesection"/>
      </w:pPr>
      <w:r>
        <w:tab/>
        <w:t>[Regulation 14 inserted: Gazette 8 Apr 2011 p. 1284</w:t>
      </w:r>
      <w:r>
        <w:noBreakHyphen/>
        <w:t>6.]</w:t>
      </w:r>
    </w:p>
    <w:p>
      <w:pPr>
        <w:pStyle w:val="Ednotesection"/>
      </w:pPr>
      <w:r>
        <w:t>[</w:t>
      </w:r>
      <w:r>
        <w:rPr>
          <w:b/>
        </w:rPr>
        <w:t>15.</w:t>
      </w:r>
      <w:r>
        <w:tab/>
        <w:t>Expired 30 Jun 2017 </w:t>
      </w:r>
      <w:r>
        <w:rPr>
          <w:vertAlign w:val="superscript"/>
        </w:rPr>
        <w:t>2</w:t>
      </w:r>
      <w:r>
        <w:t>.]</w:t>
      </w:r>
    </w:p>
    <w:p>
      <w:pPr>
        <w:pStyle w:val="Subsection"/>
      </w:pP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5" w:name="_Toc379277879"/>
      <w:bookmarkStart w:id="46" w:name="_Toc425248138"/>
      <w:bookmarkStart w:id="47" w:name="_Toc425248176"/>
      <w:bookmarkStart w:id="48" w:name="_Toc425248572"/>
      <w:bookmarkStart w:id="49" w:name="_Toc425248605"/>
      <w:bookmarkStart w:id="50" w:name="_Toc468112999"/>
      <w:bookmarkStart w:id="51" w:name="_Toc468113106"/>
      <w:bookmarkStart w:id="52" w:name="_Toc468113130"/>
      <w:bookmarkStart w:id="53" w:name="_Toc486518674"/>
      <w:r>
        <w:rPr>
          <w:rStyle w:val="CharSchNo"/>
        </w:rPr>
        <w:t>Schedule 1</w:t>
      </w:r>
      <w:r>
        <w:t xml:space="preserve"> — </w:t>
      </w:r>
      <w:r>
        <w:rPr>
          <w:rStyle w:val="CharSchText"/>
        </w:rPr>
        <w:t>Prohibited weapons</w:t>
      </w:r>
      <w:bookmarkEnd w:id="45"/>
      <w:bookmarkEnd w:id="46"/>
      <w:bookmarkEnd w:id="47"/>
      <w:bookmarkEnd w:id="48"/>
      <w:bookmarkEnd w:id="49"/>
      <w:bookmarkEnd w:id="50"/>
      <w:bookmarkEnd w:id="51"/>
      <w:bookmarkEnd w:id="52"/>
      <w:bookmarkEnd w:id="53"/>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31"/>
        <w:gridCol w:w="1726"/>
        <w:gridCol w:w="4788"/>
      </w:tblGrid>
      <w:tr>
        <w:trPr>
          <w:tblHeader/>
        </w:trPr>
        <w:tc>
          <w:tcPr>
            <w:tcW w:w="755" w:type="dxa"/>
            <w:gridSpan w:val="2"/>
          </w:tcPr>
          <w:p>
            <w:pPr>
              <w:pStyle w:val="yTable"/>
              <w:rPr>
                <w:b/>
              </w:rPr>
            </w:pPr>
            <w:r>
              <w:rPr>
                <w:b/>
              </w:rPr>
              <w:t>Item</w:t>
            </w:r>
          </w:p>
        </w:tc>
        <w:tc>
          <w:tcPr>
            <w:tcW w:w="1726" w:type="dxa"/>
          </w:tcPr>
          <w:p>
            <w:pPr>
              <w:pStyle w:val="yTable"/>
              <w:rPr>
                <w:b/>
              </w:rPr>
            </w:pPr>
            <w:r>
              <w:rPr>
                <w:b/>
              </w:rPr>
              <w:t>Article</w:t>
            </w:r>
          </w:p>
        </w:tc>
        <w:tc>
          <w:tcPr>
            <w:tcW w:w="4788" w:type="dxa"/>
          </w:tcPr>
          <w:p>
            <w:pPr>
              <w:pStyle w:val="yTable"/>
              <w:rPr>
                <w:b/>
              </w:rPr>
            </w:pPr>
            <w:r>
              <w:rPr>
                <w:b/>
              </w:rPr>
              <w:t>Description</w:t>
            </w:r>
          </w:p>
        </w:tc>
      </w:tr>
      <w:tr>
        <w:tc>
          <w:tcPr>
            <w:tcW w:w="755" w:type="dxa"/>
            <w:gridSpan w:val="2"/>
          </w:tcPr>
          <w:p>
            <w:pPr>
              <w:pStyle w:val="yTable"/>
            </w:pPr>
            <w:r>
              <w:t>1.</w:t>
            </w:r>
          </w:p>
        </w:tc>
        <w:tc>
          <w:tcPr>
            <w:tcW w:w="1726"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755" w:type="dxa"/>
            <w:gridSpan w:val="2"/>
          </w:tcPr>
          <w:p>
            <w:pPr>
              <w:pStyle w:val="yTable"/>
            </w:pPr>
            <w:r>
              <w:t>2.</w:t>
            </w:r>
          </w:p>
        </w:tc>
        <w:tc>
          <w:tcPr>
            <w:tcW w:w="1726" w:type="dxa"/>
          </w:tcPr>
          <w:p>
            <w:pPr>
              <w:pStyle w:val="yTable"/>
            </w:pPr>
            <w:r>
              <w:t>Ballistic knife</w:t>
            </w:r>
          </w:p>
        </w:tc>
        <w:tc>
          <w:tcPr>
            <w:tcW w:w="4788" w:type="dxa"/>
          </w:tcPr>
          <w:p>
            <w:pPr>
              <w:pStyle w:val="yTable"/>
            </w:pPr>
            <w:r>
              <w:t>An article made or modified to be used to discharge a knife and includes the knife.</w:t>
            </w:r>
          </w:p>
        </w:tc>
      </w:tr>
      <w:tr>
        <w:tc>
          <w:tcPr>
            <w:tcW w:w="755" w:type="dxa"/>
            <w:gridSpan w:val="2"/>
          </w:tcPr>
          <w:p>
            <w:pPr>
              <w:pStyle w:val="yTable"/>
            </w:pPr>
            <w:r>
              <w:t>3.</w:t>
            </w:r>
          </w:p>
        </w:tc>
        <w:tc>
          <w:tcPr>
            <w:tcW w:w="1726"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755" w:type="dxa"/>
            <w:gridSpan w:val="2"/>
          </w:tcPr>
          <w:p>
            <w:pPr>
              <w:pStyle w:val="yTable"/>
            </w:pPr>
            <w:r>
              <w:t>4.</w:t>
            </w:r>
          </w:p>
        </w:tc>
        <w:tc>
          <w:tcPr>
            <w:tcW w:w="1726"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755" w:type="dxa"/>
            <w:gridSpan w:val="2"/>
          </w:tcPr>
          <w:p>
            <w:pPr>
              <w:pStyle w:val="yTable"/>
            </w:pPr>
            <w:r>
              <w:t>5.</w:t>
            </w:r>
          </w:p>
        </w:tc>
        <w:tc>
          <w:tcPr>
            <w:tcW w:w="1726"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755" w:type="dxa"/>
            <w:gridSpan w:val="2"/>
          </w:tcPr>
          <w:p>
            <w:pPr>
              <w:pStyle w:val="yTable"/>
            </w:pPr>
            <w:r>
              <w:t>6.</w:t>
            </w:r>
          </w:p>
        </w:tc>
        <w:tc>
          <w:tcPr>
            <w:tcW w:w="1726"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755" w:type="dxa"/>
            <w:gridSpan w:val="2"/>
          </w:tcPr>
          <w:p>
            <w:pPr>
              <w:pStyle w:val="yTable"/>
            </w:pPr>
            <w:r>
              <w:t>7A.</w:t>
            </w:r>
          </w:p>
        </w:tc>
        <w:tc>
          <w:tcPr>
            <w:tcW w:w="1726" w:type="dxa"/>
          </w:tcPr>
          <w:p>
            <w:pPr>
              <w:pStyle w:val="yTable"/>
            </w:pPr>
            <w:r>
              <w:t>Crossbow</w:t>
            </w:r>
          </w:p>
        </w:tc>
        <w:tc>
          <w:tcPr>
            <w:tcW w:w="4788" w:type="dxa"/>
          </w:tcPr>
          <w:p>
            <w:pPr>
              <w:pStyle w:val="yTable"/>
            </w:pPr>
            <w:r>
              <w:t>An article made or modified to be used with one or 2 hands to discharge a missile by an elastic force across a stock grooved to direct the missile and includes the missile.</w:t>
            </w:r>
          </w:p>
        </w:tc>
      </w:tr>
      <w:tr>
        <w:tc>
          <w:tcPr>
            <w:tcW w:w="755" w:type="dxa"/>
            <w:gridSpan w:val="2"/>
          </w:tcPr>
          <w:p>
            <w:pPr>
              <w:pStyle w:val="yTable"/>
            </w:pPr>
            <w:r>
              <w:t>7.</w:t>
            </w:r>
          </w:p>
        </w:tc>
        <w:tc>
          <w:tcPr>
            <w:tcW w:w="1726"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755" w:type="dxa"/>
            <w:gridSpan w:val="2"/>
          </w:tcPr>
          <w:p>
            <w:pPr>
              <w:pStyle w:val="yTable"/>
            </w:pPr>
            <w:r>
              <w:t>8.</w:t>
            </w:r>
          </w:p>
        </w:tc>
        <w:tc>
          <w:tcPr>
            <w:tcW w:w="1726"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755" w:type="dxa"/>
            <w:gridSpan w:val="2"/>
          </w:tcPr>
          <w:p>
            <w:pPr>
              <w:pStyle w:val="yTable"/>
            </w:pPr>
            <w:r>
              <w:t>9.</w:t>
            </w:r>
          </w:p>
        </w:tc>
        <w:tc>
          <w:tcPr>
            <w:tcW w:w="1726"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755" w:type="dxa"/>
            <w:gridSpan w:val="2"/>
          </w:tcPr>
          <w:p>
            <w:pPr>
              <w:pStyle w:val="yTable"/>
            </w:pPr>
            <w:r>
              <w:t>10.</w:t>
            </w:r>
          </w:p>
        </w:tc>
        <w:tc>
          <w:tcPr>
            <w:tcW w:w="1726"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755" w:type="dxa"/>
            <w:gridSpan w:val="2"/>
          </w:tcPr>
          <w:p>
            <w:pPr>
              <w:pStyle w:val="yTable"/>
            </w:pPr>
            <w:r>
              <w:t>11.</w:t>
            </w:r>
          </w:p>
        </w:tc>
        <w:tc>
          <w:tcPr>
            <w:tcW w:w="1726"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755" w:type="dxa"/>
            <w:gridSpan w:val="2"/>
          </w:tcPr>
          <w:p>
            <w:pPr>
              <w:pStyle w:val="yTable"/>
            </w:pPr>
            <w:r>
              <w:t>11A.</w:t>
            </w:r>
          </w:p>
        </w:tc>
        <w:tc>
          <w:tcPr>
            <w:tcW w:w="1726"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755" w:type="dxa"/>
            <w:gridSpan w:val="2"/>
          </w:tcPr>
          <w:p>
            <w:pPr>
              <w:pStyle w:val="yTable"/>
            </w:pPr>
            <w:r>
              <w:t>12.</w:t>
            </w:r>
          </w:p>
        </w:tc>
        <w:tc>
          <w:tcPr>
            <w:tcW w:w="1726"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755" w:type="dxa"/>
            <w:gridSpan w:val="2"/>
          </w:tcPr>
          <w:p>
            <w:pPr>
              <w:pStyle w:val="yTable"/>
            </w:pPr>
            <w:r>
              <w:t>13.</w:t>
            </w:r>
          </w:p>
        </w:tc>
        <w:tc>
          <w:tcPr>
            <w:tcW w:w="1726"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2481" w:type="dxa"/>
            <w:gridSpan w:val="3"/>
          </w:tcPr>
          <w:p>
            <w:pPr>
              <w:pStyle w:val="yTable"/>
              <w:tabs>
                <w:tab w:val="left" w:pos="600"/>
              </w:tabs>
            </w:pPr>
            <w:r>
              <w:rPr>
                <w:i/>
              </w:rPr>
              <w:t>[14.</w:t>
            </w:r>
            <w:r>
              <w:rPr>
                <w:i/>
              </w:rPr>
              <w:tab/>
              <w:t>deleted]</w:t>
            </w:r>
          </w:p>
        </w:tc>
        <w:tc>
          <w:tcPr>
            <w:tcW w:w="4788" w:type="dxa"/>
          </w:tcPr>
          <w:p>
            <w:pPr>
              <w:pStyle w:val="yTable"/>
            </w:pPr>
          </w:p>
        </w:tc>
      </w:tr>
      <w:tr>
        <w:trPr>
          <w:cantSplit/>
        </w:trPr>
        <w:tc>
          <w:tcPr>
            <w:tcW w:w="624" w:type="dxa"/>
          </w:tcPr>
          <w:p>
            <w:pPr>
              <w:pStyle w:val="yTable"/>
            </w:pPr>
            <w:r>
              <w:t>15.</w:t>
            </w:r>
          </w:p>
        </w:tc>
        <w:tc>
          <w:tcPr>
            <w:tcW w:w="1857" w:type="dxa"/>
            <w:gridSpan w:val="2"/>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Gazette 11 Sep 2007 p. 4613; 8 Apr 2011 p. 1286.]</w:t>
      </w:r>
    </w:p>
    <w:p>
      <w:pPr>
        <w:pStyle w:val="yScheduleHeading"/>
      </w:pPr>
      <w:bookmarkStart w:id="54" w:name="_Toc379277880"/>
      <w:bookmarkStart w:id="55" w:name="_Toc425248139"/>
      <w:bookmarkStart w:id="56" w:name="_Toc425248177"/>
      <w:bookmarkStart w:id="57" w:name="_Toc425248573"/>
      <w:bookmarkStart w:id="58" w:name="_Toc425248606"/>
      <w:bookmarkStart w:id="59" w:name="_Toc468113000"/>
      <w:bookmarkStart w:id="60" w:name="_Toc468113107"/>
      <w:bookmarkStart w:id="61" w:name="_Toc468113131"/>
      <w:bookmarkStart w:id="62" w:name="_Toc486518675"/>
      <w:r>
        <w:rPr>
          <w:rStyle w:val="CharSchNo"/>
        </w:rPr>
        <w:t>Schedule 2</w:t>
      </w:r>
      <w:r>
        <w:t xml:space="preserve"> — </w:t>
      </w:r>
      <w:r>
        <w:rPr>
          <w:rStyle w:val="CharSchText"/>
        </w:rPr>
        <w:t>Controlled weapons</w:t>
      </w:r>
      <w:bookmarkEnd w:id="54"/>
      <w:bookmarkEnd w:id="55"/>
      <w:bookmarkEnd w:id="56"/>
      <w:bookmarkEnd w:id="57"/>
      <w:bookmarkEnd w:id="58"/>
      <w:bookmarkEnd w:id="59"/>
      <w:bookmarkEnd w:id="60"/>
      <w:bookmarkEnd w:id="61"/>
      <w:bookmarkEnd w:id="62"/>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869"/>
        <w:gridCol w:w="1612"/>
        <w:gridCol w:w="4760"/>
      </w:tblGrid>
      <w:tr>
        <w:trPr>
          <w:cantSplit/>
          <w:tblHeader/>
        </w:trPr>
        <w:tc>
          <w:tcPr>
            <w:tcW w:w="869" w:type="dxa"/>
          </w:tcPr>
          <w:p>
            <w:pPr>
              <w:pStyle w:val="yTable"/>
              <w:rPr>
                <w:b/>
              </w:rPr>
            </w:pPr>
            <w:r>
              <w:rPr>
                <w:b/>
              </w:rPr>
              <w:t>Item</w:t>
            </w:r>
          </w:p>
        </w:tc>
        <w:tc>
          <w:tcPr>
            <w:tcW w:w="1612" w:type="dxa"/>
          </w:tcPr>
          <w:p>
            <w:pPr>
              <w:pStyle w:val="yTable"/>
              <w:rPr>
                <w:b/>
              </w:rPr>
            </w:pPr>
            <w:r>
              <w:rPr>
                <w:b/>
              </w:rPr>
              <w:t>Article</w:t>
            </w:r>
          </w:p>
        </w:tc>
        <w:tc>
          <w:tcPr>
            <w:tcW w:w="4760" w:type="dxa"/>
          </w:tcPr>
          <w:p>
            <w:pPr>
              <w:pStyle w:val="yTable"/>
              <w:rPr>
                <w:b/>
              </w:rPr>
            </w:pPr>
            <w:r>
              <w:rPr>
                <w:b/>
              </w:rPr>
              <w:t>Description</w:t>
            </w:r>
          </w:p>
        </w:tc>
      </w:tr>
      <w:tr>
        <w:trPr>
          <w:cantSplit/>
        </w:trPr>
        <w:tc>
          <w:tcPr>
            <w:tcW w:w="869" w:type="dxa"/>
          </w:tcPr>
          <w:p>
            <w:pPr>
              <w:pStyle w:val="yTable"/>
            </w:pPr>
            <w:r>
              <w:t>1.</w:t>
            </w:r>
          </w:p>
        </w:tc>
        <w:tc>
          <w:tcPr>
            <w:tcW w:w="1612" w:type="dxa"/>
          </w:tcPr>
          <w:p>
            <w:pPr>
              <w:pStyle w:val="yTable"/>
            </w:pPr>
            <w:r>
              <w:t>Approved electric shock case</w:t>
            </w:r>
          </w:p>
        </w:tc>
        <w:tc>
          <w:tcPr>
            <w:tcW w:w="4760" w:type="dxa"/>
          </w:tcPr>
          <w:p>
            <w:pPr>
              <w:pStyle w:val="yTable"/>
            </w:pPr>
            <w:r>
              <w:t>Any approved electric shock case.</w:t>
            </w:r>
          </w:p>
        </w:tc>
      </w:tr>
      <w:tr>
        <w:trPr>
          <w:cantSplit/>
        </w:trPr>
        <w:tc>
          <w:tcPr>
            <w:tcW w:w="869" w:type="dxa"/>
          </w:tcPr>
          <w:p>
            <w:pPr>
              <w:pStyle w:val="yTable"/>
            </w:pPr>
            <w:r>
              <w:t>2.</w:t>
            </w:r>
          </w:p>
        </w:tc>
        <w:tc>
          <w:tcPr>
            <w:tcW w:w="1612"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869" w:type="dxa"/>
          </w:tcPr>
          <w:p>
            <w:pPr>
              <w:pStyle w:val="yTable"/>
            </w:pPr>
            <w:r>
              <w:t>3.</w:t>
            </w:r>
          </w:p>
        </w:tc>
        <w:tc>
          <w:tcPr>
            <w:tcW w:w="1612"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869" w:type="dxa"/>
          </w:tcPr>
          <w:p>
            <w:pPr>
              <w:pStyle w:val="yTable"/>
            </w:pPr>
            <w:r>
              <w:t>4.</w:t>
            </w:r>
          </w:p>
        </w:tc>
        <w:tc>
          <w:tcPr>
            <w:tcW w:w="1612" w:type="dxa"/>
          </w:tcPr>
          <w:p>
            <w:pPr>
              <w:pStyle w:val="yTable"/>
            </w:pPr>
            <w:r>
              <w:t>Captive bolt gun</w:t>
            </w:r>
          </w:p>
        </w:tc>
        <w:tc>
          <w:tcPr>
            <w:tcW w:w="4760" w:type="dxa"/>
          </w:tcPr>
          <w:p>
            <w:pPr>
              <w:pStyle w:val="yTable"/>
            </w:pPr>
            <w:r>
              <w:t>An article made or modified to be used for slaughtering an animal by means of a bolt that is fired into the animal but remains part of the article before and after the firing.</w:t>
            </w:r>
          </w:p>
        </w:tc>
      </w:tr>
      <w:tr>
        <w:trPr>
          <w:cantSplit/>
        </w:trPr>
        <w:tc>
          <w:tcPr>
            <w:tcW w:w="869" w:type="dxa"/>
          </w:tcPr>
          <w:p>
            <w:pPr>
              <w:pStyle w:val="yTable"/>
            </w:pPr>
            <w:r>
              <w:t>5.</w:t>
            </w:r>
          </w:p>
        </w:tc>
        <w:tc>
          <w:tcPr>
            <w:tcW w:w="1612"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869" w:type="dxa"/>
          </w:tcPr>
          <w:p>
            <w:pPr>
              <w:pStyle w:val="yTable"/>
            </w:pPr>
            <w:r>
              <w:t>6.</w:t>
            </w:r>
          </w:p>
        </w:tc>
        <w:tc>
          <w:tcPr>
            <w:tcW w:w="1612"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869" w:type="dxa"/>
          </w:tcPr>
          <w:p>
            <w:pPr>
              <w:pStyle w:val="yTable"/>
            </w:pPr>
            <w:r>
              <w:t>7.</w:t>
            </w:r>
          </w:p>
        </w:tc>
        <w:tc>
          <w:tcPr>
            <w:tcW w:w="1612"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869" w:type="dxa"/>
          </w:tcPr>
          <w:p>
            <w:pPr>
              <w:pStyle w:val="yTable"/>
            </w:pPr>
            <w:r>
              <w:t>8.</w:t>
            </w:r>
          </w:p>
        </w:tc>
        <w:tc>
          <w:tcPr>
            <w:tcW w:w="1612"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869" w:type="dxa"/>
          </w:tcPr>
          <w:p>
            <w:pPr>
              <w:pStyle w:val="yTable"/>
            </w:pPr>
            <w:r>
              <w:t>9.</w:t>
            </w:r>
          </w:p>
        </w:tc>
        <w:tc>
          <w:tcPr>
            <w:tcW w:w="1612"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869" w:type="dxa"/>
          </w:tcPr>
          <w:p>
            <w:pPr>
              <w:pStyle w:val="yTable"/>
            </w:pPr>
            <w:r>
              <w:t>10.</w:t>
            </w:r>
          </w:p>
        </w:tc>
        <w:tc>
          <w:tcPr>
            <w:tcW w:w="1612"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869" w:type="dxa"/>
          </w:tcPr>
          <w:p>
            <w:pPr>
              <w:pStyle w:val="yTable"/>
            </w:pPr>
            <w:r>
              <w:t>10AA.</w:t>
            </w:r>
          </w:p>
        </w:tc>
        <w:tc>
          <w:tcPr>
            <w:tcW w:w="1612"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869" w:type="dxa"/>
          </w:tcPr>
          <w:p>
            <w:pPr>
              <w:pStyle w:val="yTable"/>
            </w:pPr>
            <w:r>
              <w:t>10A.</w:t>
            </w:r>
          </w:p>
        </w:tc>
        <w:tc>
          <w:tcPr>
            <w:tcW w:w="1612"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869" w:type="dxa"/>
          </w:tcPr>
          <w:p>
            <w:pPr>
              <w:pStyle w:val="yTable"/>
            </w:pPr>
            <w:r>
              <w:t>11.</w:t>
            </w:r>
          </w:p>
        </w:tc>
        <w:tc>
          <w:tcPr>
            <w:tcW w:w="1612"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869" w:type="dxa"/>
          </w:tcPr>
          <w:p>
            <w:pPr>
              <w:pStyle w:val="yTable"/>
            </w:pPr>
            <w:r>
              <w:t>12.</w:t>
            </w:r>
          </w:p>
        </w:tc>
        <w:tc>
          <w:tcPr>
            <w:tcW w:w="1612"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869" w:type="dxa"/>
          </w:tcPr>
          <w:p>
            <w:pPr>
              <w:pStyle w:val="yTable"/>
            </w:pPr>
            <w:r>
              <w:t>13.</w:t>
            </w:r>
          </w:p>
        </w:tc>
        <w:tc>
          <w:tcPr>
            <w:tcW w:w="1612"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869" w:type="dxa"/>
          </w:tcPr>
          <w:p>
            <w:pPr>
              <w:pStyle w:val="yTable"/>
            </w:pPr>
            <w:r>
              <w:t>14.</w:t>
            </w:r>
          </w:p>
        </w:tc>
        <w:tc>
          <w:tcPr>
            <w:tcW w:w="1612" w:type="dxa"/>
          </w:tcPr>
          <w:p>
            <w:pPr>
              <w:pStyle w:val="yTable"/>
            </w:pPr>
            <w:r>
              <w:t>Sickle or scythe weapon</w:t>
            </w:r>
          </w:p>
        </w:tc>
        <w:tc>
          <w:tcPr>
            <w:tcW w:w="4760" w:type="dxa"/>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869" w:type="dxa"/>
          </w:tcPr>
          <w:p>
            <w:pPr>
              <w:pStyle w:val="yTable"/>
            </w:pPr>
            <w:r>
              <w:t>15.</w:t>
            </w:r>
          </w:p>
        </w:tc>
        <w:tc>
          <w:tcPr>
            <w:tcW w:w="1612" w:type="dxa"/>
          </w:tcPr>
          <w:p>
            <w:pPr>
              <w:pStyle w:val="yTable"/>
            </w:pPr>
            <w:r>
              <w:t>Spear</w:t>
            </w:r>
          </w:p>
        </w:tc>
        <w:tc>
          <w:tcPr>
            <w:tcW w:w="4760" w:type="dxa"/>
          </w:tcPr>
          <w:p>
            <w:pPr>
              <w:pStyle w:val="yTable"/>
            </w:pPr>
            <w:r>
              <w:t>Any spear (e.g. the martial arts weapon known as the yari).</w:t>
            </w:r>
          </w:p>
        </w:tc>
      </w:tr>
      <w:tr>
        <w:trPr>
          <w:cantSplit/>
        </w:trPr>
        <w:tc>
          <w:tcPr>
            <w:tcW w:w="869" w:type="dxa"/>
          </w:tcPr>
          <w:p>
            <w:pPr>
              <w:pStyle w:val="yTable"/>
            </w:pPr>
            <w:r>
              <w:t>16.</w:t>
            </w:r>
          </w:p>
        </w:tc>
        <w:tc>
          <w:tcPr>
            <w:tcW w:w="1612"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869" w:type="dxa"/>
          </w:tcPr>
          <w:p>
            <w:pPr>
              <w:pStyle w:val="yTable"/>
            </w:pPr>
            <w:r>
              <w:t>17.</w:t>
            </w:r>
          </w:p>
        </w:tc>
        <w:tc>
          <w:tcPr>
            <w:tcW w:w="1612"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869" w:type="dxa"/>
          </w:tcPr>
          <w:p>
            <w:pPr>
              <w:pStyle w:val="yTable"/>
            </w:pPr>
            <w:r>
              <w:t>18.</w:t>
            </w:r>
          </w:p>
        </w:tc>
        <w:tc>
          <w:tcPr>
            <w:tcW w:w="1612"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869" w:type="dxa"/>
          </w:tcPr>
          <w:p>
            <w:pPr>
              <w:pStyle w:val="yTable"/>
            </w:pPr>
            <w:r>
              <w:t>19.</w:t>
            </w:r>
          </w:p>
        </w:tc>
        <w:tc>
          <w:tcPr>
            <w:tcW w:w="1612"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869" w:type="dxa"/>
          </w:tcPr>
          <w:p>
            <w:pPr>
              <w:pStyle w:val="yTable"/>
            </w:pPr>
            <w:r>
              <w:t>20.</w:t>
            </w:r>
          </w:p>
        </w:tc>
        <w:tc>
          <w:tcPr>
            <w:tcW w:w="1612"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869" w:type="dxa"/>
          </w:tcPr>
          <w:p>
            <w:pPr>
              <w:pStyle w:val="yTable"/>
            </w:pPr>
            <w:r>
              <w:t>21.</w:t>
            </w:r>
          </w:p>
        </w:tc>
        <w:tc>
          <w:tcPr>
            <w:tcW w:w="1612"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869" w:type="dxa"/>
          </w:tcPr>
          <w:p>
            <w:pPr>
              <w:pStyle w:val="yTable"/>
            </w:pPr>
            <w:r>
              <w:t>22.</w:t>
            </w:r>
          </w:p>
        </w:tc>
        <w:tc>
          <w:tcPr>
            <w:tcW w:w="1612"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Gazette 1 Oct 2004 p. 4284; 11 Apr 2008 p. 1392; 8 Apr 2011 p. 1286; 29 Nov 2016 p. 5323.]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64" w:name="_Toc379277881"/>
      <w:bookmarkStart w:id="65" w:name="_Toc425248140"/>
      <w:bookmarkStart w:id="66" w:name="_Toc425248178"/>
      <w:bookmarkStart w:id="67" w:name="_Toc425248574"/>
      <w:bookmarkStart w:id="68" w:name="_Toc425248607"/>
      <w:bookmarkStart w:id="69" w:name="_Toc468113001"/>
      <w:bookmarkStart w:id="70" w:name="_Toc468113108"/>
      <w:bookmarkStart w:id="71" w:name="_Toc468113132"/>
      <w:bookmarkStart w:id="72" w:name="_Toc486518676"/>
      <w:r>
        <w:t>Notes</w:t>
      </w:r>
      <w:bookmarkEnd w:id="64"/>
      <w:bookmarkEnd w:id="65"/>
      <w:bookmarkEnd w:id="66"/>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73" w:name="_Toc379277882"/>
      <w:bookmarkStart w:id="74" w:name="_Toc425248179"/>
      <w:bookmarkStart w:id="75" w:name="_Toc486518677"/>
      <w:r>
        <w:t>Compilation table</w:t>
      </w:r>
      <w:bookmarkEnd w:id="73"/>
      <w:bookmarkEnd w:id="74"/>
      <w:bookmarkEnd w:id="75"/>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1"/>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ind w:left="35"/>
              <w:rPr>
                <w:b/>
              </w:rPr>
            </w:pPr>
            <w:r>
              <w:rPr>
                <w:b/>
              </w:rPr>
              <w:t>Commencement</w:t>
            </w:r>
          </w:p>
        </w:tc>
      </w:tr>
      <w:tr>
        <w:trPr>
          <w:cantSplit/>
        </w:trPr>
        <w:tc>
          <w:tcPr>
            <w:tcW w:w="3119" w:type="dxa"/>
            <w:tcBorders>
              <w:top w:val="single" w:sz="8" w:space="0" w:color="auto"/>
            </w:tcBorders>
          </w:tcPr>
          <w:p>
            <w:pPr>
              <w:pStyle w:val="nTable"/>
              <w:spacing w:after="40"/>
              <w:ind w:right="113"/>
            </w:pPr>
            <w:r>
              <w:rPr>
                <w:i/>
              </w:rPr>
              <w:t>Weapons Regulations 1999</w:t>
            </w:r>
          </w:p>
        </w:tc>
        <w:tc>
          <w:tcPr>
            <w:tcW w:w="1276" w:type="dxa"/>
            <w:tcBorders>
              <w:top w:val="single" w:sz="8" w:space="0" w:color="auto"/>
            </w:tcBorders>
          </w:tcPr>
          <w:p>
            <w:pPr>
              <w:pStyle w:val="nTable"/>
              <w:spacing w:after="40"/>
              <w:ind w:left="51"/>
            </w:pPr>
            <w:r>
              <w:t>31 Aug 1999 p. 4225</w:t>
            </w:r>
            <w:r>
              <w:noBreakHyphen/>
              <w:t>32</w:t>
            </w:r>
          </w:p>
        </w:tc>
        <w:tc>
          <w:tcPr>
            <w:tcW w:w="2693" w:type="dxa"/>
            <w:tcBorders>
              <w:top w:val="single" w:sz="8" w:space="0" w:color="auto"/>
            </w:tcBorders>
          </w:tcPr>
          <w:p>
            <w:pPr>
              <w:pStyle w:val="nTable"/>
              <w:spacing w:after="40"/>
              <w:ind w:left="35"/>
            </w:pPr>
            <w:r>
              <w:t xml:space="preserve">1 Sep 1999 (see r. 2 and </w:t>
            </w:r>
            <w:r>
              <w:rPr>
                <w:i/>
              </w:rPr>
              <w:t>Gazette</w:t>
            </w:r>
            <w:r>
              <w:t xml:space="preserve"> 31 Aug 1999 p. 4235)</w:t>
            </w:r>
          </w:p>
        </w:tc>
      </w:tr>
      <w:tr>
        <w:trPr>
          <w:cantSplit/>
        </w:trPr>
        <w:tc>
          <w:tcPr>
            <w:tcW w:w="3119" w:type="dxa"/>
          </w:tcPr>
          <w:p>
            <w:pPr>
              <w:pStyle w:val="nTable"/>
              <w:spacing w:after="40"/>
              <w:ind w:right="113"/>
              <w:rPr>
                <w:i/>
              </w:rPr>
            </w:pPr>
            <w:r>
              <w:rPr>
                <w:i/>
              </w:rPr>
              <w:t>Weapons Amendment Regulations 2000</w:t>
            </w:r>
          </w:p>
        </w:tc>
        <w:tc>
          <w:tcPr>
            <w:tcW w:w="1276" w:type="dxa"/>
          </w:tcPr>
          <w:p>
            <w:pPr>
              <w:pStyle w:val="nTable"/>
              <w:spacing w:after="40"/>
              <w:ind w:left="51"/>
            </w:pPr>
            <w:r>
              <w:t>29 Feb 2000 p. 997</w:t>
            </w:r>
            <w:r>
              <w:noBreakHyphen/>
              <w:t>8</w:t>
            </w:r>
          </w:p>
        </w:tc>
        <w:tc>
          <w:tcPr>
            <w:tcW w:w="2693" w:type="dxa"/>
          </w:tcPr>
          <w:p>
            <w:pPr>
              <w:pStyle w:val="nTable"/>
              <w:spacing w:after="40"/>
              <w:ind w:left="35"/>
            </w:pPr>
            <w:r>
              <w:t>1 Mar 2000 (see r. 2)</w:t>
            </w:r>
          </w:p>
        </w:tc>
      </w:tr>
      <w:tr>
        <w:trPr>
          <w:cantSplit/>
        </w:trPr>
        <w:tc>
          <w:tcPr>
            <w:tcW w:w="3119" w:type="dxa"/>
          </w:tcPr>
          <w:p>
            <w:pPr>
              <w:pStyle w:val="nTable"/>
              <w:spacing w:after="40"/>
              <w:ind w:right="113"/>
              <w:rPr>
                <w:i/>
              </w:rPr>
            </w:pPr>
            <w:r>
              <w:rPr>
                <w:i/>
              </w:rPr>
              <w:t>Weapons Amendment Regulations (No. 2) 2000</w:t>
            </w:r>
          </w:p>
        </w:tc>
        <w:tc>
          <w:tcPr>
            <w:tcW w:w="1276" w:type="dxa"/>
          </w:tcPr>
          <w:p>
            <w:pPr>
              <w:pStyle w:val="nTable"/>
              <w:spacing w:after="40"/>
              <w:ind w:left="51"/>
            </w:pPr>
            <w:r>
              <w:t>10 Mar 2000 p. 1122</w:t>
            </w:r>
            <w:r>
              <w:noBreakHyphen/>
              <w:t>3</w:t>
            </w:r>
          </w:p>
        </w:tc>
        <w:tc>
          <w:tcPr>
            <w:tcW w:w="2693" w:type="dxa"/>
          </w:tcPr>
          <w:p>
            <w:pPr>
              <w:pStyle w:val="nTable"/>
              <w:spacing w:after="40"/>
              <w:ind w:left="35"/>
            </w:pPr>
            <w:r>
              <w:t>10 Mar 2000</w:t>
            </w:r>
          </w:p>
        </w:tc>
      </w:tr>
      <w:tr>
        <w:trPr>
          <w:cantSplit/>
        </w:trPr>
        <w:tc>
          <w:tcPr>
            <w:tcW w:w="3119" w:type="dxa"/>
          </w:tcPr>
          <w:p>
            <w:pPr>
              <w:pStyle w:val="nTable"/>
              <w:spacing w:after="40"/>
              <w:ind w:right="113"/>
              <w:rPr>
                <w:i/>
              </w:rPr>
            </w:pPr>
            <w:r>
              <w:rPr>
                <w:i/>
              </w:rPr>
              <w:t>Weapons Amendment Regulations (No. 3) 2000</w:t>
            </w:r>
          </w:p>
        </w:tc>
        <w:tc>
          <w:tcPr>
            <w:tcW w:w="1276" w:type="dxa"/>
          </w:tcPr>
          <w:p>
            <w:pPr>
              <w:pStyle w:val="nTable"/>
              <w:spacing w:after="40"/>
              <w:ind w:left="51"/>
            </w:pPr>
            <w:r>
              <w:t xml:space="preserve">9 Jun 2000 </w:t>
            </w:r>
            <w:r>
              <w:br/>
              <w:t>p. 2773</w:t>
            </w:r>
            <w:r>
              <w:noBreakHyphen/>
              <w:t>4</w:t>
            </w:r>
          </w:p>
        </w:tc>
        <w:tc>
          <w:tcPr>
            <w:tcW w:w="2693" w:type="dxa"/>
          </w:tcPr>
          <w:p>
            <w:pPr>
              <w:pStyle w:val="nTable"/>
              <w:spacing w:after="40"/>
              <w:ind w:left="35"/>
            </w:pPr>
            <w:r>
              <w:t xml:space="preserve">9 Jun 2000 </w:t>
            </w:r>
          </w:p>
        </w:tc>
      </w:tr>
      <w:tr>
        <w:trPr>
          <w:cantSplit/>
        </w:trPr>
        <w:tc>
          <w:tcPr>
            <w:tcW w:w="3119" w:type="dxa"/>
          </w:tcPr>
          <w:p>
            <w:pPr>
              <w:pStyle w:val="nTable"/>
              <w:spacing w:after="40"/>
              <w:ind w:right="113"/>
              <w:rPr>
                <w:i/>
              </w:rPr>
            </w:pPr>
            <w:r>
              <w:rPr>
                <w:i/>
              </w:rPr>
              <w:t>Weapons Amendment Regulations (No. 4) 2000</w:t>
            </w:r>
          </w:p>
        </w:tc>
        <w:tc>
          <w:tcPr>
            <w:tcW w:w="1276" w:type="dxa"/>
          </w:tcPr>
          <w:p>
            <w:pPr>
              <w:pStyle w:val="nTable"/>
              <w:spacing w:after="40"/>
              <w:ind w:left="51"/>
            </w:pPr>
            <w:r>
              <w:t xml:space="preserve">28 Jul 2000 </w:t>
            </w:r>
            <w:r>
              <w:br/>
              <w:t>p. 4027</w:t>
            </w:r>
          </w:p>
        </w:tc>
        <w:tc>
          <w:tcPr>
            <w:tcW w:w="2693" w:type="dxa"/>
          </w:tcPr>
          <w:p>
            <w:pPr>
              <w:pStyle w:val="nTable"/>
              <w:spacing w:after="40"/>
              <w:ind w:left="35"/>
            </w:pPr>
            <w:r>
              <w:t>28 Jul 2000</w:t>
            </w:r>
          </w:p>
        </w:tc>
      </w:tr>
      <w:tr>
        <w:trPr>
          <w:cantSplit/>
        </w:trPr>
        <w:tc>
          <w:tcPr>
            <w:tcW w:w="7088" w:type="dxa"/>
            <w:gridSpan w:val="3"/>
          </w:tcPr>
          <w:p>
            <w:pPr>
              <w:pStyle w:val="nTable"/>
              <w:spacing w:after="40"/>
              <w:ind w:left="51" w:right="113"/>
            </w:pPr>
            <w:r>
              <w:rPr>
                <w:b/>
              </w:rPr>
              <w:t xml:space="preserve">Reprint of the </w:t>
            </w:r>
            <w:r>
              <w:rPr>
                <w:b/>
                <w:i/>
              </w:rPr>
              <w:t>Weapons Regulations 1999</w:t>
            </w:r>
            <w:r>
              <w:rPr>
                <w:b/>
              </w:rPr>
              <w:t xml:space="preserve"> as at 18 May 2001 </w:t>
            </w:r>
            <w:r>
              <w:t>(includes amendments listed above)</w:t>
            </w:r>
          </w:p>
        </w:tc>
      </w:tr>
      <w:tr>
        <w:trPr>
          <w:cantSplit/>
        </w:trPr>
        <w:tc>
          <w:tcPr>
            <w:tcW w:w="3119" w:type="dxa"/>
          </w:tcPr>
          <w:p>
            <w:pPr>
              <w:pStyle w:val="nTable"/>
              <w:spacing w:after="40"/>
              <w:ind w:right="113"/>
              <w:rPr>
                <w:i/>
              </w:rPr>
            </w:pPr>
            <w:r>
              <w:rPr>
                <w:i/>
              </w:rPr>
              <w:t>Weapons Amendment Regulations 2004</w:t>
            </w:r>
          </w:p>
        </w:tc>
        <w:tc>
          <w:tcPr>
            <w:tcW w:w="1276" w:type="dxa"/>
          </w:tcPr>
          <w:p>
            <w:pPr>
              <w:pStyle w:val="nTable"/>
              <w:spacing w:after="40"/>
              <w:ind w:left="51"/>
            </w:pPr>
            <w:r>
              <w:t>1 Oct 2004 p. 4284</w:t>
            </w:r>
          </w:p>
        </w:tc>
        <w:tc>
          <w:tcPr>
            <w:tcW w:w="2693" w:type="dxa"/>
          </w:tcPr>
          <w:p>
            <w:pPr>
              <w:pStyle w:val="nTable"/>
              <w:spacing w:after="40"/>
              <w:ind w:left="35"/>
            </w:pPr>
            <w:r>
              <w:t>1 Oct 2004</w:t>
            </w:r>
          </w:p>
        </w:tc>
      </w:tr>
      <w:tr>
        <w:trPr>
          <w:cantSplit/>
        </w:trPr>
        <w:tc>
          <w:tcPr>
            <w:tcW w:w="3119" w:type="dxa"/>
          </w:tcPr>
          <w:p>
            <w:pPr>
              <w:pStyle w:val="nTable"/>
              <w:spacing w:after="40"/>
              <w:ind w:right="113"/>
              <w:rPr>
                <w:i/>
              </w:rPr>
            </w:pPr>
            <w:r>
              <w:rPr>
                <w:i/>
              </w:rPr>
              <w:t>Weapons Amendment Regulations (No. 2) 2006</w:t>
            </w:r>
          </w:p>
        </w:tc>
        <w:tc>
          <w:tcPr>
            <w:tcW w:w="1276" w:type="dxa"/>
          </w:tcPr>
          <w:p>
            <w:pPr>
              <w:pStyle w:val="nTable"/>
              <w:spacing w:after="40"/>
              <w:ind w:left="51"/>
            </w:pPr>
            <w:r>
              <w:t>12 Sep 2006 p. 3665</w:t>
            </w:r>
            <w:r>
              <w:noBreakHyphen/>
              <w:t>6</w:t>
            </w:r>
          </w:p>
        </w:tc>
        <w:tc>
          <w:tcPr>
            <w:tcW w:w="2693" w:type="dxa"/>
          </w:tcPr>
          <w:p>
            <w:pPr>
              <w:pStyle w:val="nTable"/>
              <w:spacing w:after="40"/>
              <w:ind w:left="35"/>
            </w:pPr>
            <w:r>
              <w:t>12 Sep 2006</w:t>
            </w:r>
          </w:p>
        </w:tc>
      </w:tr>
      <w:tr>
        <w:trPr>
          <w:cantSplit/>
        </w:trPr>
        <w:tc>
          <w:tcPr>
            <w:tcW w:w="3119" w:type="dxa"/>
          </w:tcPr>
          <w:p>
            <w:pPr>
              <w:pStyle w:val="nTable"/>
              <w:spacing w:after="40"/>
              <w:ind w:right="113"/>
              <w:rPr>
                <w:i/>
              </w:rPr>
            </w:pPr>
            <w:r>
              <w:rPr>
                <w:i/>
              </w:rPr>
              <w:t>Weapons Amendment Regulations 2007</w:t>
            </w:r>
          </w:p>
        </w:tc>
        <w:tc>
          <w:tcPr>
            <w:tcW w:w="1276" w:type="dxa"/>
          </w:tcPr>
          <w:p>
            <w:pPr>
              <w:pStyle w:val="nTable"/>
              <w:spacing w:after="40"/>
              <w:ind w:left="51"/>
            </w:pPr>
            <w:r>
              <w:t>11 Sep 2007 p. 4613</w:t>
            </w:r>
          </w:p>
        </w:tc>
        <w:tc>
          <w:tcPr>
            <w:tcW w:w="2693" w:type="dxa"/>
          </w:tcPr>
          <w:p>
            <w:pPr>
              <w:pStyle w:val="nTable"/>
              <w:spacing w:after="40"/>
              <w:ind w:left="35"/>
            </w:pPr>
            <w:r>
              <w:t>r. 1 and 2: 11 Sep 2007 (see r. 2(a));</w:t>
            </w:r>
            <w:r>
              <w:br/>
              <w:t>Regulations other than r. 1 and 2: 12 Sep 2007 (see r. 2(b))</w:t>
            </w:r>
          </w:p>
        </w:tc>
      </w:tr>
      <w:tr>
        <w:trPr>
          <w:cantSplit/>
        </w:trPr>
        <w:tc>
          <w:tcPr>
            <w:tcW w:w="3119" w:type="dxa"/>
          </w:tcPr>
          <w:p>
            <w:pPr>
              <w:pStyle w:val="nTable"/>
              <w:spacing w:after="40"/>
              <w:ind w:right="113"/>
              <w:rPr>
                <w:i/>
              </w:rPr>
            </w:pPr>
            <w:r>
              <w:rPr>
                <w:i/>
              </w:rPr>
              <w:t>Weapons Amendment Regulations 2008</w:t>
            </w:r>
          </w:p>
        </w:tc>
        <w:tc>
          <w:tcPr>
            <w:tcW w:w="1276" w:type="dxa"/>
          </w:tcPr>
          <w:p>
            <w:pPr>
              <w:pStyle w:val="nTable"/>
              <w:spacing w:after="40"/>
              <w:ind w:left="51"/>
            </w:pPr>
            <w:r>
              <w:t>29 Feb 2008 p. 692</w:t>
            </w:r>
            <w:r>
              <w:noBreakHyphen/>
              <w:t>3</w:t>
            </w:r>
          </w:p>
        </w:tc>
        <w:tc>
          <w:tcPr>
            <w:tcW w:w="2693" w:type="dxa"/>
          </w:tcPr>
          <w:p>
            <w:pPr>
              <w:pStyle w:val="nTable"/>
              <w:spacing w:after="40"/>
              <w:ind w:left="35"/>
            </w:pPr>
            <w:r>
              <w:rPr>
                <w:snapToGrid w:val="0"/>
              </w:rPr>
              <w:t>r. 1 and 2: 29 Feb 2008 (see r. 2(a));</w:t>
            </w:r>
            <w:r>
              <w:rPr>
                <w:snapToGrid w:val="0"/>
              </w:rPr>
              <w:br/>
              <w:t>Regulations other than r. 1 and 2: 1 Mar 2008 (see r. 2(b))</w:t>
            </w:r>
          </w:p>
        </w:tc>
      </w:tr>
      <w:tr>
        <w:trPr>
          <w:cantSplit/>
        </w:trPr>
        <w:tc>
          <w:tcPr>
            <w:tcW w:w="3119" w:type="dxa"/>
          </w:tcPr>
          <w:p>
            <w:pPr>
              <w:pStyle w:val="nTable"/>
              <w:spacing w:after="40"/>
              <w:ind w:right="113"/>
              <w:rPr>
                <w:i/>
              </w:rPr>
            </w:pPr>
            <w:r>
              <w:rPr>
                <w:i/>
              </w:rPr>
              <w:t>Weapons Amendment Regulations (No. 2) 2008</w:t>
            </w:r>
          </w:p>
        </w:tc>
        <w:tc>
          <w:tcPr>
            <w:tcW w:w="1276" w:type="dxa"/>
          </w:tcPr>
          <w:p>
            <w:pPr>
              <w:pStyle w:val="nTable"/>
              <w:spacing w:after="40"/>
              <w:ind w:left="51"/>
            </w:pPr>
            <w:r>
              <w:t>11 Apr 2008 p. 1392</w:t>
            </w:r>
          </w:p>
        </w:tc>
        <w:tc>
          <w:tcPr>
            <w:tcW w:w="2693" w:type="dxa"/>
          </w:tcPr>
          <w:p>
            <w:pPr>
              <w:pStyle w:val="nTable"/>
              <w:spacing w:after="40"/>
              <w:ind w:left="35"/>
              <w:rPr>
                <w:snapToGrid w:val="0"/>
              </w:rPr>
            </w:pPr>
            <w:r>
              <w:rPr>
                <w:snapToGrid w:val="0"/>
              </w:rPr>
              <w:t>r. 1 and 2: 11 Apr 2008 (see r. 2(a));</w:t>
            </w:r>
            <w:r>
              <w:rPr>
                <w:snapToGrid w:val="0"/>
              </w:rPr>
              <w:br/>
              <w:t>Regulations other than r. 1 and 2: 12 Apr 2008 (see r. 2(b))</w:t>
            </w:r>
          </w:p>
        </w:tc>
      </w:tr>
      <w:tr>
        <w:trPr>
          <w:cantSplit/>
        </w:trPr>
        <w:tc>
          <w:tcPr>
            <w:tcW w:w="7088" w:type="dxa"/>
            <w:gridSpan w:val="3"/>
          </w:tcPr>
          <w:p>
            <w:pPr>
              <w:pStyle w:val="nTable"/>
              <w:spacing w:after="40"/>
              <w:ind w:left="35"/>
              <w:rPr>
                <w:snapToGrid w:val="0"/>
              </w:rPr>
            </w:pPr>
            <w:r>
              <w:rPr>
                <w:b/>
              </w:rPr>
              <w:t xml:space="preserve">Reprint 2:  The </w:t>
            </w:r>
            <w:r>
              <w:rPr>
                <w:b/>
                <w:i/>
              </w:rPr>
              <w:t>Weapons Regulations 1999</w:t>
            </w:r>
            <w:r>
              <w:rPr>
                <w:b/>
              </w:rPr>
              <w:t xml:space="preserve"> as at 4 Jul 2008 </w:t>
            </w:r>
            <w:r>
              <w:t>(includes amendments listed above)</w:t>
            </w:r>
          </w:p>
        </w:tc>
      </w:tr>
      <w:tr>
        <w:trPr>
          <w:cantSplit/>
        </w:trPr>
        <w:tc>
          <w:tcPr>
            <w:tcW w:w="3119" w:type="dxa"/>
          </w:tcPr>
          <w:p>
            <w:pPr>
              <w:pStyle w:val="nTable"/>
              <w:spacing w:after="40"/>
              <w:ind w:right="113"/>
              <w:rPr>
                <w:i/>
              </w:rPr>
            </w:pPr>
            <w:r>
              <w:rPr>
                <w:i/>
              </w:rPr>
              <w:t>Weapons Amendment Regulations 2010</w:t>
            </w:r>
          </w:p>
        </w:tc>
        <w:tc>
          <w:tcPr>
            <w:tcW w:w="1276" w:type="dxa"/>
          </w:tcPr>
          <w:p>
            <w:pPr>
              <w:pStyle w:val="nTable"/>
              <w:spacing w:after="40"/>
              <w:ind w:left="51"/>
            </w:pPr>
            <w:r>
              <w:t>12 Mar 2010 p. 953</w:t>
            </w:r>
          </w:p>
        </w:tc>
        <w:tc>
          <w:tcPr>
            <w:tcW w:w="2693" w:type="dxa"/>
          </w:tcPr>
          <w:p>
            <w:pPr>
              <w:pStyle w:val="nTable"/>
              <w:spacing w:after="40"/>
              <w:ind w:left="35"/>
              <w:rPr>
                <w:snapToGrid w:val="0"/>
              </w:rPr>
            </w:pPr>
            <w:r>
              <w:rPr>
                <w:snapToGrid w:val="0"/>
              </w:rPr>
              <w:t>r. 1 and 2: 12 Mar 2010 (see r. 2(a));</w:t>
            </w:r>
            <w:r>
              <w:rPr>
                <w:snapToGrid w:val="0"/>
              </w:rPr>
              <w:br/>
              <w:t>Regulations other than r. 1 and 2: 13 Mar 2010 (see r. 2(b))</w:t>
            </w:r>
          </w:p>
        </w:tc>
      </w:tr>
      <w:tr>
        <w:trPr>
          <w:cantSplit/>
        </w:trPr>
        <w:tc>
          <w:tcPr>
            <w:tcW w:w="3119" w:type="dxa"/>
          </w:tcPr>
          <w:p>
            <w:pPr>
              <w:pStyle w:val="nTable"/>
              <w:spacing w:after="40"/>
              <w:ind w:right="113"/>
              <w:rPr>
                <w:i/>
              </w:rPr>
            </w:pPr>
            <w:r>
              <w:rPr>
                <w:i/>
              </w:rPr>
              <w:t>Weapons Amendment Regulations 2011</w:t>
            </w:r>
            <w:r>
              <w:t xml:space="preserve"> </w:t>
            </w:r>
          </w:p>
        </w:tc>
        <w:tc>
          <w:tcPr>
            <w:tcW w:w="1276" w:type="dxa"/>
          </w:tcPr>
          <w:p>
            <w:pPr>
              <w:pStyle w:val="nTable"/>
              <w:spacing w:after="40"/>
              <w:ind w:left="51"/>
            </w:pPr>
            <w:r>
              <w:t>8 Apr 2011 p. 1282</w:t>
            </w:r>
            <w:r>
              <w:noBreakHyphen/>
              <w:t>6</w:t>
            </w:r>
          </w:p>
        </w:tc>
        <w:tc>
          <w:tcPr>
            <w:tcW w:w="2693" w:type="dxa"/>
          </w:tcPr>
          <w:p>
            <w:pPr>
              <w:pStyle w:val="nTable"/>
              <w:spacing w:after="40"/>
              <w:ind w:left="35"/>
              <w:rPr>
                <w:snapToGrid w:val="0"/>
              </w:rPr>
            </w:pPr>
            <w:r>
              <w:t>r. 1 and 2: 8 Apr 2011 (see r. 2(a));</w:t>
            </w:r>
            <w:r>
              <w:br/>
              <w:t>Regulations other than r. 1 and 2: 1 Jul 2011 (see r. 2(b))</w:t>
            </w:r>
          </w:p>
        </w:tc>
      </w:tr>
      <w:tr>
        <w:trPr>
          <w:cantSplit/>
        </w:trPr>
        <w:tc>
          <w:tcPr>
            <w:tcW w:w="3119" w:type="dxa"/>
          </w:tcPr>
          <w:p>
            <w:pPr>
              <w:pStyle w:val="nTable"/>
              <w:spacing w:after="40"/>
              <w:ind w:right="113"/>
              <w:rPr>
                <w:i/>
              </w:rPr>
            </w:pPr>
            <w:r>
              <w:rPr>
                <w:i/>
              </w:rPr>
              <w:t>Weapons Amendment Regulations (No. 2) 2011</w:t>
            </w:r>
          </w:p>
        </w:tc>
        <w:tc>
          <w:tcPr>
            <w:tcW w:w="1276" w:type="dxa"/>
          </w:tcPr>
          <w:p>
            <w:pPr>
              <w:pStyle w:val="nTable"/>
              <w:spacing w:after="40"/>
              <w:ind w:left="51"/>
            </w:pPr>
            <w:r>
              <w:t>16 Sep 2011 p. 3768</w:t>
            </w:r>
            <w:r>
              <w:noBreakHyphen/>
              <w:t>9</w:t>
            </w:r>
          </w:p>
        </w:tc>
        <w:tc>
          <w:tcPr>
            <w:tcW w:w="2693" w:type="dxa"/>
          </w:tcPr>
          <w:p>
            <w:pPr>
              <w:pStyle w:val="nTable"/>
              <w:spacing w:after="40"/>
              <w:ind w:left="35"/>
            </w:pPr>
            <w:r>
              <w:t>r. 1 and 2: 16 Sep 2011 (see r. 2(a));</w:t>
            </w:r>
            <w:r>
              <w:br/>
              <w:t>Regulations other than r. 1 and 2: 17 Sep 2011 (see r. 2(b))</w:t>
            </w:r>
          </w:p>
        </w:tc>
      </w:tr>
      <w:tr>
        <w:trPr>
          <w:cantSplit/>
        </w:trPr>
        <w:tc>
          <w:tcPr>
            <w:tcW w:w="3119" w:type="dxa"/>
          </w:tcPr>
          <w:p>
            <w:pPr>
              <w:pStyle w:val="nTable"/>
              <w:spacing w:after="40"/>
              <w:ind w:right="113"/>
              <w:rPr>
                <w:i/>
              </w:rPr>
            </w:pPr>
            <w:r>
              <w:rPr>
                <w:i/>
              </w:rPr>
              <w:t>Weapons Amendment Regulations 2012</w:t>
            </w:r>
          </w:p>
        </w:tc>
        <w:tc>
          <w:tcPr>
            <w:tcW w:w="1276" w:type="dxa"/>
          </w:tcPr>
          <w:p>
            <w:pPr>
              <w:pStyle w:val="nTable"/>
              <w:spacing w:after="40"/>
              <w:ind w:left="51"/>
            </w:pPr>
            <w:r>
              <w:t>13 Mar 2012 p. 1037-9</w:t>
            </w:r>
          </w:p>
        </w:tc>
        <w:tc>
          <w:tcPr>
            <w:tcW w:w="2693" w:type="dxa"/>
          </w:tcPr>
          <w:p>
            <w:pPr>
              <w:pStyle w:val="nTable"/>
              <w:spacing w:after="40"/>
              <w:ind w:left="35"/>
            </w:pPr>
            <w:r>
              <w:t>r. 1 and 2: 13 Mar 2012 (see r. 2(a));</w:t>
            </w:r>
            <w:r>
              <w:br/>
              <w:t>Regulations other than r. 1 and 2: 14 Mar 2012 (see r. 2(b))</w:t>
            </w:r>
          </w:p>
        </w:tc>
      </w:tr>
      <w:tr>
        <w:trPr>
          <w:cantSplit/>
        </w:trPr>
        <w:tc>
          <w:tcPr>
            <w:tcW w:w="7088" w:type="dxa"/>
            <w:gridSpan w:val="3"/>
            <w:shd w:val="clear" w:color="auto" w:fill="auto"/>
          </w:tcPr>
          <w:p>
            <w:pPr>
              <w:pStyle w:val="nTable"/>
              <w:spacing w:after="40"/>
              <w:ind w:left="35"/>
            </w:pPr>
            <w:r>
              <w:rPr>
                <w:b/>
              </w:rPr>
              <w:t xml:space="preserve">Reprint 3:  The </w:t>
            </w:r>
            <w:r>
              <w:rPr>
                <w:b/>
                <w:i/>
              </w:rPr>
              <w:t>Weapons Regulations 1999</w:t>
            </w:r>
            <w:r>
              <w:rPr>
                <w:b/>
              </w:rPr>
              <w:t xml:space="preserve"> as at 22 Jun 2012 </w:t>
            </w:r>
            <w:r>
              <w:t>(includes amendments listed above)</w:t>
            </w:r>
          </w:p>
        </w:tc>
      </w:tr>
      <w:tr>
        <w:trPr>
          <w:cantSplit/>
        </w:trPr>
        <w:tc>
          <w:tcPr>
            <w:tcW w:w="3119" w:type="dxa"/>
            <w:tcBorders>
              <w:bottom w:val="single" w:sz="4" w:space="0" w:color="auto"/>
            </w:tcBorders>
          </w:tcPr>
          <w:p>
            <w:pPr>
              <w:pStyle w:val="nTable"/>
              <w:spacing w:after="40"/>
              <w:ind w:right="113"/>
            </w:pPr>
            <w:r>
              <w:rPr>
                <w:i/>
              </w:rPr>
              <w:t>Police Regulations Amendment (Captive Bolt Guns) Regulations 2016</w:t>
            </w:r>
            <w:r>
              <w:t xml:space="preserve"> Pt. 3</w:t>
            </w:r>
          </w:p>
        </w:tc>
        <w:tc>
          <w:tcPr>
            <w:tcW w:w="1276" w:type="dxa"/>
            <w:tcBorders>
              <w:bottom w:val="single" w:sz="4" w:space="0" w:color="auto"/>
            </w:tcBorders>
          </w:tcPr>
          <w:p>
            <w:pPr>
              <w:pStyle w:val="nTable"/>
              <w:spacing w:after="40"/>
              <w:ind w:left="51"/>
            </w:pPr>
            <w:r>
              <w:t>29 Nov 2016 p. 5322</w:t>
            </w:r>
            <w:r>
              <w:noBreakHyphen/>
              <w:t>3</w:t>
            </w:r>
          </w:p>
        </w:tc>
        <w:tc>
          <w:tcPr>
            <w:tcW w:w="2693" w:type="dxa"/>
            <w:tcBorders>
              <w:bottom w:val="single" w:sz="4" w:space="0" w:color="auto"/>
            </w:tcBorders>
          </w:tcPr>
          <w:p>
            <w:pPr>
              <w:pStyle w:val="nTable"/>
              <w:spacing w:after="40"/>
              <w:ind w:left="35"/>
            </w:pPr>
            <w:r>
              <w:t>30 Nov 2016 (see r. 2(b))</w:t>
            </w:r>
          </w:p>
        </w:tc>
      </w:tr>
    </w:tbl>
    <w:p>
      <w:pPr>
        <w:rPr>
          <w:iCs/>
        </w:rPr>
      </w:pPr>
    </w:p>
    <w:p>
      <w:pPr>
        <w:pStyle w:val="nSubsection"/>
      </w:pPr>
      <w:r>
        <w:rPr>
          <w:vertAlign w:val="superscript"/>
        </w:rPr>
        <w:t>2</w:t>
      </w:r>
      <w:r>
        <w:tab/>
        <w:t>Regulation 15 expired 30 June 2017 (see r. 15(8)).  It reads as follows:</w:t>
      </w:r>
    </w:p>
    <w:p>
      <w:pPr>
        <w:rPr>
          <w:iCs/>
        </w:rPr>
      </w:pPr>
    </w:p>
    <w:p>
      <w:pPr>
        <w:pStyle w:val="nzHeading5"/>
      </w:pPr>
      <w:bookmarkStart w:id="76" w:name="_Toc379277878"/>
      <w:bookmarkStart w:id="77" w:name="_Toc425248175"/>
      <w:r>
        <w:rPr>
          <w:rStyle w:val="CharSectno"/>
        </w:rPr>
        <w:t>15</w:t>
      </w:r>
      <w:r>
        <w:t>.</w:t>
      </w:r>
      <w:r>
        <w:tab/>
        <w:t>Crossbows for occupational purposes, excepting people from Act s. 6(1)(a)-(c) in relation to</w:t>
      </w:r>
      <w:bookmarkEnd w:id="76"/>
      <w:bookmarkEnd w:id="77"/>
    </w:p>
    <w:p>
      <w:pPr>
        <w:pStyle w:val="nzSubsection"/>
      </w:pPr>
      <w:r>
        <w:tab/>
        <w:t>(1)</w:t>
      </w:r>
      <w:r>
        <w:tab/>
        <w:t xml:space="preserve">In this regulation — </w:t>
      </w:r>
    </w:p>
    <w:p>
      <w:pPr>
        <w:pStyle w:val="nzDefstart"/>
      </w:pPr>
      <w:r>
        <w:tab/>
      </w:r>
      <w:r>
        <w:rPr>
          <w:rStyle w:val="CharDefText"/>
        </w:rPr>
        <w:t>crossbow</w:t>
      </w:r>
      <w:r>
        <w:t xml:space="preserve"> does not include a crossbow made or modified to be used with one hand;</w:t>
      </w:r>
    </w:p>
    <w:p>
      <w:pPr>
        <w:pStyle w:val="nzDefstart"/>
      </w:pPr>
      <w:r>
        <w:tab/>
      </w:r>
      <w:r>
        <w:rPr>
          <w:rStyle w:val="CharDefText"/>
        </w:rPr>
        <w:t>exempt person</w:t>
      </w:r>
      <w:r>
        <w:t xml:space="preserve"> means a person who has been given a notice under subregulation (4) and has not ceased to be an exempt person — </w:t>
      </w:r>
    </w:p>
    <w:p>
      <w:pPr>
        <w:pStyle w:val="nzDefpara"/>
      </w:pPr>
      <w:r>
        <w:tab/>
        <w:t>(a)</w:t>
      </w:r>
      <w:r>
        <w:tab/>
        <w:t>because of a notice under subregulation (5); or</w:t>
      </w:r>
    </w:p>
    <w:p>
      <w:pPr>
        <w:pStyle w:val="nzDefpara"/>
      </w:pPr>
      <w:r>
        <w:tab/>
        <w:t>(b)</w:t>
      </w:r>
      <w:r>
        <w:tab/>
        <w:t>because the notice has ceased to have effect under subregulation (6).</w:t>
      </w:r>
    </w:p>
    <w:p>
      <w:pPr>
        <w:pStyle w:val="nzSubsection"/>
      </w:pPr>
      <w:r>
        <w:tab/>
        <w:t>(2)</w:t>
      </w:r>
      <w:r>
        <w:tab/>
        <w:t>An exempt person who, for the purpose of obtaining a crossbow —</w:t>
      </w:r>
    </w:p>
    <w:p>
      <w:pPr>
        <w:pStyle w:val="nzIndenta"/>
      </w:pPr>
      <w:r>
        <w:tab/>
        <w:t>(a)</w:t>
      </w:r>
      <w:r>
        <w:tab/>
        <w:t>brings into the State a crossbow; or</w:t>
      </w:r>
    </w:p>
    <w:p>
      <w:pPr>
        <w:pStyle w:val="nzIndenta"/>
        <w:keepNext/>
      </w:pPr>
      <w:r>
        <w:tab/>
        <w:t>(b)</w:t>
      </w:r>
      <w:r>
        <w:tab/>
        <w:t>purchases a crossbow from a person who is lawfully entitled to sell the weapon,</w:t>
      </w:r>
    </w:p>
    <w:p>
      <w:pPr>
        <w:pStyle w:val="nzSubsection"/>
      </w:pPr>
      <w:r>
        <w:tab/>
      </w:r>
      <w:r>
        <w:tab/>
        <w:t>does not commit an offence under section 6(1)(a) or (c) of the Act.</w:t>
      </w:r>
    </w:p>
    <w:p>
      <w:pPr>
        <w:pStyle w:val="nzSubsection"/>
      </w:pPr>
      <w:r>
        <w:tab/>
        <w:t>(3)</w:t>
      </w:r>
      <w:r>
        <w:tab/>
        <w:t>An exempt person who, for the purpose of engaging in an activity related to the performance of his or her occupation, carries or possesses a crossbow does not commit an offence under section 6(1)(b) of the Act.</w:t>
      </w:r>
    </w:p>
    <w:p>
      <w:pPr>
        <w:pStyle w:val="nzSubsection"/>
      </w:pPr>
      <w:r>
        <w:tab/>
        <w:t>(4)</w:t>
      </w:r>
      <w:r>
        <w:tab/>
        <w:t xml:space="preserve">If the Minister is satisfied that — </w:t>
      </w:r>
    </w:p>
    <w:p>
      <w:pPr>
        <w:pStyle w:val="nzIndenta"/>
      </w:pPr>
      <w:r>
        <w:tab/>
        <w:t>(a)</w:t>
      </w:r>
      <w:r>
        <w:tab/>
        <w:t>on or before 1 July 2011 a person used a crossbow for the purpose of engaging in an activity related to the performance of his or her occupation; and</w:t>
      </w:r>
    </w:p>
    <w:p>
      <w:pPr>
        <w:pStyle w:val="nzIndenta"/>
      </w:pPr>
      <w:r>
        <w:tab/>
        <w:t>(b)</w:t>
      </w:r>
      <w:r>
        <w:tab/>
        <w:t>on or before 1 July 2011 the person possessed a crossbow for the purposes of engaging in that activity; and</w:t>
      </w:r>
    </w:p>
    <w:p>
      <w:pPr>
        <w:pStyle w:val="nzIndenta"/>
      </w:pPr>
      <w:r>
        <w:tab/>
        <w:t>(c)</w:t>
      </w:r>
      <w:r>
        <w:tab/>
        <w:t>that activity cannot be undertaken by any other practicable means; and</w:t>
      </w:r>
    </w:p>
    <w:p>
      <w:pPr>
        <w:pStyle w:val="nzIndenta"/>
      </w:pPr>
      <w:r>
        <w:tab/>
        <w:t>(d)</w:t>
      </w:r>
      <w:r>
        <w:tab/>
        <w:t>the person is fit and proper to be an exempt person; and</w:t>
      </w:r>
    </w:p>
    <w:p>
      <w:pPr>
        <w:pStyle w:val="nzIndenta"/>
      </w:pPr>
      <w:r>
        <w:tab/>
        <w:t>(e)</w:t>
      </w:r>
      <w:r>
        <w:tab/>
        <w:t>adequate arrangements exist to keep each of the person’s crossbows secure,</w:t>
      </w:r>
    </w:p>
    <w:p>
      <w:pPr>
        <w:pStyle w:val="nzSubsection"/>
      </w:pPr>
      <w:r>
        <w:tab/>
      </w:r>
      <w:r>
        <w:tab/>
        <w:t>the Minister may give to the person written notice that the person is an exempt person.</w:t>
      </w:r>
    </w:p>
    <w:p>
      <w:pPr>
        <w:pStyle w:val="nzSubsection"/>
      </w:pPr>
      <w:r>
        <w:tab/>
        <w:t>(5)</w:t>
      </w:r>
      <w:r>
        <w:tab/>
        <w:t>If, after giving a notice under subregulation (4), the Minister is no longer satisfied as to any of the circumstances described in that subregulation, the Minister may give to the exempt person written notice that, on a day specified in the notice (being a day that is not less than 30 days after the notice is given), the person ceases to be an exempt person, and the notice has effect accordingly.</w:t>
      </w:r>
    </w:p>
    <w:p>
      <w:pPr>
        <w:pStyle w:val="nzSubsection"/>
      </w:pPr>
      <w:r>
        <w:tab/>
        <w:t>(6)</w:t>
      </w:r>
      <w:r>
        <w:tab/>
        <w:t xml:space="preserve">A notice given under subregulation (4) has effect for the period (not exceeding 5 years) — </w:t>
      </w:r>
    </w:p>
    <w:p>
      <w:pPr>
        <w:pStyle w:val="nzIndenta"/>
      </w:pPr>
      <w:r>
        <w:tab/>
        <w:t>(a)</w:t>
      </w:r>
      <w:r>
        <w:tab/>
        <w:t>specified in the notice; and</w:t>
      </w:r>
    </w:p>
    <w:p>
      <w:pPr>
        <w:pStyle w:val="nzIndenta"/>
      </w:pPr>
      <w:r>
        <w:tab/>
        <w:t>(b)</w:t>
      </w:r>
      <w:r>
        <w:tab/>
        <w:t>beginning on the day specified in the notice.</w:t>
      </w:r>
    </w:p>
    <w:p>
      <w:pPr>
        <w:pStyle w:val="nzSubsection"/>
      </w:pPr>
      <w:r>
        <w:tab/>
        <w:t>(7)</w:t>
      </w:r>
      <w:r>
        <w:tab/>
        <w:t>The fact that a person has been given a notice under subregulation (4) does not prevent the Minister from giving the person another notice under that subregulation.</w:t>
      </w:r>
    </w:p>
    <w:p>
      <w:pPr>
        <w:pStyle w:val="nzSubsection"/>
      </w:pPr>
      <w:r>
        <w:tab/>
        <w:t>(8)</w:t>
      </w:r>
      <w:r>
        <w:tab/>
        <w:t>This regulation expires at the end of 30 June 2017.</w:t>
      </w:r>
    </w:p>
    <w:p>
      <w:pPr>
        <w:rPr>
          <w:iCs/>
        </w:rPr>
      </w:pPr>
    </w:p>
    <w:p>
      <w:pPr>
        <w:rPr>
          <w:iCs/>
        </w:rPr>
      </w:pP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79" w:name="_Toc468113003"/>
      <w:bookmarkStart w:id="80" w:name="_Toc468113110"/>
      <w:bookmarkStart w:id="81" w:name="_Toc468113134"/>
      <w:bookmarkStart w:id="82" w:name="_Toc486518678"/>
      <w:r>
        <w:rPr>
          <w:sz w:val="28"/>
        </w:rPr>
        <w:t>Defined terms</w:t>
      </w:r>
      <w:bookmarkEnd w:id="79"/>
      <w:bookmarkEnd w:id="80"/>
      <w:bookmarkEnd w:id="81"/>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electric shock case</w:t>
      </w:r>
      <w:r>
        <w:tab/>
        <w:t>3</w:t>
      </w:r>
    </w:p>
    <w:p>
      <w:pPr>
        <w:pStyle w:val="DefinedTerms"/>
      </w:pPr>
      <w:r>
        <w:t>Archery Australia (Inc.) member</w:t>
      </w:r>
      <w:r>
        <w:tab/>
        <w:t>14(1)</w:t>
      </w:r>
    </w:p>
    <w:p>
      <w:pPr>
        <w:pStyle w:val="DefinedTerms"/>
      </w:pPr>
      <w:r>
        <w:t>baton</w:t>
      </w:r>
      <w:r>
        <w:tab/>
        <w:t>3</w:t>
      </w:r>
    </w:p>
    <w:p>
      <w:pPr>
        <w:pStyle w:val="DefinedTerms"/>
      </w:pPr>
      <w:r>
        <w:t>catapult</w:t>
      </w:r>
      <w:r>
        <w:tab/>
        <w:t>3</w:t>
      </w:r>
    </w:p>
    <w:p>
      <w:pPr>
        <w:pStyle w:val="DefinedTerms"/>
      </w:pPr>
      <w:r>
        <w:t>crossbow</w:t>
      </w:r>
      <w:r>
        <w:tab/>
        <w:t>14(1), 15(1)</w:t>
      </w:r>
    </w:p>
    <w:p>
      <w:pPr>
        <w:pStyle w:val="DefinedTerms"/>
      </w:pPr>
      <w:r>
        <w:t>discharge</w:t>
      </w:r>
      <w:r>
        <w:tab/>
        <w:t>3</w:t>
      </w:r>
    </w:p>
    <w:p>
      <w:pPr>
        <w:pStyle w:val="DefinedTerms"/>
      </w:pPr>
      <w:r>
        <w:t>dramatic production</w:t>
      </w:r>
      <w:r>
        <w:tab/>
        <w:t>13(1)</w:t>
      </w:r>
    </w:p>
    <w:p>
      <w:pPr>
        <w:pStyle w:val="DefinedTerms"/>
      </w:pPr>
      <w:r>
        <w:t>exempt arbalest</w:t>
      </w:r>
      <w:r>
        <w:tab/>
        <w:t>14(1)</w:t>
      </w:r>
    </w:p>
    <w:p>
      <w:pPr>
        <w:pStyle w:val="DefinedTerms"/>
      </w:pPr>
      <w:r>
        <w:t>exempt collector</w:t>
      </w:r>
      <w:r>
        <w:tab/>
        <w:t>9(6)</w:t>
      </w:r>
    </w:p>
    <w:p>
      <w:pPr>
        <w:pStyle w:val="DefinedTerms"/>
      </w:pPr>
      <w:r>
        <w:t>exempt event</w:t>
      </w:r>
      <w:r>
        <w:tab/>
        <w:t>11(1)</w:t>
      </w:r>
    </w:p>
    <w:p>
      <w:pPr>
        <w:pStyle w:val="DefinedTerms"/>
      </w:pPr>
      <w:r>
        <w:t>exempt person</w:t>
      </w:r>
      <w:r>
        <w:tab/>
        <w:t>15(1)</w:t>
      </w:r>
    </w:p>
    <w:p>
      <w:pPr>
        <w:pStyle w:val="DefinedTerms"/>
      </w:pPr>
      <w:r>
        <w:t>exempt production</w:t>
      </w:r>
      <w:r>
        <w:tab/>
        <w:t>13(1)</w:t>
      </w:r>
    </w:p>
    <w:p>
      <w:pPr>
        <w:pStyle w:val="DefinedTerms"/>
      </w:pPr>
      <w:r>
        <w:t>exemption notice</w:t>
      </w:r>
      <w:r>
        <w:tab/>
        <w:t>13(1)</w:t>
      </w:r>
    </w:p>
    <w:p>
      <w:pPr>
        <w:pStyle w:val="DefinedTerms"/>
      </w:pPr>
      <w:r>
        <w:t>extendable baton</w:t>
      </w:r>
      <w:r>
        <w:tab/>
        <w:t>8(2)</w:t>
      </w:r>
    </w:p>
    <w:p>
      <w:pPr>
        <w:pStyle w:val="DefinedTerms"/>
      </w:pPr>
      <w:r>
        <w:t>injure or disable</w:t>
      </w:r>
      <w:r>
        <w:tab/>
        <w:t>3</w:t>
      </w:r>
    </w:p>
    <w:p>
      <w:pPr>
        <w:pStyle w:val="DefinedTerms"/>
      </w:pPr>
      <w:r>
        <w:t>martial arts weapon</w:t>
      </w:r>
      <w:r>
        <w:tab/>
        <w:t>3</w:t>
      </w:r>
    </w:p>
    <w:p>
      <w:pPr>
        <w:pStyle w:val="DefinedTerms"/>
      </w:pPr>
      <w:r>
        <w:t>missile</w:t>
      </w:r>
      <w:r>
        <w:tab/>
        <w:t>3</w:t>
      </w:r>
    </w:p>
    <w:p>
      <w:pPr>
        <w:pStyle w:val="DefinedTerms"/>
      </w:pPr>
      <w:r>
        <w:t>participant</w:t>
      </w:r>
      <w:r>
        <w:tab/>
        <w:t>11(1)</w:t>
      </w:r>
    </w:p>
    <w:p>
      <w:pPr>
        <w:pStyle w:val="DefinedTerms"/>
      </w:pPr>
      <w:r>
        <w:t>possess</w:t>
      </w:r>
      <w:r>
        <w:tab/>
        <w:t>11(1)</w:t>
      </w:r>
    </w:p>
    <w:p>
      <w:pPr>
        <w:pStyle w:val="DefinedTerms"/>
      </w:pPr>
      <w:r>
        <w:t>relevant date</w:t>
      </w:r>
      <w:r>
        <w:tab/>
        <w:t>9(6)</w:t>
      </w:r>
    </w:p>
    <w:p>
      <w:pPr>
        <w:pStyle w:val="DefinedTerms"/>
      </w:pPr>
      <w:r>
        <w:t>specified prohibited weapon</w:t>
      </w:r>
      <w:r>
        <w:tab/>
        <w:t>9(6)</w:t>
      </w:r>
    </w:p>
    <w:p>
      <w:pPr>
        <w:pStyle w:val="DefinedTerms"/>
      </w:pPr>
      <w:r>
        <w:t>specified weapon</w:t>
      </w:r>
      <w:r>
        <w:tab/>
        <w:t>13(1)</w:t>
      </w:r>
    </w:p>
    <w:p>
      <w:pPr>
        <w:pStyle w:val="DefinedTerms"/>
      </w:pPr>
      <w:r>
        <w:t>spray weapon</w:t>
      </w:r>
      <w:r>
        <w:tab/>
        <w:t>3</w:t>
      </w:r>
    </w:p>
    <w:p>
      <w:pPr>
        <w:pStyle w:val="DefinedTerms"/>
      </w:pPr>
      <w:r>
        <w:t>WA Disabled Sports Association (Inc.) member</w:t>
      </w:r>
      <w:r>
        <w:tab/>
        <w:t>11(1)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3502E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515"/>
    <w:docVar w:name="WAFER_20140204112721" w:val="RemoveTocBookmarks,RemoveUnusedBookmarks,RemoveLanguageTags,UsedStyles,ResetPageSize,UpdateArrangement"/>
    <w:docVar w:name="WAFER_20140204112721_GUID" w:val="4c27e51d-adde-4820-94f2-1550f495929b"/>
    <w:docVar w:name="WAFER_20140204114405" w:val="RemoveTocBookmarks,RunningHeaders"/>
    <w:docVar w:name="WAFER_20140204114405_GUID" w:val="ed82006a-d179-4c02-9885-8e94f3a1b67a"/>
    <w:docVar w:name="WAFER_20150721125436" w:val="ResetPageSize,UpdateArrangement,UpdateNTable"/>
    <w:docVar w:name="WAFER_20150721125436_GUID" w:val="83fc8f45-9741-440f-a790-5b1842da732f"/>
    <w:docVar w:name="WAFER_20151112113515" w:val="UpdateStyles,UsedStyles"/>
    <w:docVar w:name="WAFER_20151112113515_GUID" w:val="efb89817-ea62-4bbe-8424-718f85540f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5610</Words>
  <Characters>25809</Characters>
  <Application>Microsoft Office Word</Application>
  <DocSecurity>0</DocSecurity>
  <Lines>889</Lines>
  <Paragraphs>561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1999 - 03-c0-01</dc:title>
  <dc:subject/>
  <dc:creator/>
  <cp:keywords/>
  <dc:description/>
  <cp:lastModifiedBy>svcMRProcess</cp:lastModifiedBy>
  <cp:revision>4</cp:revision>
  <cp:lastPrinted>2017-06-29T08:54:00Z</cp:lastPrinted>
  <dcterms:created xsi:type="dcterms:W3CDTF">2019-01-16T09:04:00Z</dcterms:created>
  <dcterms:modified xsi:type="dcterms:W3CDTF">2019-01-16T09:04:00Z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DocumentType">
    <vt:lpwstr>Reg</vt:lpwstr>
  </property>
  <property fmtid="{D5CDD505-2E9C-101B-9397-08002B2CF9AE}" pid="4" name="OwlsUID">
    <vt:i4>616</vt:i4>
  </property>
  <property fmtid="{D5CDD505-2E9C-101B-9397-08002B2CF9AE}" pid="5" name="ReprintNo">
    <vt:lpwstr>3</vt:lpwstr>
  </property>
  <property fmtid="{D5CDD505-2E9C-101B-9397-08002B2CF9AE}" pid="6" name="ReprintedAsAt">
    <vt:filetime>2012-06-21T16:00:00Z</vt:filetime>
  </property>
  <property fmtid="{D5CDD505-2E9C-101B-9397-08002B2CF9AE}" pid="7" name="CommencementDate">
    <vt:lpwstr>20170630</vt:lpwstr>
  </property>
  <property fmtid="{D5CDD505-2E9C-101B-9397-08002B2CF9AE}" pid="8" name="AsAtDate">
    <vt:lpwstr>30 Jun 2017</vt:lpwstr>
  </property>
  <property fmtid="{D5CDD505-2E9C-101B-9397-08002B2CF9AE}" pid="9" name="Suffix">
    <vt:lpwstr>03-c0-01</vt:lpwstr>
  </property>
</Properties>
</file>