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_Toc485979563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_Toc485979564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_Toc485979565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_Toc485979567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_Toc485979568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_Toc485979569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_Toc485979570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_Toc485979571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_Toc485979572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_Toc485979573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_Toc485979574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_Toc485979575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_Toc485979576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_Toc485979577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_Toc485979578 \h </w:instrText>
      </w:r>
      <w:r>
        <w:fldChar w:fldCharType="separate"/>
      </w:r>
      <w:r>
        <w:t>11</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_Toc485979579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_Toc485979581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_Toc485979582 \h </w:instrText>
      </w:r>
      <w:r>
        <w:fldChar w:fldCharType="separate"/>
      </w:r>
      <w:r>
        <w:t>13</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_Toc485979583 \h </w:instrText>
      </w:r>
      <w:r>
        <w:fldChar w:fldCharType="separate"/>
      </w:r>
      <w:r>
        <w:t>15</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_Toc485979584 \h </w:instrText>
      </w:r>
      <w:r>
        <w:fldChar w:fldCharType="separate"/>
      </w:r>
      <w:r>
        <w:t>15</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_Toc485979585 \h </w:instrText>
      </w:r>
      <w:r>
        <w:fldChar w:fldCharType="separate"/>
      </w:r>
      <w:r>
        <w:t>17</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_Toc485979586 \h </w:instrText>
      </w:r>
      <w:r>
        <w:fldChar w:fldCharType="separate"/>
      </w:r>
      <w:r>
        <w:t>18</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_Toc485979587 \h </w:instrText>
      </w:r>
      <w:r>
        <w:fldChar w:fldCharType="separate"/>
      </w:r>
      <w:r>
        <w:t>19</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_Toc485979588 \h </w:instrText>
      </w:r>
      <w:r>
        <w:fldChar w:fldCharType="separate"/>
      </w:r>
      <w:r>
        <w:t>20</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_Toc485979589 \h </w:instrText>
      </w:r>
      <w:r>
        <w:fldChar w:fldCharType="separate"/>
      </w:r>
      <w:r>
        <w:t>21</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_Toc485979590 \h </w:instrText>
      </w:r>
      <w:r>
        <w:fldChar w:fldCharType="separate"/>
      </w:r>
      <w:r>
        <w:t>22</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_Toc485979591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_Toc485979592 \h </w:instrText>
      </w:r>
      <w:r>
        <w:fldChar w:fldCharType="separate"/>
      </w:r>
      <w:r>
        <w:t>22</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_Toc485979593 \h </w:instrText>
      </w:r>
      <w:r>
        <w:fldChar w:fldCharType="separate"/>
      </w:r>
      <w:r>
        <w:t>24</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_Toc485979594 \h </w:instrText>
      </w:r>
      <w:r>
        <w:fldChar w:fldCharType="separate"/>
      </w:r>
      <w:r>
        <w:t>24</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_Toc485979595 \h </w:instrText>
      </w:r>
      <w:r>
        <w:fldChar w:fldCharType="separate"/>
      </w:r>
      <w:r>
        <w:t>24</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_Toc485979596 \h </w:instrText>
      </w:r>
      <w:r>
        <w:fldChar w:fldCharType="separate"/>
      </w:r>
      <w:r>
        <w:t>25</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_Toc485979597 \h </w:instrText>
      </w:r>
      <w:r>
        <w:fldChar w:fldCharType="separate"/>
      </w:r>
      <w:r>
        <w:t>26</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_Toc485979598 \h </w:instrText>
      </w:r>
      <w:r>
        <w:fldChar w:fldCharType="separate"/>
      </w:r>
      <w:r>
        <w:t>26</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_Toc485979599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_Toc485979603 \h </w:instrText>
      </w:r>
      <w:r>
        <w:fldChar w:fldCharType="separate"/>
      </w:r>
      <w:r>
        <w:t>28</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_Toc485979604 \h </w:instrText>
      </w:r>
      <w:r>
        <w:fldChar w:fldCharType="separate"/>
      </w:r>
      <w:r>
        <w:t>29</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_Toc485979605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_Toc485979606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_Toc485979607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_Toc485979608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_Toc485979609 \h </w:instrText>
      </w:r>
      <w:r>
        <w:fldChar w:fldCharType="separate"/>
      </w:r>
      <w:r>
        <w:t>37</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_Toc485979610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_Toc485979611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_Toc485979613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_Toc485979615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_Toc485979617 \h </w:instrText>
      </w:r>
      <w:r>
        <w:fldChar w:fldCharType="separate"/>
      </w:r>
      <w:r>
        <w:t>41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_Toc485979618 \h </w:instrText>
      </w:r>
      <w:r>
        <w:fldChar w:fldCharType="separate"/>
      </w:r>
      <w:r>
        <w:t>42</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_Toc485979619 \h </w:instrText>
      </w:r>
      <w:r>
        <w:fldChar w:fldCharType="separate"/>
      </w:r>
      <w:r>
        <w:t>43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_Toc485979620 \h </w:instrText>
      </w:r>
      <w:r>
        <w:fldChar w:fldCharType="separate"/>
      </w:r>
      <w:r>
        <w:t>44</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_Toc485979621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_Toc485979623 \h </w:instrText>
      </w:r>
      <w:r>
        <w:fldChar w:fldCharType="separate"/>
      </w:r>
      <w:r>
        <w:t>46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_Toc485979624 \h </w:instrText>
      </w:r>
      <w:r>
        <w:fldChar w:fldCharType="separate"/>
      </w:r>
      <w:r>
        <w:t>46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_Toc485979625 \h </w:instrText>
      </w:r>
      <w:r>
        <w:fldChar w:fldCharType="separate"/>
      </w:r>
      <w:r>
        <w:t>47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_Toc485979626 \h </w:instrText>
      </w:r>
      <w:r>
        <w:fldChar w:fldCharType="separate"/>
      </w:r>
      <w:r>
        <w:t>48</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_Toc485979627 \h </w:instrText>
      </w:r>
      <w:r>
        <w:fldChar w:fldCharType="separate"/>
      </w:r>
      <w:r>
        <w:t>49</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_Toc485979628 \h </w:instrText>
      </w:r>
      <w:r>
        <w:fldChar w:fldCharType="separate"/>
      </w:r>
      <w:r>
        <w:t>49</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_Toc485979629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_Toc485979631 \h </w:instrText>
      </w:r>
      <w:r>
        <w:fldChar w:fldCharType="separate"/>
      </w:r>
      <w:r>
        <w:t>52</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_Toc485979632 \h </w:instrText>
      </w:r>
      <w:r>
        <w:fldChar w:fldCharType="separate"/>
      </w:r>
      <w:r>
        <w:t>53</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_Toc485979633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_Toc485979635 \h </w:instrText>
      </w:r>
      <w:r>
        <w:fldChar w:fldCharType="separate"/>
      </w:r>
      <w:r>
        <w:t>55</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_Toc485979636 \h </w:instrText>
      </w:r>
      <w:r>
        <w:fldChar w:fldCharType="separate"/>
      </w:r>
      <w:r>
        <w:t>55</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_Toc485979637 \h </w:instrText>
      </w:r>
      <w:r>
        <w:fldChar w:fldCharType="separate"/>
      </w:r>
      <w:r>
        <w:t>55</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_Toc485979638 \h </w:instrText>
      </w:r>
      <w:r>
        <w:fldChar w:fldCharType="separate"/>
      </w:r>
      <w:r>
        <w:t>56</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_Toc485979639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_Toc485979642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_Toc485979644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_Toc485979646 \h </w:instrText>
      </w:r>
      <w:r>
        <w:fldChar w:fldCharType="separate"/>
      </w:r>
      <w:r>
        <w:t>62</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_Toc485979647 \h </w:instrText>
      </w:r>
      <w:r>
        <w:fldChar w:fldCharType="separate"/>
      </w:r>
      <w:r>
        <w:t>62</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_Toc485979648 \h </w:instrText>
      </w:r>
      <w:r>
        <w:fldChar w:fldCharType="separate"/>
      </w:r>
      <w:r>
        <w:t>62</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_Toc485979649 \h </w:instrText>
      </w:r>
      <w:r>
        <w:fldChar w:fldCharType="separate"/>
      </w:r>
      <w:r>
        <w:t>64</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_Toc485979650 \h </w:instrText>
      </w:r>
      <w:r>
        <w:fldChar w:fldCharType="separate"/>
      </w:r>
      <w:r>
        <w:t>65</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_Toc485979651 \h </w:instrText>
      </w:r>
      <w:r>
        <w:fldChar w:fldCharType="separate"/>
      </w:r>
      <w:r>
        <w:t>66</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_Toc485979652 \h </w:instrText>
      </w:r>
      <w:r>
        <w:fldChar w:fldCharType="separate"/>
      </w:r>
      <w:r>
        <w:t>66</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_Toc485979653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_Toc485979655 \h </w:instrText>
      </w:r>
      <w:r>
        <w:fldChar w:fldCharType="separate"/>
      </w:r>
      <w:r>
        <w:t>67</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_Toc485979656 \h </w:instrText>
      </w:r>
      <w:r>
        <w:fldChar w:fldCharType="separate"/>
      </w:r>
      <w:r>
        <w:t>69</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_Toc485979657 \h </w:instrText>
      </w:r>
      <w:r>
        <w:fldChar w:fldCharType="separate"/>
      </w:r>
      <w:r>
        <w:t>69</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_Toc485979658 \h </w:instrText>
      </w:r>
      <w:r>
        <w:fldChar w:fldCharType="separate"/>
      </w:r>
      <w:r>
        <w:t>70</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_Toc485979659 \h </w:instrText>
      </w:r>
      <w:r>
        <w:fldChar w:fldCharType="separate"/>
      </w:r>
      <w:r>
        <w:t>70</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_Toc485979660 \h </w:instrText>
      </w:r>
      <w:r>
        <w:fldChar w:fldCharType="separate"/>
      </w:r>
      <w:r>
        <w:t>70</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_Toc485979661 \h </w:instrText>
      </w:r>
      <w:r>
        <w:fldChar w:fldCharType="separate"/>
      </w:r>
      <w:r>
        <w:t>72</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_Toc485979662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_Toc485979664 \h </w:instrText>
      </w:r>
      <w:r>
        <w:fldChar w:fldCharType="separate"/>
      </w:r>
      <w:r>
        <w:t>75</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_Toc485979665 \h </w:instrText>
      </w:r>
      <w:r>
        <w:fldChar w:fldCharType="separate"/>
      </w:r>
      <w:r>
        <w:t>75</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_Toc485979666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_Toc485979668 \h </w:instrText>
      </w:r>
      <w:r>
        <w:fldChar w:fldCharType="separate"/>
      </w:r>
      <w:r>
        <w:t>77</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_Toc485979669 \h </w:instrText>
      </w:r>
      <w:r>
        <w:fldChar w:fldCharType="separate"/>
      </w:r>
      <w:r>
        <w:t>77</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_Toc485979670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_Toc485979676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_Toc485979678 \h </w:instrText>
      </w:r>
      <w:r>
        <w:fldChar w:fldCharType="separate"/>
      </w:r>
      <w:r>
        <w:t>83</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_Toc485979679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_Toc485979684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71983482"/>
      <w:bookmarkStart w:id="4" w:name="_Toc471983606"/>
      <w:bookmarkStart w:id="5" w:name="_Toc472948124"/>
      <w:bookmarkStart w:id="6" w:name="_Toc474160723"/>
      <w:bookmarkStart w:id="7" w:name="_Toc4859795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85979563"/>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9" w:name="_Toc485979564"/>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 w:name="_Toc485979565"/>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11" w:name="_Toc471983486"/>
      <w:bookmarkStart w:id="12" w:name="_Toc471983610"/>
      <w:bookmarkStart w:id="13" w:name="_Toc472948128"/>
      <w:bookmarkStart w:id="14" w:name="_Toc474160727"/>
      <w:bookmarkStart w:id="15" w:name="_Toc485979566"/>
      <w:r>
        <w:rPr>
          <w:rStyle w:val="CharPartNo"/>
        </w:rPr>
        <w:t>Part 2</w:t>
      </w:r>
      <w:r>
        <w:rPr>
          <w:rStyle w:val="CharDivNo"/>
        </w:rPr>
        <w:t> </w:t>
      </w:r>
      <w:r>
        <w:t>—</w:t>
      </w:r>
      <w:r>
        <w:rPr>
          <w:rStyle w:val="CharDivText"/>
        </w:rPr>
        <w:t> </w:t>
      </w:r>
      <w:r>
        <w:rPr>
          <w:rStyle w:val="CharPartText"/>
        </w:rPr>
        <w:t>General matters</w:t>
      </w:r>
      <w:bookmarkEnd w:id="11"/>
      <w:bookmarkEnd w:id="12"/>
      <w:bookmarkEnd w:id="13"/>
      <w:bookmarkEnd w:id="14"/>
      <w:bookmarkEnd w:id="15"/>
    </w:p>
    <w:p>
      <w:pPr>
        <w:pStyle w:val="Heading5"/>
      </w:pPr>
      <w:bookmarkStart w:id="16" w:name="_Toc485979567"/>
      <w:r>
        <w:rPr>
          <w:rStyle w:val="CharSectno"/>
        </w:rPr>
        <w:t>4</w:t>
      </w:r>
      <w:r>
        <w:t>.</w:t>
      </w:r>
      <w:r>
        <w:tab/>
        <w:t>Approval of manner or form of things (s. 3)</w:t>
      </w:r>
      <w:bookmarkEnd w:id="1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7" w:name="_Toc485979568"/>
      <w:r>
        <w:rPr>
          <w:rStyle w:val="CharSectno"/>
        </w:rPr>
        <w:t>5A</w:t>
      </w:r>
      <w:r>
        <w:t>.</w:t>
      </w:r>
      <w:r>
        <w:tab/>
        <w:t>Authorised persons (s. 3)</w:t>
      </w:r>
      <w:bookmarkEnd w:id="1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8" w:name="_Toc485979569"/>
      <w:r>
        <w:rPr>
          <w:rStyle w:val="CharSectno"/>
        </w:rPr>
        <w:t>5</w:t>
      </w:r>
      <w:r>
        <w:t>.</w:t>
      </w:r>
      <w:r>
        <w:tab/>
        <w:t>Building surveyors (s. 3)</w:t>
      </w:r>
      <w:bookmarkEnd w:id="18"/>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9" w:name="_Toc485979570"/>
      <w:r>
        <w:rPr>
          <w:rStyle w:val="CharSectno"/>
        </w:rPr>
        <w:t>6A</w:t>
      </w:r>
      <w:r>
        <w:t>.</w:t>
      </w:r>
      <w:r>
        <w:tab/>
        <w:t>Building work (s. 3)</w:t>
      </w:r>
      <w:bookmarkEnd w:id="1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20" w:name="_Toc485979571"/>
      <w:r>
        <w:rPr>
          <w:rStyle w:val="CharSectno"/>
        </w:rPr>
        <w:t>6</w:t>
      </w:r>
      <w:r>
        <w:t>.</w:t>
      </w:r>
      <w:r>
        <w:tab/>
        <w:t>Classification of buildings and incidental structures (s. 3)</w:t>
      </w:r>
      <w:bookmarkEnd w:id="2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1" w:name="_Toc485979572"/>
      <w:r>
        <w:rPr>
          <w:rStyle w:val="CharSectno"/>
        </w:rPr>
        <w:t>10</w:t>
      </w:r>
      <w:r>
        <w:t>.</w:t>
      </w:r>
      <w:r>
        <w:tab/>
        <w:t>Owners of land (s. 5(1))</w:t>
      </w:r>
      <w:bookmarkEnd w:id="21"/>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2" w:name="_Toc485979573"/>
      <w:r>
        <w:rPr>
          <w:rStyle w:val="CharSectno"/>
        </w:rPr>
        <w:t>11A</w:t>
      </w:r>
      <w:r>
        <w:t>.</w:t>
      </w:r>
      <w:r>
        <w:tab/>
        <w:t>Restriction on circumstances where person treated as owner (s. 5(2))</w:t>
      </w:r>
      <w:bookmarkEnd w:id="2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3" w:name="_Toc485979574"/>
      <w:r>
        <w:rPr>
          <w:rStyle w:val="CharSectno"/>
        </w:rPr>
        <w:t>11</w:t>
      </w:r>
      <w:r>
        <w:t>.</w:t>
      </w:r>
      <w:r>
        <w:tab/>
        <w:t>Fees</w:t>
      </w:r>
      <w:bookmarkEnd w:id="23"/>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24" w:name="_Toc485979575"/>
      <w:r>
        <w:rPr>
          <w:rStyle w:val="CharSectno"/>
        </w:rPr>
        <w:t>12</w:t>
      </w:r>
      <w:r>
        <w:t>.</w:t>
      </w:r>
      <w:r>
        <w:tab/>
        <w:t>Building records to be kept (s. 130)</w:t>
      </w:r>
      <w:bookmarkEnd w:id="24"/>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5" w:name="_Toc485979576"/>
      <w:r>
        <w:rPr>
          <w:rStyle w:val="CharSectno"/>
        </w:rPr>
        <w:t>13</w:t>
      </w:r>
      <w:r>
        <w:t>.</w:t>
      </w:r>
      <w:r>
        <w:tab/>
        <w:t>Inspection, copies of building records (s. 131)</w:t>
      </w:r>
      <w:bookmarkEnd w:id="2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6" w:name="_Toc485979577"/>
      <w:r>
        <w:rPr>
          <w:rStyle w:val="CharSectno"/>
        </w:rPr>
        <w:t>14</w:t>
      </w:r>
      <w:r>
        <w:t>.</w:t>
      </w:r>
      <w:r>
        <w:tab/>
        <w:t>Provision of information to Building Commissioner (s. 132)</w:t>
      </w:r>
      <w:bookmarkEnd w:id="2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7" w:name="_Toc485979578"/>
      <w:r>
        <w:rPr>
          <w:rStyle w:val="CharSectno"/>
        </w:rPr>
        <w:t>15A</w:t>
      </w:r>
      <w:r>
        <w:t>.</w:t>
      </w:r>
      <w:r>
        <w:tab/>
        <w:t xml:space="preserve">Provision of information to </w:t>
      </w:r>
      <w:smartTag w:uri="urn:schemas-microsoft-com:office:smarttags" w:element="place">
        <w:r>
          <w:t>FES</w:t>
        </w:r>
      </w:smartTag>
      <w:r>
        <w:t xml:space="preserve"> Commissioner (s. 149)</w:t>
      </w:r>
      <w:bookmarkEnd w:id="2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8" w:name="_Toc485979579"/>
      <w:r>
        <w:rPr>
          <w:rStyle w:val="CharSectno"/>
        </w:rPr>
        <w:t>15B</w:t>
      </w:r>
      <w:r>
        <w:t>.</w:t>
      </w:r>
      <w:r>
        <w:tab/>
        <w:t>Modifications to AS 1926.1</w:t>
      </w:r>
      <w:r>
        <w:noBreakHyphen/>
        <w:t>2012 (s. 150)</w:t>
      </w:r>
      <w:bookmarkEnd w:id="2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9" w:name="_Toc471983500"/>
      <w:bookmarkStart w:id="30" w:name="_Toc471983624"/>
      <w:bookmarkStart w:id="31" w:name="_Toc472948142"/>
      <w:bookmarkStart w:id="32" w:name="_Toc474160741"/>
      <w:bookmarkStart w:id="33" w:name="_Toc485979580"/>
      <w:r>
        <w:rPr>
          <w:rStyle w:val="CharPartNo"/>
        </w:rPr>
        <w:t>Part 3</w:t>
      </w:r>
      <w:r>
        <w:rPr>
          <w:rStyle w:val="CharDivNo"/>
        </w:rPr>
        <w:t> </w:t>
      </w:r>
      <w:r>
        <w:t>—</w:t>
      </w:r>
      <w:r>
        <w:rPr>
          <w:rStyle w:val="CharDivText"/>
        </w:rPr>
        <w:t> </w:t>
      </w:r>
      <w:r>
        <w:rPr>
          <w:rStyle w:val="CharPartText"/>
        </w:rPr>
        <w:t>Building and demolition permits</w:t>
      </w:r>
      <w:bookmarkEnd w:id="29"/>
      <w:bookmarkEnd w:id="30"/>
      <w:bookmarkEnd w:id="31"/>
      <w:bookmarkEnd w:id="32"/>
      <w:bookmarkEnd w:id="33"/>
    </w:p>
    <w:p>
      <w:pPr>
        <w:pStyle w:val="Heading5"/>
        <w:spacing w:before="240"/>
      </w:pPr>
      <w:bookmarkStart w:id="34" w:name="_Toc485979581"/>
      <w:r>
        <w:rPr>
          <w:rStyle w:val="CharSectno"/>
        </w:rPr>
        <w:t>15</w:t>
      </w:r>
      <w:r>
        <w:t>.</w:t>
      </w:r>
      <w:r>
        <w:tab/>
        <w:t>Uncertified applications (s. 14(2))</w:t>
      </w:r>
      <w:bookmarkEnd w:id="3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5" w:name="_Toc485979582"/>
      <w:r>
        <w:rPr>
          <w:rStyle w:val="CharSectno"/>
        </w:rPr>
        <w:t>16</w:t>
      </w:r>
      <w:r>
        <w:t>.</w:t>
      </w:r>
      <w:r>
        <w:tab/>
        <w:t>Application for building and demolition permits (s. 16)</w:t>
      </w:r>
      <w:bookmarkEnd w:id="3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36" w:name="_Toc485979583"/>
      <w:r>
        <w:rPr>
          <w:rStyle w:val="CharSectno"/>
        </w:rPr>
        <w:t>17</w:t>
      </w:r>
      <w:r>
        <w:t>.</w:t>
      </w:r>
      <w:r>
        <w:tab/>
        <w:t>Further information (s. 18(3) and (4))</w:t>
      </w:r>
      <w:bookmarkEnd w:id="3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37" w:name="_Toc485979584"/>
      <w:r>
        <w:rPr>
          <w:rStyle w:val="CharSectno"/>
        </w:rPr>
        <w:t>18A</w:t>
      </w:r>
      <w:r>
        <w:t>.</w:t>
      </w:r>
      <w:r>
        <w:tab/>
        <w:t>Certificate of design compliance — contents (s. 19(5))</w:t>
      </w:r>
      <w:bookmarkEnd w:id="37"/>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38" w:name="_Toc485979585"/>
      <w:r>
        <w:rPr>
          <w:rStyle w:val="CharSectno"/>
        </w:rPr>
        <w:t>18B</w:t>
      </w:r>
      <w:r>
        <w:t>.</w:t>
      </w:r>
      <w:r>
        <w:tab/>
        <w:t>Certificate of design compliance — preliminary action (s. 19(6))</w:t>
      </w:r>
      <w:bookmarkEnd w:id="3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39" w:name="_Toc485979586"/>
      <w:r>
        <w:rPr>
          <w:rStyle w:val="CharSectno"/>
        </w:rPr>
        <w:t>18C</w:t>
      </w:r>
      <w:r>
        <w:t>.</w:t>
      </w:r>
      <w:r>
        <w:tab/>
        <w:t>Certificate of design compliance — things to accompany (s. 149)</w:t>
      </w:r>
      <w:bookmarkEnd w:id="3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40" w:name="_Toc485979587"/>
      <w:r>
        <w:rPr>
          <w:rStyle w:val="CharSectno"/>
        </w:rPr>
        <w:t>18</w:t>
      </w:r>
      <w:r>
        <w:t>.</w:t>
      </w:r>
      <w:r>
        <w:tab/>
        <w:t>Grant of building permit (s. 20)</w:t>
      </w:r>
      <w:bookmarkEnd w:id="4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41" w:name="_Toc485979588"/>
      <w:r>
        <w:rPr>
          <w:rStyle w:val="CharSectno"/>
        </w:rPr>
        <w:t>19</w:t>
      </w:r>
      <w:r>
        <w:t>.</w:t>
      </w:r>
      <w:r>
        <w:tab/>
        <w:t>Grant of demolition permit (s. 21)</w:t>
      </w:r>
      <w:bookmarkEnd w:id="4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42" w:name="_Toc485979589"/>
      <w:r>
        <w:rPr>
          <w:rStyle w:val="CharSectno"/>
        </w:rPr>
        <w:t>20</w:t>
      </w:r>
      <w:r>
        <w:t>.</w:t>
      </w:r>
      <w:r>
        <w:tab/>
        <w:t>Time for deciding application for building or demolition permit (s. 23)</w:t>
      </w:r>
      <w:bookmarkEnd w:id="4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43" w:name="_Toc485979590"/>
      <w:r>
        <w:rPr>
          <w:rStyle w:val="CharSectno"/>
        </w:rPr>
        <w:t>21</w:t>
      </w:r>
      <w:r>
        <w:t>.</w:t>
      </w:r>
      <w:r>
        <w:tab/>
        <w:t>Form and content of building permit (s. 25)</w:t>
      </w:r>
      <w:bookmarkEnd w:id="4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4" w:name="_Toc485979591"/>
      <w:r>
        <w:rPr>
          <w:rStyle w:val="CharSectno"/>
        </w:rPr>
        <w:t>22</w:t>
      </w:r>
      <w:r>
        <w:t>.</w:t>
      </w:r>
      <w:r>
        <w:tab/>
        <w:t>Form and content of demolition permit (s. 25)</w:t>
      </w:r>
      <w:bookmarkEnd w:id="4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45" w:name="_Toc485979592"/>
      <w:r>
        <w:rPr>
          <w:rStyle w:val="CharSectno"/>
        </w:rPr>
        <w:t>23</w:t>
      </w:r>
      <w:r>
        <w:t>.</w:t>
      </w:r>
      <w:r>
        <w:tab/>
        <w:t>Application to extend time during which permit has effect (s. 32)</w:t>
      </w:r>
      <w:bookmarkEnd w:id="4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6" w:name="_Toc485979593"/>
      <w:r>
        <w:rPr>
          <w:rStyle w:val="CharSectno"/>
        </w:rPr>
        <w:t>24</w:t>
      </w:r>
      <w:r>
        <w:t>.</w:t>
      </w:r>
      <w:r>
        <w:tab/>
        <w:t>Extension of time during which permit has effect (s. 32(3))</w:t>
      </w:r>
      <w:bookmarkEnd w:id="4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7" w:name="_Toc485979594"/>
      <w:r>
        <w:rPr>
          <w:rStyle w:val="CharSectno"/>
        </w:rPr>
        <w:t>25</w:t>
      </w:r>
      <w:r>
        <w:t>.</w:t>
      </w:r>
      <w:r>
        <w:tab/>
        <w:t>Review of decision to refuse to extend time during which permit has effect (s. 32(3))</w:t>
      </w:r>
      <w:bookmarkEnd w:id="4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48" w:name="_Toc485979595"/>
      <w:r>
        <w:rPr>
          <w:rStyle w:val="CharSectno"/>
        </w:rPr>
        <w:t>26</w:t>
      </w:r>
      <w:r>
        <w:t>.</w:t>
      </w:r>
      <w:r>
        <w:tab/>
        <w:t>Approval of new responsible person (s. 35(c))</w:t>
      </w:r>
      <w:bookmarkEnd w:id="4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49" w:name="_Toc485979596"/>
      <w:r>
        <w:rPr>
          <w:rStyle w:val="CharSectno"/>
        </w:rPr>
        <w:t>27</w:t>
      </w:r>
      <w:r>
        <w:t>.</w:t>
      </w:r>
      <w:r>
        <w:tab/>
        <w:t>Required inspection and tests: Class 2 to Class 9 buildings (s. 36(2)(a))</w:t>
      </w:r>
      <w:bookmarkEnd w:id="4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0" w:name="_Toc485979597"/>
      <w:r>
        <w:rPr>
          <w:rStyle w:val="CharSectno"/>
        </w:rPr>
        <w:t>28</w:t>
      </w:r>
      <w:r>
        <w:t>.</w:t>
      </w:r>
      <w:r>
        <w:tab/>
        <w:t>Required inspection: barrier to private swimming pool (s. 36(2)(a))</w:t>
      </w:r>
      <w:bookmarkEnd w:id="5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51" w:name="_Toc485979598"/>
      <w:r>
        <w:rPr>
          <w:rStyle w:val="CharSectno"/>
        </w:rPr>
        <w:t>29</w:t>
      </w:r>
      <w:r>
        <w:t>.</w:t>
      </w:r>
      <w:r>
        <w:tab/>
        <w:t>Inspection certificates (s. 36(2)(h) and (j))</w:t>
      </w:r>
      <w:bookmarkEnd w:id="5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2" w:name="_Toc485979599"/>
      <w:r>
        <w:rPr>
          <w:rStyle w:val="CharSectno"/>
        </w:rPr>
        <w:t>30</w:t>
      </w:r>
      <w:r>
        <w:t>.</w:t>
      </w:r>
      <w:r>
        <w:tab/>
        <w:t>Transitional provisions (s. 203)</w:t>
      </w:r>
      <w:bookmarkEnd w:id="5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3" w:name="_Toc471983520"/>
      <w:bookmarkStart w:id="54" w:name="_Toc471983644"/>
      <w:bookmarkStart w:id="55" w:name="_Toc472948162"/>
      <w:bookmarkStart w:id="56" w:name="_Toc474160761"/>
      <w:bookmarkStart w:id="57" w:name="_Toc485979600"/>
      <w:r>
        <w:rPr>
          <w:rStyle w:val="CharPartNo"/>
        </w:rPr>
        <w:t>Part 4</w:t>
      </w:r>
      <w:r>
        <w:t> — </w:t>
      </w:r>
      <w:r>
        <w:rPr>
          <w:rStyle w:val="CharPartText"/>
        </w:rPr>
        <w:t>Building standards</w:t>
      </w:r>
      <w:bookmarkEnd w:id="53"/>
      <w:bookmarkEnd w:id="54"/>
      <w:bookmarkEnd w:id="55"/>
      <w:bookmarkEnd w:id="56"/>
      <w:bookmarkEnd w:id="57"/>
    </w:p>
    <w:p>
      <w:pPr>
        <w:pStyle w:val="Heading3"/>
        <w:spacing w:before="220"/>
      </w:pPr>
      <w:bookmarkStart w:id="58" w:name="_Toc471983521"/>
      <w:bookmarkStart w:id="59" w:name="_Toc471983645"/>
      <w:bookmarkStart w:id="60" w:name="_Toc472948163"/>
      <w:bookmarkStart w:id="61" w:name="_Toc474160762"/>
      <w:bookmarkStart w:id="62" w:name="_Toc485979601"/>
      <w:r>
        <w:rPr>
          <w:rStyle w:val="CharDivNo"/>
        </w:rPr>
        <w:t>Division 1</w:t>
      </w:r>
      <w:r>
        <w:t> — </w:t>
      </w:r>
      <w:r>
        <w:rPr>
          <w:rStyle w:val="CharDivText"/>
        </w:rPr>
        <w:t>Applicable building standards</w:t>
      </w:r>
      <w:bookmarkEnd w:id="58"/>
      <w:bookmarkEnd w:id="59"/>
      <w:bookmarkEnd w:id="60"/>
      <w:bookmarkEnd w:id="61"/>
      <w:bookmarkEnd w:id="62"/>
    </w:p>
    <w:p>
      <w:pPr>
        <w:pStyle w:val="Footnoteheading"/>
        <w:spacing w:before="100"/>
      </w:pPr>
      <w:r>
        <w:tab/>
        <w:t>[Heading inserted in Gazette 18 Dec 2012 p. 6562.]</w:t>
      </w:r>
    </w:p>
    <w:p>
      <w:pPr>
        <w:pStyle w:val="Heading4"/>
        <w:spacing w:before="220"/>
      </w:pPr>
      <w:bookmarkStart w:id="63" w:name="_Toc471983522"/>
      <w:bookmarkStart w:id="64" w:name="_Toc471983646"/>
      <w:bookmarkStart w:id="65" w:name="_Toc472948164"/>
      <w:bookmarkStart w:id="66" w:name="_Toc474160763"/>
      <w:bookmarkStart w:id="67" w:name="_Toc485979602"/>
      <w:r>
        <w:t>Subdivision 1 — Building standards in relation to construction</w:t>
      </w:r>
      <w:bookmarkEnd w:id="63"/>
      <w:bookmarkEnd w:id="64"/>
      <w:bookmarkEnd w:id="65"/>
      <w:bookmarkEnd w:id="66"/>
      <w:bookmarkEnd w:id="67"/>
    </w:p>
    <w:p>
      <w:pPr>
        <w:pStyle w:val="Footnoteheading"/>
        <w:spacing w:before="100"/>
      </w:pPr>
      <w:r>
        <w:tab/>
        <w:t>[Heading inserted in Gazette 18 Dec 2012 p. 6562.]</w:t>
      </w:r>
    </w:p>
    <w:p>
      <w:pPr>
        <w:pStyle w:val="Heading5"/>
        <w:spacing w:before="200"/>
      </w:pPr>
      <w:bookmarkStart w:id="68" w:name="_Toc485979603"/>
      <w:r>
        <w:rPr>
          <w:rStyle w:val="CharSectno"/>
        </w:rPr>
        <w:t>31A</w:t>
      </w:r>
      <w:r>
        <w:t>.</w:t>
      </w:r>
      <w:r>
        <w:tab/>
        <w:t>Applicable building standards generally (s. 3, 19(3) and 37(1))</w:t>
      </w:r>
      <w:bookmarkEnd w:id="6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69" w:name="_Toc485979604"/>
      <w:r>
        <w:rPr>
          <w:rStyle w:val="CharSectno"/>
        </w:rPr>
        <w:t>31BA</w:t>
      </w:r>
      <w:r>
        <w:t>.</w:t>
      </w:r>
      <w:r>
        <w:tab/>
        <w:t>Applicable building standards for buildings and incidental structures in bush fire prone areas (s. 3, 19(3), 37(1) and (2), 57(3), 49(b), 51(2) and (3))</w:t>
      </w:r>
      <w:bookmarkEnd w:id="69"/>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70" w:name="_Toc485979605"/>
      <w:r>
        <w:rPr>
          <w:rStyle w:val="CharSectno"/>
        </w:rPr>
        <w:t>31B</w:t>
      </w:r>
      <w:r>
        <w:t>.</w:t>
      </w:r>
      <w:r>
        <w:tab/>
        <w:t>Applicable building standards for alterations etc. before 1 May 2015 (s. 3, 19(3) and 37(1))</w:t>
      </w:r>
      <w:bookmarkEnd w:id="7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71" w:name="_Toc485979606"/>
      <w:r>
        <w:rPr>
          <w:rStyle w:val="CharSectno"/>
        </w:rPr>
        <w:t>31C</w:t>
      </w:r>
      <w:r>
        <w:t>.</w:t>
      </w:r>
      <w:r>
        <w:tab/>
        <w:t>Applicable building standards for swimming pools (s. 3, 19(3) and 37(1) and (2))</w:t>
      </w:r>
      <w:bookmarkEnd w:id="7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72" w:name="_Toc485979607"/>
      <w:r>
        <w:rPr>
          <w:rStyle w:val="CharSectno"/>
        </w:rPr>
        <w:t>31D</w:t>
      </w:r>
      <w:r>
        <w:t>.</w:t>
      </w:r>
      <w:r>
        <w:tab/>
        <w:t>Applicable building standards for relocated buildings and incidental structures (other than swimming pools) (s. 3, 19(3) and 37(1) and (2))</w:t>
      </w:r>
      <w:bookmarkEnd w:id="72"/>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73" w:name="_Toc485979608"/>
      <w:r>
        <w:rPr>
          <w:rStyle w:val="CharSectno"/>
        </w:rPr>
        <w:t>31E</w:t>
      </w:r>
      <w:r>
        <w:t>.</w:t>
      </w:r>
      <w:r>
        <w:tab/>
        <w:t>Applicable building standards for building work done without permit (s. 3 and 37(2))</w:t>
      </w:r>
      <w:bookmarkEnd w:id="7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74" w:name="_Toc485979609"/>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7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75" w:name="_Toc485979610"/>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7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76" w:name="_Toc48597961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77" w:name="_Toc471983532"/>
      <w:bookmarkStart w:id="78" w:name="_Toc471983656"/>
      <w:bookmarkStart w:id="79" w:name="_Toc472948174"/>
      <w:bookmarkStart w:id="80" w:name="_Toc474160773"/>
      <w:bookmarkStart w:id="81" w:name="_Toc485979612"/>
      <w:r>
        <w:t>Subdivision 2 — Building standards in relation to demolition</w:t>
      </w:r>
      <w:bookmarkEnd w:id="77"/>
      <w:bookmarkEnd w:id="78"/>
      <w:bookmarkEnd w:id="79"/>
      <w:bookmarkEnd w:id="80"/>
      <w:bookmarkEnd w:id="81"/>
    </w:p>
    <w:p>
      <w:pPr>
        <w:pStyle w:val="Footnoteheading"/>
      </w:pPr>
      <w:r>
        <w:tab/>
        <w:t>[Heading inserted in Gazette 18 Dec 2012 p. 6570.]</w:t>
      </w:r>
    </w:p>
    <w:p>
      <w:pPr>
        <w:pStyle w:val="Heading5"/>
        <w:spacing w:before="240"/>
      </w:pPr>
      <w:bookmarkStart w:id="82" w:name="_Toc485979613"/>
      <w:r>
        <w:rPr>
          <w:rStyle w:val="CharSectno"/>
        </w:rPr>
        <w:t>31I</w:t>
      </w:r>
      <w:r>
        <w:t>.</w:t>
      </w:r>
      <w:r>
        <w:tab/>
        <w:t>Applicable building standards in relation to demolition work (s. 3 and 38)</w:t>
      </w:r>
      <w:bookmarkEnd w:id="8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83" w:name="_Toc471983534"/>
      <w:bookmarkStart w:id="84" w:name="_Toc471983658"/>
      <w:bookmarkStart w:id="85" w:name="_Toc472948176"/>
      <w:bookmarkStart w:id="86" w:name="_Toc474160775"/>
      <w:bookmarkStart w:id="87" w:name="_Toc485979614"/>
      <w:r>
        <w:rPr>
          <w:rStyle w:val="CharDivNo"/>
        </w:rPr>
        <w:t>Division 2</w:t>
      </w:r>
      <w:r>
        <w:t> — </w:t>
      </w:r>
      <w:r>
        <w:rPr>
          <w:rStyle w:val="CharDivText"/>
        </w:rPr>
        <w:t>Demonstrating compliance with building standards</w:t>
      </w:r>
      <w:bookmarkEnd w:id="83"/>
      <w:bookmarkEnd w:id="84"/>
      <w:bookmarkEnd w:id="85"/>
      <w:bookmarkEnd w:id="86"/>
      <w:bookmarkEnd w:id="87"/>
    </w:p>
    <w:p>
      <w:pPr>
        <w:pStyle w:val="Footnoteheading"/>
      </w:pPr>
      <w:r>
        <w:tab/>
        <w:t>[Heading inserted in Gazette 18 Dec 2012 p. 6571.]</w:t>
      </w:r>
    </w:p>
    <w:p>
      <w:pPr>
        <w:pStyle w:val="Heading5"/>
      </w:pPr>
      <w:bookmarkStart w:id="88" w:name="_Toc485979615"/>
      <w:r>
        <w:rPr>
          <w:rStyle w:val="CharSectno"/>
        </w:rPr>
        <w:t>31J</w:t>
      </w:r>
      <w:r>
        <w:t>.</w:t>
      </w:r>
      <w:r>
        <w:tab/>
        <w:t>Compliance with building standards — CodeMark certificates</w:t>
      </w:r>
      <w:bookmarkEnd w:id="88"/>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89" w:name="_Toc471983536"/>
      <w:bookmarkStart w:id="90" w:name="_Toc471983660"/>
      <w:bookmarkStart w:id="91" w:name="_Toc472948178"/>
      <w:bookmarkStart w:id="92" w:name="_Toc474160777"/>
      <w:bookmarkStart w:id="93" w:name="_Toc485979616"/>
      <w:r>
        <w:rPr>
          <w:rStyle w:val="CharDivNo"/>
        </w:rPr>
        <w:t>Division 3</w:t>
      </w:r>
      <w:r>
        <w:t> — </w:t>
      </w:r>
      <w:r>
        <w:rPr>
          <w:rStyle w:val="CharDivText"/>
        </w:rPr>
        <w:t>Non</w:t>
      </w:r>
      <w:r>
        <w:rPr>
          <w:rStyle w:val="CharDivText"/>
        </w:rPr>
        <w:noBreakHyphen/>
        <w:t>application, modification, of building standards</w:t>
      </w:r>
      <w:bookmarkEnd w:id="89"/>
      <w:bookmarkEnd w:id="90"/>
      <w:bookmarkEnd w:id="91"/>
      <w:bookmarkEnd w:id="92"/>
      <w:bookmarkEnd w:id="93"/>
    </w:p>
    <w:p>
      <w:pPr>
        <w:pStyle w:val="Footnoteheading"/>
      </w:pPr>
      <w:r>
        <w:tab/>
        <w:t>[Heading inserted in Gazette 18 Dec 2012 p. 6571.]</w:t>
      </w:r>
    </w:p>
    <w:p>
      <w:pPr>
        <w:pStyle w:val="Heading5"/>
      </w:pPr>
      <w:bookmarkStart w:id="94" w:name="_Toc485979617"/>
      <w:r>
        <w:rPr>
          <w:rStyle w:val="CharSectno"/>
        </w:rPr>
        <w:t>31</w:t>
      </w:r>
      <w:r>
        <w:t>.</w:t>
      </w:r>
      <w:r>
        <w:tab/>
        <w:t>Terms used</w:t>
      </w:r>
      <w:bookmarkEnd w:id="94"/>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95" w:name="_Toc485979618"/>
      <w:r>
        <w:rPr>
          <w:rStyle w:val="CharSectno"/>
        </w:rPr>
        <w:t>32</w:t>
      </w:r>
      <w:r>
        <w:t>.</w:t>
      </w:r>
      <w:r>
        <w:tab/>
        <w:t>Statements to accompany application (s. 39(8)(b))</w:t>
      </w:r>
      <w:bookmarkEnd w:id="95"/>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96" w:name="_Toc472501811"/>
      <w:bookmarkStart w:id="97" w:name="_Toc472503579"/>
      <w:bookmarkStart w:id="98" w:name="_Toc485979619"/>
      <w:r>
        <w:rPr>
          <w:rStyle w:val="CharSectno"/>
        </w:rPr>
        <w:t>32A</w:t>
      </w:r>
      <w:r>
        <w:t>.</w:t>
      </w:r>
      <w:r>
        <w:tab/>
        <w:t>Statement to accompany transitional bush fire application (s. 39(8)(b))</w:t>
      </w:r>
      <w:bookmarkEnd w:id="96"/>
      <w:bookmarkEnd w:id="97"/>
      <w:bookmarkEnd w:id="9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99" w:name="_Toc485979620"/>
      <w:r>
        <w:rPr>
          <w:rStyle w:val="CharSectno"/>
        </w:rPr>
        <w:t>33</w:t>
      </w:r>
      <w:r>
        <w:t>.</w:t>
      </w:r>
      <w:r>
        <w:tab/>
        <w:t>Decisions on applications (s. 39(9)(a))</w:t>
      </w:r>
      <w:bookmarkEnd w:id="9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00" w:name="_Toc485979621"/>
      <w:r>
        <w:rPr>
          <w:rStyle w:val="CharSectno"/>
        </w:rPr>
        <w:t>34</w:t>
      </w:r>
      <w:r>
        <w:t>.</w:t>
      </w:r>
      <w:r>
        <w:tab/>
        <w:t>Revoking or amending declarations (s. 39(9)(b))</w:t>
      </w:r>
      <w:bookmarkEnd w:id="10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01" w:name="_Toc471983541"/>
      <w:bookmarkStart w:id="102" w:name="_Toc471983665"/>
      <w:bookmarkStart w:id="103" w:name="_Toc472948183"/>
      <w:bookmarkStart w:id="104" w:name="_Toc474160783"/>
      <w:bookmarkStart w:id="105" w:name="_Toc485979622"/>
      <w:r>
        <w:rPr>
          <w:rStyle w:val="CharPartNo"/>
        </w:rPr>
        <w:t>Part 5</w:t>
      </w:r>
      <w:r>
        <w:rPr>
          <w:rStyle w:val="CharDivNo"/>
        </w:rPr>
        <w:t> </w:t>
      </w:r>
      <w:r>
        <w:t>—</w:t>
      </w:r>
      <w:r>
        <w:rPr>
          <w:rStyle w:val="CharDivText"/>
        </w:rPr>
        <w:t> </w:t>
      </w:r>
      <w:r>
        <w:rPr>
          <w:rStyle w:val="CharPartText"/>
        </w:rPr>
        <w:t>Occupancy permits and building approval certificates</w:t>
      </w:r>
      <w:bookmarkEnd w:id="101"/>
      <w:bookmarkEnd w:id="102"/>
      <w:bookmarkEnd w:id="103"/>
      <w:bookmarkEnd w:id="104"/>
      <w:bookmarkEnd w:id="105"/>
    </w:p>
    <w:p>
      <w:pPr>
        <w:pStyle w:val="Heading5"/>
      </w:pPr>
      <w:bookmarkStart w:id="106" w:name="_Toc485979623"/>
      <w:r>
        <w:rPr>
          <w:rStyle w:val="CharSectno"/>
        </w:rPr>
        <w:t>35</w:t>
      </w:r>
      <w:r>
        <w:t>.</w:t>
      </w:r>
      <w:r>
        <w:tab/>
        <w:t>Display of occupancy permit details (s. 42(a))</w:t>
      </w:r>
      <w:bookmarkEnd w:id="10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07" w:name="_Toc485979624"/>
      <w:r>
        <w:rPr>
          <w:rStyle w:val="CharSectno"/>
        </w:rPr>
        <w:t>36A</w:t>
      </w:r>
      <w:r>
        <w:t>.</w:t>
      </w:r>
      <w:r>
        <w:tab/>
        <w:t>Further information (s. 55(3) and (4))</w:t>
      </w:r>
      <w:bookmarkEnd w:id="10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08" w:name="_Toc485979625"/>
      <w:r>
        <w:rPr>
          <w:rStyle w:val="CharSectno"/>
        </w:rPr>
        <w:t>36</w:t>
      </w:r>
      <w:r>
        <w:t>.</w:t>
      </w:r>
      <w:r>
        <w:tab/>
        <w:t>Certificate of building compliance (s. 57)</w:t>
      </w:r>
      <w:bookmarkEnd w:id="10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w:t>
      </w:r>
    </w:p>
    <w:p>
      <w:pPr>
        <w:pStyle w:val="Heading5"/>
      </w:pPr>
      <w:bookmarkStart w:id="109" w:name="_Toc485979626"/>
      <w:r>
        <w:rPr>
          <w:rStyle w:val="CharSectno"/>
        </w:rPr>
        <w:t>37</w:t>
      </w:r>
      <w:r>
        <w:t>.</w:t>
      </w:r>
      <w:r>
        <w:tab/>
        <w:t>Grant of occupancy permit or building approval certificate (s. 58)</w:t>
      </w:r>
      <w:bookmarkEnd w:id="10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110" w:name="_Toc485979627"/>
      <w:r>
        <w:rPr>
          <w:rStyle w:val="CharSectno"/>
        </w:rPr>
        <w:t>38</w:t>
      </w:r>
      <w:r>
        <w:t>.</w:t>
      </w:r>
      <w:r>
        <w:tab/>
        <w:t>Time for granting occupancy permit or building approval certificate (s. 59)</w:t>
      </w:r>
      <w:bookmarkEnd w:id="110"/>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11" w:name="_Toc485979628"/>
      <w:r>
        <w:rPr>
          <w:rStyle w:val="CharSectno"/>
        </w:rPr>
        <w:t>39</w:t>
      </w:r>
      <w:r>
        <w:t>.</w:t>
      </w:r>
      <w:r>
        <w:tab/>
        <w:t>Occupancy permit and building approval certificates (s. 61(2))</w:t>
      </w:r>
      <w:bookmarkEnd w:id="11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12" w:name="_Toc485979629"/>
      <w:r>
        <w:rPr>
          <w:rStyle w:val="CharSectno"/>
        </w:rPr>
        <w:t>40</w:t>
      </w:r>
      <w:r>
        <w:t>.</w:t>
      </w:r>
      <w:r>
        <w:tab/>
        <w:t>Extension of period of duration of time limited occupancy permit or building approval certificate (s. 65)</w:t>
      </w:r>
      <w:bookmarkEnd w:id="11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13" w:name="_Toc471983549"/>
      <w:bookmarkStart w:id="114" w:name="_Toc471983673"/>
      <w:bookmarkStart w:id="115" w:name="_Toc472948191"/>
      <w:bookmarkStart w:id="116" w:name="_Toc474160791"/>
      <w:bookmarkStart w:id="117" w:name="_Toc485979630"/>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13"/>
      <w:bookmarkEnd w:id="114"/>
      <w:bookmarkEnd w:id="115"/>
      <w:bookmarkEnd w:id="116"/>
      <w:bookmarkEnd w:id="117"/>
    </w:p>
    <w:p>
      <w:pPr>
        <w:pStyle w:val="Heading5"/>
      </w:pPr>
      <w:bookmarkStart w:id="118" w:name="_Toc485979631"/>
      <w:r>
        <w:rPr>
          <w:rStyle w:val="CharSectno"/>
        </w:rPr>
        <w:t>41</w:t>
      </w:r>
      <w:r>
        <w:t>.</w:t>
      </w:r>
      <w:r>
        <w:tab/>
        <w:t>Building work for which building permit not required (s. 9(b))</w:t>
      </w:r>
      <w:bookmarkEnd w:id="11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19" w:name="_Toc485979632"/>
      <w:r>
        <w:rPr>
          <w:rStyle w:val="CharSectno"/>
        </w:rPr>
        <w:t>42</w:t>
      </w:r>
      <w:r>
        <w:t>.</w:t>
      </w:r>
      <w:r>
        <w:tab/>
        <w:t>Demolition work for which demolition permit not required (s. 10(c))</w:t>
      </w:r>
      <w:bookmarkEnd w:id="11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20" w:name="_Toc485979633"/>
      <w:r>
        <w:rPr>
          <w:rStyle w:val="CharSectno"/>
        </w:rPr>
        <w:t>43</w:t>
      </w:r>
      <w:r>
        <w:t>.</w:t>
      </w:r>
      <w:r>
        <w:tab/>
        <w:t>Buildings for which occupancy permit not required (s. 41(2))</w:t>
      </w:r>
      <w:bookmarkEnd w:id="12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21" w:name="_Toc471983553"/>
      <w:bookmarkStart w:id="122" w:name="_Toc471983677"/>
      <w:bookmarkStart w:id="123" w:name="_Toc472948195"/>
      <w:bookmarkStart w:id="124" w:name="_Toc474160795"/>
      <w:bookmarkStart w:id="125" w:name="_Toc485979634"/>
      <w:r>
        <w:rPr>
          <w:rStyle w:val="CharPartNo"/>
        </w:rPr>
        <w:t>Part 7</w:t>
      </w:r>
      <w:r>
        <w:rPr>
          <w:rStyle w:val="CharDivNo"/>
        </w:rPr>
        <w:t> </w:t>
      </w:r>
      <w:r>
        <w:t>—</w:t>
      </w:r>
      <w:r>
        <w:rPr>
          <w:rStyle w:val="CharDivText"/>
        </w:rPr>
        <w:t> </w:t>
      </w:r>
      <w:r>
        <w:rPr>
          <w:rStyle w:val="CharPartText"/>
        </w:rPr>
        <w:t>Work affecting other land</w:t>
      </w:r>
      <w:bookmarkEnd w:id="121"/>
      <w:bookmarkEnd w:id="122"/>
      <w:bookmarkEnd w:id="123"/>
      <w:bookmarkEnd w:id="124"/>
      <w:bookmarkEnd w:id="125"/>
    </w:p>
    <w:p>
      <w:pPr>
        <w:pStyle w:val="Heading5"/>
      </w:pPr>
      <w:bookmarkStart w:id="126" w:name="_Toc485979635"/>
      <w:r>
        <w:rPr>
          <w:rStyle w:val="CharSectno"/>
        </w:rPr>
        <w:t>44A</w:t>
      </w:r>
      <w:r>
        <w:t>.</w:t>
      </w:r>
      <w:r>
        <w:tab/>
        <w:t>Terms used</w:t>
      </w:r>
      <w:bookmarkEnd w:id="12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27" w:name="_Toc485979636"/>
      <w:r>
        <w:rPr>
          <w:rStyle w:val="CharSectno"/>
        </w:rPr>
        <w:t>44</w:t>
      </w:r>
      <w:r>
        <w:t>.</w:t>
      </w:r>
      <w:r>
        <w:tab/>
        <w:t>Owner of land for purposes of Part 6 of Act</w:t>
      </w:r>
      <w:bookmarkEnd w:id="12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28" w:name="_Toc485979637"/>
      <w:r>
        <w:rPr>
          <w:rStyle w:val="CharSectno"/>
        </w:rPr>
        <w:t>45A</w:t>
      </w:r>
      <w:r>
        <w:t>.</w:t>
      </w:r>
      <w:r>
        <w:tab/>
        <w:t>Minor encroachments (s. 76(1)(c))</w:t>
      </w:r>
      <w:bookmarkEnd w:id="12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29" w:name="_Toc485979638"/>
      <w:r>
        <w:rPr>
          <w:rStyle w:val="CharSectno"/>
        </w:rPr>
        <w:t>45B</w:t>
      </w:r>
      <w:r>
        <w:t>.</w:t>
      </w:r>
      <w:r>
        <w:tab/>
        <w:t>Circumstances prescribed for purposes of section 76(1)(e)</w:t>
      </w:r>
      <w:bookmarkEnd w:id="12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30" w:name="_Toc485979639"/>
      <w:r>
        <w:rPr>
          <w:rStyle w:val="CharSectno"/>
        </w:rPr>
        <w:t>45</w:t>
      </w:r>
      <w:r>
        <w:t>.</w:t>
      </w:r>
      <w:r>
        <w:tab/>
        <w:t>Content of notice about effect on other land (s. 85)</w:t>
      </w:r>
      <w:bookmarkEnd w:id="13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31" w:name="_Toc471983559"/>
      <w:bookmarkStart w:id="132" w:name="_Toc471983683"/>
      <w:bookmarkStart w:id="133" w:name="_Toc472948201"/>
      <w:bookmarkStart w:id="134" w:name="_Toc474160801"/>
      <w:bookmarkStart w:id="135" w:name="_Toc485979640"/>
      <w:r>
        <w:rPr>
          <w:rStyle w:val="CharPartNo"/>
        </w:rPr>
        <w:t>Part 8</w:t>
      </w:r>
      <w:r>
        <w:t> — </w:t>
      </w:r>
      <w:r>
        <w:rPr>
          <w:rStyle w:val="CharPartText"/>
        </w:rPr>
        <w:t>Existing buildings</w:t>
      </w:r>
      <w:bookmarkEnd w:id="131"/>
      <w:bookmarkEnd w:id="132"/>
      <w:bookmarkEnd w:id="133"/>
      <w:bookmarkEnd w:id="134"/>
      <w:bookmarkEnd w:id="135"/>
    </w:p>
    <w:p>
      <w:pPr>
        <w:pStyle w:val="Heading3"/>
      </w:pPr>
      <w:bookmarkStart w:id="136" w:name="_Toc471983560"/>
      <w:bookmarkStart w:id="137" w:name="_Toc471983684"/>
      <w:bookmarkStart w:id="138" w:name="_Toc472948202"/>
      <w:bookmarkStart w:id="139" w:name="_Toc474160802"/>
      <w:bookmarkStart w:id="140" w:name="_Toc485979641"/>
      <w:r>
        <w:rPr>
          <w:rStyle w:val="CharDivNo"/>
        </w:rPr>
        <w:t>Division 1</w:t>
      </w:r>
      <w:r>
        <w:t> — </w:t>
      </w:r>
      <w:r>
        <w:rPr>
          <w:rStyle w:val="CharDivText"/>
        </w:rPr>
        <w:t>General</w:t>
      </w:r>
      <w:bookmarkEnd w:id="136"/>
      <w:bookmarkEnd w:id="137"/>
      <w:bookmarkEnd w:id="138"/>
      <w:bookmarkEnd w:id="139"/>
      <w:bookmarkEnd w:id="140"/>
    </w:p>
    <w:p>
      <w:pPr>
        <w:pStyle w:val="Ednotesection"/>
        <w:spacing w:before="240"/>
      </w:pPr>
      <w:r>
        <w:t>[</w:t>
      </w:r>
      <w:r>
        <w:rPr>
          <w:b/>
        </w:rPr>
        <w:t>46.</w:t>
      </w:r>
      <w:r>
        <w:tab/>
        <w:t>Deleted in Gazette 18 Dec 2012 p. 6574.]</w:t>
      </w:r>
    </w:p>
    <w:p>
      <w:pPr>
        <w:pStyle w:val="Heading5"/>
        <w:spacing w:before="240"/>
      </w:pPr>
      <w:bookmarkStart w:id="141" w:name="_Toc485979642"/>
      <w:r>
        <w:rPr>
          <w:rStyle w:val="CharSectno"/>
        </w:rPr>
        <w:t>47</w:t>
      </w:r>
      <w:r>
        <w:t>.</w:t>
      </w:r>
      <w:r>
        <w:tab/>
        <w:t>Notification of change of classification of certain buildings and incidental structures</w:t>
      </w:r>
      <w:bookmarkEnd w:id="14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42" w:name="_Toc471983562"/>
      <w:bookmarkStart w:id="143" w:name="_Toc471983686"/>
      <w:bookmarkStart w:id="144" w:name="_Toc472948204"/>
      <w:bookmarkStart w:id="145" w:name="_Toc474160804"/>
      <w:bookmarkStart w:id="146" w:name="_Toc485979643"/>
      <w:r>
        <w:rPr>
          <w:rStyle w:val="CharDivNo"/>
        </w:rPr>
        <w:t>Division 2A</w:t>
      </w:r>
      <w:r>
        <w:t> — </w:t>
      </w:r>
      <w:r>
        <w:rPr>
          <w:rStyle w:val="CharDivText"/>
        </w:rPr>
        <w:t>Maintenance</w:t>
      </w:r>
      <w:bookmarkEnd w:id="142"/>
      <w:bookmarkEnd w:id="143"/>
      <w:bookmarkEnd w:id="144"/>
      <w:bookmarkEnd w:id="145"/>
      <w:bookmarkEnd w:id="146"/>
    </w:p>
    <w:p>
      <w:pPr>
        <w:pStyle w:val="Footnoteheading"/>
        <w:keepNext/>
      </w:pPr>
      <w:r>
        <w:tab/>
        <w:t>[Heading inserted in Gazette 24 Apr 2014 p. 1138.]</w:t>
      </w:r>
    </w:p>
    <w:p>
      <w:pPr>
        <w:pStyle w:val="Heading5"/>
      </w:pPr>
      <w:bookmarkStart w:id="147" w:name="_Toc485979644"/>
      <w:r>
        <w:rPr>
          <w:rStyle w:val="CharSectno"/>
        </w:rPr>
        <w:t>48A</w:t>
      </w:r>
      <w:r>
        <w:t>.</w:t>
      </w:r>
      <w:r>
        <w:tab/>
        <w:t>Maintenance of buildings</w:t>
      </w:r>
      <w:bookmarkEnd w:id="14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48" w:name="_Toc471983564"/>
      <w:bookmarkStart w:id="149" w:name="_Toc471983688"/>
      <w:bookmarkStart w:id="150" w:name="_Toc472948206"/>
      <w:bookmarkStart w:id="151" w:name="_Toc474160806"/>
      <w:bookmarkStart w:id="152" w:name="_Toc485979645"/>
      <w:r>
        <w:rPr>
          <w:rStyle w:val="CharDivNo"/>
        </w:rPr>
        <w:t>Division 2</w:t>
      </w:r>
      <w:r>
        <w:t> — </w:t>
      </w:r>
      <w:r>
        <w:rPr>
          <w:rStyle w:val="CharDivText"/>
        </w:rPr>
        <w:t>Private swimming pools</w:t>
      </w:r>
      <w:bookmarkEnd w:id="148"/>
      <w:bookmarkEnd w:id="149"/>
      <w:bookmarkEnd w:id="150"/>
      <w:bookmarkEnd w:id="151"/>
      <w:bookmarkEnd w:id="152"/>
    </w:p>
    <w:p>
      <w:pPr>
        <w:pStyle w:val="Heading5"/>
        <w:spacing w:before="180"/>
      </w:pPr>
      <w:bookmarkStart w:id="153" w:name="_Toc485979646"/>
      <w:r>
        <w:rPr>
          <w:rStyle w:val="CharSectno"/>
        </w:rPr>
        <w:t>48</w:t>
      </w:r>
      <w:r>
        <w:t>.</w:t>
      </w:r>
      <w:r>
        <w:tab/>
        <w:t>Terms used</w:t>
      </w:r>
      <w:bookmarkEnd w:id="15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54" w:name="_Toc485979647"/>
      <w:r>
        <w:rPr>
          <w:rStyle w:val="CharSectno"/>
        </w:rPr>
        <w:t>49</w:t>
      </w:r>
      <w:r>
        <w:t>.</w:t>
      </w:r>
      <w:r>
        <w:tab/>
        <w:t>Application of this Division</w:t>
      </w:r>
      <w:bookmarkEnd w:id="15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55" w:name="_Toc485979648"/>
      <w:r>
        <w:rPr>
          <w:rStyle w:val="CharSectno"/>
        </w:rPr>
        <w:t>50</w:t>
      </w:r>
      <w:r>
        <w:t>.</w:t>
      </w:r>
      <w:r>
        <w:tab/>
        <w:t>Barrier to private swimming pool</w:t>
      </w:r>
      <w:bookmarkEnd w:id="15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156" w:name="_Toc485979649"/>
      <w:r>
        <w:rPr>
          <w:rStyle w:val="CharSectno"/>
        </w:rPr>
        <w:t>51</w:t>
      </w:r>
      <w:r>
        <w:t>.</w:t>
      </w:r>
      <w:r>
        <w:tab/>
        <w:t>Approvals by permit authority</w:t>
      </w:r>
      <w:bookmarkEnd w:id="15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157" w:name="_Toc485979650"/>
      <w:r>
        <w:rPr>
          <w:rStyle w:val="CharSectno"/>
        </w:rPr>
        <w:t>52</w:t>
      </w:r>
      <w:r>
        <w:t>.</w:t>
      </w:r>
      <w:r>
        <w:tab/>
        <w:t>Concessions for pre</w:t>
      </w:r>
      <w:r>
        <w:noBreakHyphen/>
        <w:t>November 2001 private swimming pools</w:t>
      </w:r>
      <w:bookmarkEnd w:id="15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58" w:name="_Toc485979651"/>
      <w:r>
        <w:rPr>
          <w:rStyle w:val="CharSectno"/>
        </w:rPr>
        <w:t>53</w:t>
      </w:r>
      <w:r>
        <w:t>.</w:t>
      </w:r>
      <w:r>
        <w:tab/>
        <w:t>Inspection of barrier to private swimming pool</w:t>
      </w:r>
      <w:bookmarkEnd w:id="158"/>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159" w:name="_Toc485979652"/>
      <w:r>
        <w:rPr>
          <w:rStyle w:val="CharSectno"/>
        </w:rPr>
        <w:t>54A</w:t>
      </w:r>
      <w:r>
        <w:t>.</w:t>
      </w:r>
      <w:r>
        <w:tab/>
        <w:t>Temporary pool barriers</w:t>
      </w:r>
      <w:bookmarkEnd w:id="159"/>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60" w:name="_Toc485979653"/>
      <w:r>
        <w:rPr>
          <w:rStyle w:val="CharSectno"/>
        </w:rPr>
        <w:t>54</w:t>
      </w:r>
      <w:r>
        <w:t>.</w:t>
      </w:r>
      <w:r>
        <w:tab/>
        <w:t>Transitional provisions — persons authorised to carry out inspections of private swimming pools</w:t>
      </w:r>
      <w:bookmarkEnd w:id="16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61" w:name="_Toc471983573"/>
      <w:bookmarkStart w:id="162" w:name="_Toc471983697"/>
      <w:bookmarkStart w:id="163" w:name="_Toc472948215"/>
      <w:bookmarkStart w:id="164" w:name="_Toc474160815"/>
      <w:bookmarkStart w:id="165" w:name="_Toc485979654"/>
      <w:r>
        <w:rPr>
          <w:rStyle w:val="CharDivNo"/>
        </w:rPr>
        <w:t>Division 3</w:t>
      </w:r>
      <w:r>
        <w:t> — </w:t>
      </w:r>
      <w:r>
        <w:rPr>
          <w:rStyle w:val="CharDivText"/>
        </w:rPr>
        <w:t>Smoke alarms</w:t>
      </w:r>
      <w:bookmarkEnd w:id="161"/>
      <w:bookmarkEnd w:id="162"/>
      <w:bookmarkEnd w:id="163"/>
      <w:bookmarkEnd w:id="164"/>
      <w:bookmarkEnd w:id="165"/>
    </w:p>
    <w:p>
      <w:pPr>
        <w:pStyle w:val="Heading5"/>
      </w:pPr>
      <w:bookmarkStart w:id="166" w:name="_Toc485979655"/>
      <w:r>
        <w:rPr>
          <w:rStyle w:val="CharSectno"/>
        </w:rPr>
        <w:t>55</w:t>
      </w:r>
      <w:r>
        <w:t>.</w:t>
      </w:r>
      <w:r>
        <w:tab/>
        <w:t>Terms used</w:t>
      </w:r>
      <w:bookmarkEnd w:id="16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167" w:name="_Toc485979656"/>
      <w:r>
        <w:rPr>
          <w:rStyle w:val="CharSectno"/>
        </w:rPr>
        <w:t>56</w:t>
      </w:r>
      <w:r>
        <w:t>.</w:t>
      </w:r>
      <w:r>
        <w:tab/>
        <w:t>Requirement to have smoke alarms or similar prior to transfer of dwelling</w:t>
      </w:r>
      <w:bookmarkEnd w:id="167"/>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68" w:name="_Toc485979657"/>
      <w:r>
        <w:rPr>
          <w:rStyle w:val="CharSectno"/>
        </w:rPr>
        <w:t>57</w:t>
      </w:r>
      <w:r>
        <w:t>.</w:t>
      </w:r>
      <w:r>
        <w:tab/>
        <w:t>New owner must install smoke alarms or similar, and right to recover costs</w:t>
      </w:r>
      <w:bookmarkEnd w:id="16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169" w:name="_Toc485979658"/>
      <w:r>
        <w:rPr>
          <w:rStyle w:val="CharSectno"/>
        </w:rPr>
        <w:t>58</w:t>
      </w:r>
      <w:r>
        <w:t>.</w:t>
      </w:r>
      <w:r>
        <w:tab/>
        <w:t>Requirement to have smoke alarms or similar prior to tenancy</w:t>
      </w:r>
      <w:bookmarkEnd w:id="16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70" w:name="_Toc485979659"/>
      <w:r>
        <w:rPr>
          <w:rStyle w:val="CharSectno"/>
        </w:rPr>
        <w:t>59</w:t>
      </w:r>
      <w:r>
        <w:t>.</w:t>
      </w:r>
      <w:r>
        <w:tab/>
        <w:t>Requirement to have smoke alarms or similar prior to hire of dwelling</w:t>
      </w:r>
      <w:bookmarkEnd w:id="17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71" w:name="_Toc485979660"/>
      <w:r>
        <w:rPr>
          <w:rStyle w:val="CharSectno"/>
        </w:rPr>
        <w:t>60</w:t>
      </w:r>
      <w:r>
        <w:t>.</w:t>
      </w:r>
      <w:r>
        <w:tab/>
        <w:t>Requirements for smoke alarms</w:t>
      </w:r>
      <w:bookmarkEnd w:id="17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72" w:name="_Toc485979661"/>
      <w:r>
        <w:rPr>
          <w:rStyle w:val="CharSectno"/>
        </w:rPr>
        <w:t>61</w:t>
      </w:r>
      <w:r>
        <w:t>.</w:t>
      </w:r>
      <w:r>
        <w:tab/>
        <w:t>Local government approval of battery powered smoke alarms</w:t>
      </w:r>
      <w:bookmarkEnd w:id="17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173" w:name="_Toc485979662"/>
      <w:r>
        <w:rPr>
          <w:rStyle w:val="CharSectno"/>
        </w:rPr>
        <w:t>62</w:t>
      </w:r>
      <w:r>
        <w:t>.</w:t>
      </w:r>
      <w:r>
        <w:tab/>
        <w:t>Requirement to maintain certain smoke alarms</w:t>
      </w:r>
      <w:bookmarkEnd w:id="17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74" w:name="_Toc471983582"/>
      <w:bookmarkStart w:id="175" w:name="_Toc471983706"/>
      <w:bookmarkStart w:id="176" w:name="_Toc472948224"/>
      <w:bookmarkStart w:id="177" w:name="_Toc474160824"/>
      <w:bookmarkStart w:id="178" w:name="_Toc485979663"/>
      <w:r>
        <w:rPr>
          <w:rStyle w:val="CharPartNo"/>
        </w:rPr>
        <w:t>Part 10</w:t>
      </w:r>
      <w:r>
        <w:rPr>
          <w:rStyle w:val="CharDivNo"/>
        </w:rPr>
        <w:t> </w:t>
      </w:r>
      <w:r>
        <w:t>—</w:t>
      </w:r>
      <w:r>
        <w:rPr>
          <w:rStyle w:val="CharDivText"/>
        </w:rPr>
        <w:t> </w:t>
      </w:r>
      <w:r>
        <w:rPr>
          <w:rStyle w:val="CharPartText"/>
        </w:rPr>
        <w:t>Infringement notices</w:t>
      </w:r>
      <w:bookmarkEnd w:id="174"/>
      <w:bookmarkEnd w:id="175"/>
      <w:bookmarkEnd w:id="176"/>
      <w:bookmarkEnd w:id="177"/>
      <w:bookmarkEnd w:id="178"/>
    </w:p>
    <w:p>
      <w:pPr>
        <w:pStyle w:val="Footnoteheading"/>
      </w:pPr>
      <w:r>
        <w:tab/>
        <w:t>[Heading inserted in Gazette 18 Dec 2012 p. 6575.]</w:t>
      </w:r>
    </w:p>
    <w:p>
      <w:pPr>
        <w:pStyle w:val="Heading5"/>
      </w:pPr>
      <w:bookmarkStart w:id="179" w:name="_Toc485979664"/>
      <w:r>
        <w:rPr>
          <w:rStyle w:val="CharSectno"/>
        </w:rPr>
        <w:t>69</w:t>
      </w:r>
      <w:r>
        <w:t>.</w:t>
      </w:r>
      <w:r>
        <w:tab/>
        <w:t>Prescribed offences and modified penalties</w:t>
      </w:r>
      <w:bookmarkEnd w:id="17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80" w:name="_Toc485979665"/>
      <w:r>
        <w:rPr>
          <w:rStyle w:val="CharSectno"/>
        </w:rPr>
        <w:t>70</w:t>
      </w:r>
      <w:r>
        <w:t>.</w:t>
      </w:r>
      <w:r>
        <w:tab/>
        <w:t>Approved officers and authorised officers</w:t>
      </w:r>
      <w:bookmarkEnd w:id="18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81" w:name="_Toc485979666"/>
      <w:r>
        <w:rPr>
          <w:rStyle w:val="CharSectno"/>
        </w:rPr>
        <w:t>71</w:t>
      </w:r>
      <w:r>
        <w:t>.</w:t>
      </w:r>
      <w:r>
        <w:tab/>
        <w:t>Forms</w:t>
      </w:r>
      <w:bookmarkEnd w:id="18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2" w:name="_Toc471983586"/>
      <w:bookmarkStart w:id="183" w:name="_Toc471983710"/>
      <w:bookmarkStart w:id="184" w:name="_Toc472948228"/>
      <w:bookmarkStart w:id="185" w:name="_Toc474160828"/>
      <w:bookmarkStart w:id="186" w:name="_Toc485979667"/>
      <w:r>
        <w:rPr>
          <w:rStyle w:val="CharSchNo"/>
        </w:rPr>
        <w:t>Schedule 1</w:t>
      </w:r>
      <w:r>
        <w:rPr>
          <w:rStyle w:val="CharSDivNo"/>
        </w:rPr>
        <w:t> </w:t>
      </w:r>
      <w:r>
        <w:t>—</w:t>
      </w:r>
      <w:r>
        <w:rPr>
          <w:rStyle w:val="CharSDivText"/>
        </w:rPr>
        <w:t> </w:t>
      </w:r>
      <w:r>
        <w:rPr>
          <w:rStyle w:val="CharSchText"/>
        </w:rPr>
        <w:t>Estimated value of building work</w:t>
      </w:r>
      <w:bookmarkEnd w:id="182"/>
      <w:bookmarkEnd w:id="183"/>
      <w:bookmarkEnd w:id="184"/>
      <w:bookmarkEnd w:id="185"/>
      <w:bookmarkEnd w:id="186"/>
    </w:p>
    <w:p>
      <w:pPr>
        <w:pStyle w:val="yShoulderClause"/>
      </w:pPr>
      <w:r>
        <w:t>[r. 3]</w:t>
      </w:r>
    </w:p>
    <w:p>
      <w:pPr>
        <w:pStyle w:val="yHeading5"/>
        <w:spacing w:before="180"/>
      </w:pPr>
      <w:bookmarkStart w:id="187" w:name="_Toc485979668"/>
      <w:r>
        <w:rPr>
          <w:rStyle w:val="CharSClsNo"/>
        </w:rPr>
        <w:t>1</w:t>
      </w:r>
      <w:r>
        <w:t>.</w:t>
      </w:r>
      <w:r>
        <w:tab/>
        <w:t>Terms used</w:t>
      </w:r>
      <w:bookmarkEnd w:id="18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88" w:name="_Toc485979669"/>
      <w:r>
        <w:rPr>
          <w:rStyle w:val="CharSClsNo"/>
        </w:rPr>
        <w:t>2</w:t>
      </w:r>
      <w:r>
        <w:t>.</w:t>
      </w:r>
      <w:r>
        <w:tab/>
        <w:t>Estimated value of building work</w:t>
      </w:r>
      <w:bookmarkEnd w:id="18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89" w:name="_Toc485979670"/>
      <w:r>
        <w:rPr>
          <w:rStyle w:val="CharSClsNo"/>
        </w:rPr>
        <w:t>3</w:t>
      </w:r>
      <w:r>
        <w:t>.</w:t>
      </w:r>
      <w:r>
        <w:tab/>
        <w:t>Estimated value of unauthorised building work</w:t>
      </w:r>
      <w:bookmarkEnd w:id="189"/>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91" w:name="_Toc484696507"/>
      <w:bookmarkStart w:id="192" w:name="_Toc484696583"/>
      <w:bookmarkStart w:id="193" w:name="_Toc484697981"/>
      <w:bookmarkStart w:id="194" w:name="_Toc485979671"/>
      <w:bookmarkStart w:id="195" w:name="_Toc471983590"/>
      <w:bookmarkStart w:id="196" w:name="_Toc471983714"/>
      <w:bookmarkStart w:id="197" w:name="_Toc472948232"/>
      <w:bookmarkStart w:id="198" w:name="_Toc474160832"/>
      <w:r>
        <w:rPr>
          <w:rStyle w:val="CharSchNo"/>
        </w:rPr>
        <w:t>Schedule 2</w:t>
      </w:r>
      <w:r>
        <w:t> — </w:t>
      </w:r>
      <w:r>
        <w:rPr>
          <w:rStyle w:val="CharSchText"/>
        </w:rPr>
        <w:t>Fees</w:t>
      </w:r>
      <w:bookmarkEnd w:id="191"/>
      <w:bookmarkEnd w:id="192"/>
      <w:bookmarkEnd w:id="193"/>
      <w:bookmarkEnd w:id="194"/>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199" w:name="_Toc485979672"/>
      <w:r>
        <w:rPr>
          <w:rStyle w:val="CharSDivNo"/>
        </w:rPr>
        <w:t>Division 1</w:t>
      </w:r>
      <w:r>
        <w:t> — </w:t>
      </w:r>
      <w:r>
        <w:rPr>
          <w:rStyle w:val="CharSDivText"/>
        </w:rPr>
        <w:t>Applications for building permits, demolition permits</w:t>
      </w:r>
      <w:bookmarkEnd w:id="199"/>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bookmarkStart w:id="200" w:name="_Toc484696509"/>
      <w:bookmarkStart w:id="201" w:name="_Toc484696585"/>
      <w:bookmarkStart w:id="202" w:name="_Toc484697983"/>
      <w:r>
        <w:tab/>
        <w:t>[Division 1 inserted in Gazette 23 Jun 2017 p. 3222</w:t>
      </w:r>
      <w:r>
        <w:noBreakHyphen/>
        <w:t>3.]</w:t>
      </w:r>
    </w:p>
    <w:p>
      <w:pPr>
        <w:pStyle w:val="yHeading3"/>
      </w:pPr>
      <w:bookmarkStart w:id="203" w:name="_Toc485979673"/>
      <w:r>
        <w:rPr>
          <w:rStyle w:val="CharSDivNo"/>
        </w:rPr>
        <w:t>Division 2</w:t>
      </w:r>
      <w:r>
        <w:t> — </w:t>
      </w:r>
      <w:r>
        <w:rPr>
          <w:rStyle w:val="CharSDivText"/>
        </w:rPr>
        <w:t>Application for occupancy permits, building approval certificates</w:t>
      </w:r>
      <w:bookmarkEnd w:id="200"/>
      <w:bookmarkEnd w:id="201"/>
      <w:bookmarkEnd w:id="202"/>
      <w:bookmarkEnd w:id="203"/>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bookmarkStart w:id="204" w:name="_Toc484696510"/>
      <w:bookmarkStart w:id="205" w:name="_Toc484696586"/>
      <w:bookmarkStart w:id="206" w:name="_Toc484697984"/>
      <w:r>
        <w:tab/>
        <w:t>[Division 2 inserted in Gazette 23 Jun 2017 p. 3223</w:t>
      </w:r>
      <w:r>
        <w:noBreakHyphen/>
        <w:t>5.]</w:t>
      </w:r>
    </w:p>
    <w:p>
      <w:pPr>
        <w:pStyle w:val="yHeading3"/>
      </w:pPr>
      <w:bookmarkStart w:id="207" w:name="_Toc485979674"/>
      <w:r>
        <w:rPr>
          <w:rStyle w:val="CharSDivNo"/>
        </w:rPr>
        <w:t>Division 3</w:t>
      </w:r>
      <w:r>
        <w:t> — </w:t>
      </w:r>
      <w:r>
        <w:rPr>
          <w:rStyle w:val="CharSDivText"/>
        </w:rPr>
        <w:t>Other applications</w:t>
      </w:r>
      <w:bookmarkEnd w:id="204"/>
      <w:bookmarkEnd w:id="205"/>
      <w:bookmarkEnd w:id="206"/>
      <w:bookmarkEnd w:id="207"/>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bookmarkEnd w:id="195"/>
    <w:bookmarkEnd w:id="196"/>
    <w:bookmarkEnd w:id="197"/>
    <w:bookmarkEnd w:id="198"/>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08" w:name="_Toc471983594"/>
      <w:bookmarkStart w:id="209" w:name="_Toc471983718"/>
      <w:bookmarkStart w:id="210" w:name="_Toc472948236"/>
      <w:bookmarkStart w:id="211" w:name="_Toc474160836"/>
      <w:bookmarkStart w:id="212" w:name="_Toc485979675"/>
      <w:r>
        <w:rPr>
          <w:rStyle w:val="CharSchNo"/>
        </w:rPr>
        <w:t>Schedule 3</w:t>
      </w:r>
      <w:r>
        <w:t> — </w:t>
      </w:r>
      <w:r>
        <w:rPr>
          <w:rStyle w:val="CharSchText"/>
        </w:rPr>
        <w:t>Inspections or tests of systems</w:t>
      </w:r>
      <w:bookmarkEnd w:id="208"/>
      <w:bookmarkEnd w:id="209"/>
      <w:bookmarkEnd w:id="210"/>
      <w:bookmarkEnd w:id="211"/>
      <w:bookmarkEnd w:id="212"/>
    </w:p>
    <w:p>
      <w:pPr>
        <w:pStyle w:val="yShoulderClause"/>
      </w:pPr>
      <w:r>
        <w:t>[r. 27]</w:t>
      </w:r>
    </w:p>
    <w:p>
      <w:pPr>
        <w:pStyle w:val="yHeading5"/>
      </w:pPr>
      <w:bookmarkStart w:id="213" w:name="_Toc485979676"/>
      <w:r>
        <w:rPr>
          <w:rStyle w:val="CharSClsNo"/>
        </w:rPr>
        <w:t>1</w:t>
      </w:r>
      <w:r>
        <w:t>.</w:t>
      </w:r>
      <w:r>
        <w:tab/>
        <w:t>Term used: EP</w:t>
      </w:r>
      <w:bookmarkEnd w:id="21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214" w:name="_Toc471983596"/>
      <w:bookmarkStart w:id="215" w:name="_Toc471983720"/>
      <w:bookmarkStart w:id="216" w:name="_Toc472948238"/>
      <w:bookmarkStart w:id="217" w:name="_Toc474160838"/>
      <w:bookmarkStart w:id="218" w:name="_Toc485979677"/>
      <w:r>
        <w:rPr>
          <w:rStyle w:val="CharSchNo"/>
        </w:rPr>
        <w:t>Schedule 4</w:t>
      </w:r>
      <w:r>
        <w:t> — </w:t>
      </w:r>
      <w:r>
        <w:rPr>
          <w:rStyle w:val="CharSchText"/>
        </w:rPr>
        <w:t>Building work that does not require building permit</w:t>
      </w:r>
      <w:bookmarkEnd w:id="214"/>
      <w:bookmarkEnd w:id="215"/>
      <w:bookmarkEnd w:id="216"/>
      <w:bookmarkEnd w:id="217"/>
      <w:bookmarkEnd w:id="218"/>
    </w:p>
    <w:p>
      <w:pPr>
        <w:pStyle w:val="yShoulderClause"/>
      </w:pPr>
      <w:r>
        <w:t>[r. 41]</w:t>
      </w:r>
    </w:p>
    <w:p>
      <w:pPr>
        <w:pStyle w:val="yHeading5"/>
        <w:rPr>
          <w:rStyle w:val="CharSDivText"/>
        </w:rPr>
      </w:pPr>
      <w:bookmarkStart w:id="219" w:name="_Toc485979678"/>
      <w:r>
        <w:rPr>
          <w:rStyle w:val="CharSClsNo"/>
        </w:rPr>
        <w:t>1</w:t>
      </w:r>
      <w:r>
        <w:t>.</w:t>
      </w:r>
      <w:r>
        <w:tab/>
      </w:r>
      <w:r>
        <w:rPr>
          <w:rStyle w:val="CharSDivText"/>
        </w:rPr>
        <w:t>Areas where building permit not required for certain work</w:t>
      </w:r>
      <w:bookmarkEnd w:id="21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220" w:name="_Toc485979679"/>
      <w:r>
        <w:rPr>
          <w:rStyle w:val="CharSClsNo"/>
        </w:rPr>
        <w:t>2</w:t>
      </w:r>
      <w:r>
        <w:t>.</w:t>
      </w:r>
      <w:r>
        <w:tab/>
      </w:r>
      <w:r>
        <w:rPr>
          <w:rStyle w:val="CharSDivText"/>
        </w:rPr>
        <w:t>Kinds of building work for which a building permit is not required</w:t>
      </w:r>
      <w:bookmarkEnd w:id="22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221" w:name="_Toc471983599"/>
      <w:bookmarkStart w:id="222" w:name="_Toc471983723"/>
      <w:bookmarkStart w:id="223" w:name="_Toc472948241"/>
      <w:bookmarkStart w:id="224" w:name="_Toc474160841"/>
      <w:bookmarkStart w:id="225" w:name="_Toc485979680"/>
      <w:r>
        <w:rPr>
          <w:rStyle w:val="CharSchNo"/>
        </w:rPr>
        <w:t>Schedule 5</w:t>
      </w:r>
      <w:r>
        <w:rPr>
          <w:rStyle w:val="CharSDivNo"/>
        </w:rPr>
        <w:t> </w:t>
      </w:r>
      <w:r>
        <w:t>—</w:t>
      </w:r>
      <w:r>
        <w:rPr>
          <w:rStyle w:val="CharSDivText"/>
        </w:rPr>
        <w:t> </w:t>
      </w:r>
      <w:r>
        <w:rPr>
          <w:rStyle w:val="CharSchText"/>
        </w:rPr>
        <w:t>Areas of State where Part 8 Division 2 applies</w:t>
      </w:r>
      <w:bookmarkEnd w:id="221"/>
      <w:bookmarkEnd w:id="222"/>
      <w:bookmarkEnd w:id="223"/>
      <w:bookmarkEnd w:id="224"/>
      <w:bookmarkEnd w:id="22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226" w:name="_Toc471983600"/>
      <w:bookmarkStart w:id="227" w:name="_Toc471983724"/>
      <w:bookmarkStart w:id="228" w:name="_Toc472948242"/>
      <w:bookmarkStart w:id="229" w:name="_Toc474160842"/>
      <w:bookmarkStart w:id="230" w:name="_Toc485979681"/>
      <w:r>
        <w:rPr>
          <w:rStyle w:val="CharSchNo"/>
        </w:rPr>
        <w:t>Schedule 6</w:t>
      </w:r>
      <w:r>
        <w:rPr>
          <w:rStyle w:val="CharSDivNo"/>
        </w:rPr>
        <w:t> </w:t>
      </w:r>
      <w:r>
        <w:t>—</w:t>
      </w:r>
      <w:r>
        <w:rPr>
          <w:rStyle w:val="CharSDivText"/>
        </w:rPr>
        <w:t> </w:t>
      </w:r>
      <w:r>
        <w:rPr>
          <w:rStyle w:val="CharSchText"/>
        </w:rPr>
        <w:t>Prescribed offences and modified penalties</w:t>
      </w:r>
      <w:bookmarkEnd w:id="226"/>
      <w:bookmarkEnd w:id="227"/>
      <w:bookmarkEnd w:id="228"/>
      <w:bookmarkEnd w:id="229"/>
      <w:bookmarkEnd w:id="230"/>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231" w:name="_Toc471983601"/>
      <w:bookmarkStart w:id="232" w:name="_Toc471983725"/>
      <w:bookmarkStart w:id="233" w:name="_Toc472948243"/>
      <w:bookmarkStart w:id="234" w:name="_Toc474160843"/>
      <w:bookmarkStart w:id="235" w:name="_Toc485979682"/>
      <w:r>
        <w:rPr>
          <w:rStyle w:val="CharSchNo"/>
        </w:rPr>
        <w:t>Schedule 7</w:t>
      </w:r>
      <w:r>
        <w:rPr>
          <w:rStyle w:val="CharSDivNo"/>
        </w:rPr>
        <w:t> </w:t>
      </w:r>
      <w:r>
        <w:t>—</w:t>
      </w:r>
      <w:r>
        <w:rPr>
          <w:rStyle w:val="CharSDivText"/>
        </w:rPr>
        <w:t> </w:t>
      </w:r>
      <w:r>
        <w:rPr>
          <w:rStyle w:val="CharSchText"/>
        </w:rPr>
        <w:t>Forms</w:t>
      </w:r>
      <w:bookmarkEnd w:id="231"/>
      <w:bookmarkEnd w:id="232"/>
      <w:bookmarkEnd w:id="233"/>
      <w:bookmarkEnd w:id="234"/>
      <w:bookmarkEnd w:id="235"/>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236" w:name="_Toc471983602"/>
      <w:bookmarkStart w:id="237" w:name="_Toc471983726"/>
      <w:bookmarkStart w:id="238" w:name="_Toc472948244"/>
      <w:bookmarkStart w:id="239" w:name="_Toc474160844"/>
      <w:bookmarkStart w:id="240" w:name="_Toc485979683"/>
      <w:r>
        <w:t>Notes</w:t>
      </w:r>
      <w:bookmarkEnd w:id="236"/>
      <w:bookmarkEnd w:id="237"/>
      <w:bookmarkEnd w:id="238"/>
      <w:bookmarkEnd w:id="239"/>
      <w:bookmarkEnd w:id="240"/>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241" w:name="_Toc485979684"/>
      <w:r>
        <w:t>Compilation table</w:t>
      </w:r>
      <w:bookmarkEnd w:id="24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single" w:sz="4" w:space="0" w:color="auto"/>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single" w:sz="4" w:space="0" w:color="auto"/>
            </w:tcBorders>
          </w:tcPr>
          <w:p>
            <w:pPr>
              <w:pStyle w:val="nTable"/>
              <w:spacing w:after="40"/>
            </w:pPr>
            <w:r>
              <w:t>23 Jun 2017 p. 3213</w:t>
            </w:r>
            <w:r>
              <w:noBreakHyphen/>
              <w:t>52</w:t>
            </w:r>
          </w:p>
        </w:tc>
        <w:tc>
          <w:tcPr>
            <w:tcW w:w="2693" w:type="dxa"/>
            <w:tcBorders>
              <w:top w:val="nil"/>
              <w:bottom w:val="single" w:sz="4" w:space="0" w:color="auto"/>
            </w:tcBorders>
          </w:tcPr>
          <w:p>
            <w:pPr>
              <w:pStyle w:val="nTable"/>
              <w:spacing w:after="40"/>
            </w:pPr>
            <w:r>
              <w:t>1 Jul 2017 (see r. 2(b))</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243" w:name="_Toc474160846"/>
      <w:bookmarkStart w:id="244" w:name="_Toc485979685"/>
      <w:r>
        <w:rPr>
          <w:sz w:val="28"/>
        </w:rPr>
        <w:t>Defined terms</w:t>
      </w:r>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90" w:name="Schedule"/>
    <w:bookmarkEnd w:id="1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B0EE-E341-4620-B4C0-1AAD8AD0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23808</Words>
  <Characters>118326</Characters>
  <Application>Microsoft Office Word</Application>
  <DocSecurity>0</DocSecurity>
  <Lines>4080</Lines>
  <Paragraphs>2292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2012 - 03-e0-00</dc:title>
  <dc:subject/>
  <dc:creator/>
  <cp:keywords/>
  <dc:description/>
  <cp:lastModifiedBy>svcMRProcess</cp:lastModifiedBy>
  <cp:revision>4</cp:revision>
  <cp:lastPrinted>2017-06-23T08:00:00Z</cp:lastPrinted>
  <dcterms:created xsi:type="dcterms:W3CDTF">2018-09-19T00:30:00Z</dcterms:created>
  <dcterms:modified xsi:type="dcterms:W3CDTF">2018-09-19T00:30:00Z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01 Jul 2017</vt:lpwstr>
  </property>
  <property fmtid="{D5CDD505-2E9C-101B-9397-08002B2CF9AE}" pid="7" name="Suffix">
    <vt:lpwstr>03-e0-00</vt:lpwstr>
  </property>
  <property fmtid="{D5CDD505-2E9C-101B-9397-08002B2CF9AE}" pid="8" name="CommencementDate">
    <vt:lpwstr>20170701</vt:lpwstr>
  </property>
</Properties>
</file>