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_Toc486428465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_Toc486428466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_Toc486428467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_Toc486428468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_Toc486428469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_Toc486428470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_Toc486428471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_Toc486428472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_Toc486428473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_Toc486428474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_Toc486428475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_Toc486428476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_Toc486428477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_Toc486428478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_Toc486428479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_Toc486428480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_Toc486428481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_Toc486428482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_Toc486428483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_Toc486428484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_Toc486428485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_Toc486428486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_Toc486428487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_Toc486428488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_Toc486428489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_Toc486428490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_Toc486428491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_Toc486428492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_Toc486428493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_Toc486428494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_Toc486428495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_Toc486428496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_Toc486428497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_Toc486428498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_Toc486428499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_Toc486428500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_Toc486428501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_Toc486428502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_Toc486428503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_Toc486428504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_Toc486428505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_Toc486428506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_Toc486428507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_Toc486428508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_Toc486428509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_Toc486428510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_Toc486428512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_Toc486428513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_Toc486428514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_Toc486428515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_Toc486428516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_Toc486428517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_Toc486428518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_Toc486428519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_Toc486428520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_Toc486428521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_Toc486428522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_Toc486428523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_Toc486428524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_Toc486428525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_Toc486428526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_Toc486428527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_Toc486428528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_Toc486428529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_Toc486428530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_Toc486428531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_Toc486428532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_Toc486428533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_Toc486428534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_Toc486428535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_Toc486428536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_Toc486428537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_Toc486428538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_Toc486428543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_Toc486428545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_Toc486428546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_Toc486428548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_Toc486428549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_Toc486428550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_Toc486428552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_Toc486428553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_Toc486428555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_Toc486428557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_Toc486428558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_Toc486428559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_Toc486428561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_Toc486428562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_Toc486428563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_Toc486428564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_Toc486428565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_Toc486428567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86428465"/>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486428466"/>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86428467"/>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86428468"/>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86428469"/>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86428470"/>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86428471"/>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86428472"/>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86428473"/>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86428474"/>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8642847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14" w:name="_Toc486428476"/>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15" w:name="_Toc486428477"/>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86428478"/>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17" w:name="_Toc486428479"/>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86428480"/>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19" w:name="_Toc486428481"/>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20" w:name="_Toc486428482"/>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21" w:name="_Toc486428483"/>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86428484"/>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86428485"/>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86428486"/>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86428487"/>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86428488"/>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86428489"/>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86428490"/>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86428491"/>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30" w:name="_Toc486428492"/>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31" w:name="_Toc486428493"/>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32" w:name="_Toc486428494"/>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86428495"/>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86428496"/>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86428497"/>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86428498"/>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86428499"/>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86428500"/>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39" w:name="_Toc486428501"/>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86428502"/>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86428503"/>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42" w:name="_Toc486428504"/>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86428505"/>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86428506"/>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45" w:name="_Toc486428507"/>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46" w:name="_Toc486428508"/>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86428509"/>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86428510"/>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73878518"/>
      <w:bookmarkStart w:id="50" w:name="_Toc473884230"/>
      <w:bookmarkStart w:id="51" w:name="_Toc486428511"/>
      <w:r>
        <w:rPr>
          <w:rStyle w:val="CharSchNo"/>
        </w:rPr>
        <w:t>Schedule 1</w:t>
      </w:r>
      <w:r>
        <w:rPr>
          <w:rStyle w:val="CharSDivNo"/>
        </w:rPr>
        <w:t> </w:t>
      </w:r>
      <w:r>
        <w:t>—</w:t>
      </w:r>
      <w:r>
        <w:rPr>
          <w:rStyle w:val="CharSDivText"/>
        </w:rPr>
        <w:t> </w:t>
      </w:r>
      <w:r>
        <w:rPr>
          <w:rStyle w:val="CharSchText"/>
        </w:rPr>
        <w:t>Forms</w:t>
      </w:r>
      <w:bookmarkEnd w:id="49"/>
      <w:bookmarkEnd w:id="50"/>
      <w:bookmarkEnd w:id="51"/>
    </w:p>
    <w:p>
      <w:pPr>
        <w:pStyle w:val="yShoulderClause"/>
      </w:pPr>
      <w:r>
        <w:t>[r. 3]</w:t>
      </w:r>
    </w:p>
    <w:p>
      <w:pPr>
        <w:pStyle w:val="yFootnoteheading"/>
      </w:pPr>
      <w:r>
        <w:tab/>
        <w:t>[Heading inserted in Gazette 16 Nov 2007 p. 5733.]</w:t>
      </w:r>
    </w:p>
    <w:p>
      <w:pPr>
        <w:pStyle w:val="yHeading5"/>
        <w:spacing w:before="180" w:after="60"/>
        <w:rPr>
          <w:bCs/>
          <w:iCs/>
        </w:rPr>
      </w:pPr>
      <w:bookmarkStart w:id="52" w:name="_Toc486428512"/>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3" w:name="_Toc486428513"/>
      <w:r>
        <w:rPr>
          <w:rStyle w:val="CharSClsNo"/>
        </w:rPr>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54" w:name="_Toc486428514"/>
      <w:r>
        <w:rPr>
          <w:rStyle w:val="CharSClsNo"/>
        </w:rPr>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5" w:name="_Toc486428515"/>
      <w:r>
        <w:rPr>
          <w:rStyle w:val="CharSClsNo"/>
        </w:rPr>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6" w:name="_Toc486428516"/>
      <w:r>
        <w:rPr>
          <w:rStyle w:val="CharSClsNo"/>
        </w:rPr>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7" w:name="_Toc486428517"/>
      <w:r>
        <w:rPr>
          <w:rStyle w:val="CharSClsNo"/>
        </w:rPr>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8" w:name="_Toc486428518"/>
      <w:r>
        <w:rPr>
          <w:rStyle w:val="CharSClsNo"/>
        </w:rPr>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59" w:name="_Toc486428519"/>
      <w:r>
        <w:rPr>
          <w:rStyle w:val="CharSClsNo"/>
        </w:rPr>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0" w:name="_Toc486428520"/>
      <w:r>
        <w:rPr>
          <w:rStyle w:val="CharSClsNo"/>
        </w:rPr>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1" w:name="_Toc486428521"/>
      <w:r>
        <w:rPr>
          <w:rStyle w:val="CharSClsNo"/>
        </w:rPr>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2" w:name="_Toc486428522"/>
      <w:r>
        <w:rPr>
          <w:rStyle w:val="CharSClsNo"/>
        </w:rPr>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3" w:name="_Toc486428523"/>
      <w:r>
        <w:rPr>
          <w:rStyle w:val="CharSClsNo"/>
        </w:rPr>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4" w:name="_Toc486428524"/>
      <w:r>
        <w:rPr>
          <w:rStyle w:val="CharSClsNo"/>
        </w:rPr>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5" w:name="_Toc486428525"/>
      <w:r>
        <w:rPr>
          <w:rStyle w:val="CharSClsNo"/>
        </w:rPr>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6" w:name="_Toc486428526"/>
      <w:r>
        <w:rPr>
          <w:rStyle w:val="CharSClsNo"/>
        </w:rPr>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7" w:name="_Toc486428527"/>
      <w:r>
        <w:rPr>
          <w:rStyle w:val="CharSClsNo"/>
        </w:rPr>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68" w:name="_Toc486428528"/>
      <w:r>
        <w:rPr>
          <w:rStyle w:val="CharSClsNo"/>
        </w:rPr>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69" w:name="_Toc486428529"/>
      <w:r>
        <w:rPr>
          <w:rStyle w:val="CharSClsNo"/>
        </w:rPr>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0" w:name="_Toc486428530"/>
      <w:r>
        <w:rPr>
          <w:rStyle w:val="CharSClsNo"/>
        </w:rPr>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71" w:name="_Toc486428531"/>
      <w:r>
        <w:rPr>
          <w:rStyle w:val="CharSClsNo"/>
        </w:rPr>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2" w:name="_Toc486428532"/>
      <w:r>
        <w:rPr>
          <w:rStyle w:val="CharSClsNo"/>
        </w:rPr>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3" w:name="_Toc486428533"/>
      <w:r>
        <w:rPr>
          <w:rStyle w:val="CharSClsNo"/>
        </w:rPr>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4" w:name="_Toc486428534"/>
      <w:r>
        <w:rPr>
          <w:rStyle w:val="CharSClsNo"/>
        </w:rPr>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5" w:name="_Toc486428535"/>
      <w:r>
        <w:rPr>
          <w:rStyle w:val="CharSClsNo"/>
        </w:rPr>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6" w:name="_Toc486428536"/>
      <w:r>
        <w:rPr>
          <w:rStyle w:val="CharSClsNo"/>
        </w:rPr>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7" w:name="_Toc486428537"/>
      <w:r>
        <w:rPr>
          <w:rStyle w:val="CharSClsNo"/>
        </w:rPr>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78" w:name="_Toc486428538"/>
      <w:r>
        <w:rPr>
          <w:rStyle w:val="CharSClsNo"/>
        </w:rPr>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0" w:name="_Toc482022484"/>
      <w:bookmarkStart w:id="81" w:name="_Toc482022502"/>
      <w:bookmarkStart w:id="82" w:name="_Toc482022619"/>
      <w:bookmarkStart w:id="83" w:name="_Toc482275903"/>
      <w:bookmarkStart w:id="84" w:name="_Toc482366962"/>
      <w:bookmarkStart w:id="85" w:name="_Toc482603816"/>
      <w:bookmarkStart w:id="86" w:name="_Toc482630103"/>
      <w:bookmarkStart w:id="87" w:name="_Toc486428539"/>
      <w:bookmarkStart w:id="88" w:name="_Toc473878546"/>
      <w:bookmarkStart w:id="89" w:name="_Toc473884258"/>
      <w:r>
        <w:rPr>
          <w:rStyle w:val="CharSchNo"/>
        </w:rPr>
        <w:t>Schedule 1A</w:t>
      </w:r>
      <w:r>
        <w:rPr>
          <w:rStyle w:val="CharSDivNo"/>
        </w:rPr>
        <w:t> </w:t>
      </w:r>
      <w:r>
        <w:t>—</w:t>
      </w:r>
      <w:r>
        <w:rPr>
          <w:rStyle w:val="CharSDivText"/>
        </w:rPr>
        <w:t> </w:t>
      </w:r>
      <w:r>
        <w:rPr>
          <w:rStyle w:val="CharSchText"/>
        </w:rPr>
        <w:t>Fees</w:t>
      </w:r>
      <w:bookmarkEnd w:id="80"/>
      <w:bookmarkEnd w:id="81"/>
      <w:bookmarkEnd w:id="82"/>
      <w:bookmarkEnd w:id="83"/>
      <w:bookmarkEnd w:id="84"/>
      <w:bookmarkEnd w:id="85"/>
      <w:bookmarkEnd w:id="86"/>
      <w:bookmarkEnd w:id="87"/>
    </w:p>
    <w:p>
      <w:pPr>
        <w:pStyle w:val="yShoulderClause"/>
      </w:pPr>
      <w:r>
        <w:t>[r. 2]</w:t>
      </w:r>
    </w:p>
    <w:p>
      <w:pPr>
        <w:pStyle w:val="yFootnoteheading"/>
        <w:spacing w:after="120"/>
      </w:pPr>
      <w:r>
        <w:tab/>
        <w:t>[Heading inserted in Gazette 27 Jun 2017 p. 3441.]</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szCs w:val="22"/>
              </w:rPr>
              <w:t>Item</w:t>
            </w:r>
          </w:p>
        </w:tc>
        <w:tc>
          <w:tcPr>
            <w:tcW w:w="5520" w:type="dxa"/>
            <w:tcBorders>
              <w:left w:val="nil"/>
              <w:bottom w:val="single" w:sz="4" w:space="0" w:color="auto"/>
              <w:right w:val="nil"/>
            </w:tcBorders>
          </w:tcPr>
          <w:p>
            <w:pPr>
              <w:pStyle w:val="yTableNAm"/>
            </w:pPr>
            <w:r>
              <w:rPr>
                <w:b/>
                <w:szCs w:val="22"/>
              </w:rPr>
              <w:t>Fee for</w:t>
            </w:r>
          </w:p>
        </w:tc>
        <w:tc>
          <w:tcPr>
            <w:tcW w:w="840" w:type="dxa"/>
            <w:tcBorders>
              <w:left w:val="nil"/>
              <w:bottom w:val="single" w:sz="4" w:space="0" w:color="auto"/>
              <w:right w:val="nil"/>
            </w:tcBorders>
          </w:tcPr>
          <w:p>
            <w:pPr>
              <w:pStyle w:val="yTableNAm"/>
            </w:pPr>
            <w:r>
              <w:rPr>
                <w:b/>
                <w:szCs w:val="22"/>
              </w:rPr>
              <w:t>Fee</w:t>
            </w:r>
          </w:p>
          <w:p>
            <w:pPr>
              <w:pStyle w:val="yTableNAm"/>
            </w:pPr>
            <w:r>
              <w:t>$</w:t>
            </w:r>
          </w:p>
        </w:tc>
      </w:tr>
      <w:tr>
        <w:trPr>
          <w:cantSplit/>
          <w:trHeight w:val="234"/>
        </w:trPr>
        <w:tc>
          <w:tcPr>
            <w:tcW w:w="720" w:type="dxa"/>
            <w:tcBorders>
              <w:left w:val="nil"/>
              <w:bottom w:val="nil"/>
              <w:right w:val="nil"/>
            </w:tcBorders>
          </w:tcPr>
          <w:p>
            <w:pPr>
              <w:pStyle w:val="yTableNAm"/>
            </w:pPr>
            <w:r>
              <w:rPr>
                <w:szCs w:val="22"/>
              </w:rPr>
              <w:t>1.</w:t>
            </w:r>
          </w:p>
        </w:tc>
        <w:tc>
          <w:tcPr>
            <w:tcW w:w="5520" w:type="dxa"/>
            <w:tcBorders>
              <w:left w:val="nil"/>
              <w:bottom w:val="nil"/>
              <w:right w:val="nil"/>
            </w:tcBorders>
          </w:tcPr>
          <w:p>
            <w:pPr>
              <w:pStyle w:val="yTableNAm"/>
            </w:pPr>
            <w:r>
              <w:rPr>
                <w:szCs w:val="22"/>
              </w:rP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259</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54</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(c)</w:t>
            </w:r>
            <w:r>
              <w:rPr>
                <w:szCs w:val="22"/>
              </w:rPr>
              <w:tab/>
              <w:t>by person with such a licence wanting licence for 1 or more additional firearms</w:t>
            </w:r>
          </w:p>
        </w:tc>
        <w:tc>
          <w:tcPr>
            <w:tcW w:w="840" w:type="dxa"/>
            <w:tcBorders>
              <w:top w:val="nil"/>
              <w:left w:val="nil"/>
              <w:bottom w:val="nil"/>
              <w:right w:val="nil"/>
            </w:tcBorders>
          </w:tcPr>
          <w:p>
            <w:pPr>
              <w:pStyle w:val="yTableNAm"/>
            </w:pPr>
            <w:r>
              <w:rPr>
                <w:szCs w:val="22"/>
              </w:rPr>
              <w:br/>
              <w:t>181</w:t>
            </w:r>
          </w:p>
        </w:tc>
      </w:tr>
      <w:tr>
        <w:trPr>
          <w:cantSplit/>
          <w:trHeight w:val="234"/>
        </w:trPr>
        <w:tc>
          <w:tcPr>
            <w:tcW w:w="720" w:type="dxa"/>
            <w:tcBorders>
              <w:top w:val="nil"/>
              <w:left w:val="nil"/>
              <w:bottom w:val="nil"/>
              <w:right w:val="nil"/>
            </w:tcBorders>
          </w:tcPr>
          <w:p>
            <w:pPr>
              <w:pStyle w:val="yTableNAm"/>
            </w:pPr>
            <w:r>
              <w:rPr>
                <w:szCs w:val="22"/>
              </w:rPr>
              <w:t>2.</w:t>
            </w:r>
          </w:p>
        </w:tc>
        <w:tc>
          <w:tcPr>
            <w:tcW w:w="5520" w:type="dxa"/>
            <w:tcBorders>
              <w:top w:val="nil"/>
              <w:left w:val="nil"/>
              <w:bottom w:val="nil"/>
              <w:right w:val="nil"/>
            </w:tcBorders>
          </w:tcPr>
          <w:p>
            <w:pPr>
              <w:pStyle w:val="yTableNAm"/>
            </w:pPr>
            <w:r>
              <w:rPr>
                <w:szCs w:val="22"/>
              </w:rP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334</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60</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(c)</w:t>
            </w:r>
            <w:r>
              <w:rPr>
                <w:szCs w:val="22"/>
              </w:rPr>
              <w:tab/>
              <w:t>by person with such a licence wanting licence for 1 or more additional firearms</w:t>
            </w:r>
          </w:p>
        </w:tc>
        <w:tc>
          <w:tcPr>
            <w:tcW w:w="840" w:type="dxa"/>
            <w:tcBorders>
              <w:top w:val="nil"/>
              <w:left w:val="nil"/>
              <w:bottom w:val="nil"/>
              <w:right w:val="nil"/>
            </w:tcBorders>
          </w:tcPr>
          <w:p>
            <w:pPr>
              <w:pStyle w:val="yTableNAm"/>
            </w:pPr>
            <w:r>
              <w:rPr>
                <w:szCs w:val="22"/>
              </w:rPr>
              <w:br/>
              <w:t>192</w:t>
            </w:r>
          </w:p>
        </w:tc>
      </w:tr>
      <w:tr>
        <w:trPr>
          <w:cantSplit/>
          <w:trHeight w:val="234"/>
        </w:trPr>
        <w:tc>
          <w:tcPr>
            <w:tcW w:w="720" w:type="dxa"/>
            <w:tcBorders>
              <w:top w:val="nil"/>
              <w:left w:val="nil"/>
              <w:bottom w:val="nil"/>
              <w:right w:val="nil"/>
            </w:tcBorders>
          </w:tcPr>
          <w:p>
            <w:pPr>
              <w:pStyle w:val="yTableNAm"/>
            </w:pPr>
            <w:r>
              <w:rPr>
                <w:szCs w:val="22"/>
              </w:rPr>
              <w:t>3.</w:t>
            </w:r>
          </w:p>
        </w:tc>
        <w:tc>
          <w:tcPr>
            <w:tcW w:w="5520" w:type="dxa"/>
            <w:tcBorders>
              <w:top w:val="nil"/>
              <w:left w:val="nil"/>
              <w:bottom w:val="nil"/>
              <w:right w:val="nil"/>
            </w:tcBorders>
          </w:tcPr>
          <w:p>
            <w:pPr>
              <w:pStyle w:val="yTableNAm"/>
            </w:pPr>
            <w:r>
              <w:rPr>
                <w:szCs w:val="22"/>
              </w:rP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426</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124</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(c)</w:t>
            </w:r>
            <w:r>
              <w:rPr>
                <w:szCs w:val="22"/>
              </w:rPr>
              <w:tab/>
              <w:t>by person with such a licence wanting licence for 1 or more additional firearms</w:t>
            </w:r>
          </w:p>
        </w:tc>
        <w:tc>
          <w:tcPr>
            <w:tcW w:w="840" w:type="dxa"/>
            <w:tcBorders>
              <w:top w:val="nil"/>
              <w:left w:val="nil"/>
              <w:bottom w:val="nil"/>
              <w:right w:val="nil"/>
            </w:tcBorders>
          </w:tcPr>
          <w:p>
            <w:pPr>
              <w:pStyle w:val="yTableNAm"/>
            </w:pPr>
            <w:r>
              <w:rPr>
                <w:szCs w:val="22"/>
              </w:rPr>
              <w:br/>
              <w:t>192</w:t>
            </w:r>
          </w:p>
        </w:tc>
      </w:tr>
      <w:tr>
        <w:trPr>
          <w:cantSplit/>
          <w:trHeight w:val="234"/>
        </w:trPr>
        <w:tc>
          <w:tcPr>
            <w:tcW w:w="720" w:type="dxa"/>
            <w:tcBorders>
              <w:top w:val="nil"/>
              <w:left w:val="nil"/>
              <w:bottom w:val="nil"/>
              <w:right w:val="nil"/>
            </w:tcBorders>
          </w:tcPr>
          <w:p>
            <w:pPr>
              <w:pStyle w:val="yTableNAm"/>
            </w:pPr>
            <w:r>
              <w:rPr>
                <w:szCs w:val="22"/>
              </w:rPr>
              <w:t>4.</w:t>
            </w:r>
          </w:p>
        </w:tc>
        <w:tc>
          <w:tcPr>
            <w:tcW w:w="5520" w:type="dxa"/>
            <w:tcBorders>
              <w:top w:val="nil"/>
              <w:left w:val="nil"/>
              <w:bottom w:val="nil"/>
              <w:right w:val="nil"/>
            </w:tcBorders>
          </w:tcPr>
          <w:p>
            <w:pPr>
              <w:pStyle w:val="yTableNAm"/>
            </w:pPr>
            <w:r>
              <w:rPr>
                <w:szCs w:val="22"/>
              </w:rP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440</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114</w:t>
            </w:r>
          </w:p>
        </w:tc>
      </w:tr>
      <w:tr>
        <w:trPr>
          <w:cantSplit/>
          <w:trHeight w:val="234"/>
        </w:trPr>
        <w:tc>
          <w:tcPr>
            <w:tcW w:w="720" w:type="dxa"/>
            <w:tcBorders>
              <w:top w:val="nil"/>
              <w:left w:val="nil"/>
              <w:bottom w:val="nil"/>
              <w:right w:val="nil"/>
            </w:tcBorders>
          </w:tcPr>
          <w:p>
            <w:pPr>
              <w:pStyle w:val="yTableNAm"/>
            </w:pPr>
            <w:r>
              <w:rPr>
                <w:szCs w:val="22"/>
              </w:rPr>
              <w:t>5.</w:t>
            </w:r>
          </w:p>
        </w:tc>
        <w:tc>
          <w:tcPr>
            <w:tcW w:w="5520" w:type="dxa"/>
            <w:tcBorders>
              <w:top w:val="nil"/>
              <w:left w:val="nil"/>
              <w:bottom w:val="nil"/>
              <w:right w:val="nil"/>
            </w:tcBorders>
          </w:tcPr>
          <w:p>
            <w:pPr>
              <w:pStyle w:val="yTableNAm"/>
            </w:pPr>
            <w:r>
              <w:rPr>
                <w:szCs w:val="22"/>
              </w:rP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440</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88</w:t>
            </w:r>
          </w:p>
        </w:tc>
      </w:tr>
      <w:tr>
        <w:trPr>
          <w:cantSplit/>
          <w:trHeight w:val="234"/>
        </w:trPr>
        <w:tc>
          <w:tcPr>
            <w:tcW w:w="720" w:type="dxa"/>
            <w:tcBorders>
              <w:top w:val="nil"/>
              <w:left w:val="nil"/>
              <w:bottom w:val="nil"/>
              <w:right w:val="nil"/>
            </w:tcBorders>
          </w:tcPr>
          <w:p>
            <w:pPr>
              <w:pStyle w:val="yTableNAm"/>
            </w:pPr>
            <w:r>
              <w:rPr>
                <w:szCs w:val="22"/>
              </w:rPr>
              <w:t>6.</w:t>
            </w:r>
          </w:p>
        </w:tc>
        <w:tc>
          <w:tcPr>
            <w:tcW w:w="5520" w:type="dxa"/>
            <w:tcBorders>
              <w:top w:val="nil"/>
              <w:left w:val="nil"/>
              <w:bottom w:val="nil"/>
              <w:right w:val="nil"/>
            </w:tcBorders>
          </w:tcPr>
          <w:p>
            <w:pPr>
              <w:pStyle w:val="yTableNAm"/>
            </w:pPr>
            <w:r>
              <w:rPr>
                <w:szCs w:val="22"/>
              </w:rP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440</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88</w:t>
            </w:r>
          </w:p>
        </w:tc>
      </w:tr>
      <w:tr>
        <w:trPr>
          <w:cantSplit/>
          <w:trHeight w:val="234"/>
        </w:trPr>
        <w:tc>
          <w:tcPr>
            <w:tcW w:w="720" w:type="dxa"/>
            <w:tcBorders>
              <w:top w:val="nil"/>
              <w:left w:val="nil"/>
              <w:bottom w:val="nil"/>
              <w:right w:val="nil"/>
            </w:tcBorders>
          </w:tcPr>
          <w:p>
            <w:pPr>
              <w:pStyle w:val="yTableNAm"/>
            </w:pPr>
            <w:r>
              <w:rPr>
                <w:szCs w:val="22"/>
              </w:rPr>
              <w:t>7.</w:t>
            </w:r>
          </w:p>
        </w:tc>
        <w:tc>
          <w:tcPr>
            <w:tcW w:w="5520" w:type="dxa"/>
            <w:tcBorders>
              <w:top w:val="nil"/>
              <w:left w:val="nil"/>
              <w:bottom w:val="nil"/>
              <w:right w:val="nil"/>
            </w:tcBorders>
          </w:tcPr>
          <w:p>
            <w:pPr>
              <w:pStyle w:val="yTableNAm"/>
            </w:pPr>
            <w:r>
              <w:rPr>
                <w:szCs w:val="22"/>
              </w:rP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306</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94</w:t>
            </w:r>
          </w:p>
        </w:tc>
      </w:tr>
      <w:tr>
        <w:trPr>
          <w:cantSplit/>
          <w:trHeight w:val="234"/>
        </w:trPr>
        <w:tc>
          <w:tcPr>
            <w:tcW w:w="720" w:type="dxa"/>
            <w:tcBorders>
              <w:top w:val="nil"/>
              <w:left w:val="nil"/>
              <w:bottom w:val="nil"/>
              <w:right w:val="nil"/>
            </w:tcBorders>
          </w:tcPr>
          <w:p>
            <w:pPr>
              <w:pStyle w:val="yTableNAm"/>
            </w:pPr>
            <w:r>
              <w:rPr>
                <w:szCs w:val="22"/>
              </w:rPr>
              <w:t>8.</w:t>
            </w:r>
          </w:p>
        </w:tc>
        <w:tc>
          <w:tcPr>
            <w:tcW w:w="5520" w:type="dxa"/>
            <w:tcBorders>
              <w:top w:val="nil"/>
              <w:left w:val="nil"/>
              <w:bottom w:val="nil"/>
              <w:right w:val="nil"/>
            </w:tcBorders>
          </w:tcPr>
          <w:p>
            <w:pPr>
              <w:pStyle w:val="yTableNAm"/>
            </w:pPr>
            <w:r>
              <w:rPr>
                <w:szCs w:val="22"/>
              </w:rP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tcBorders>
              <w:top w:val="nil"/>
              <w:left w:val="nil"/>
              <w:bottom w:val="nil"/>
              <w:right w:val="nil"/>
            </w:tcBorders>
          </w:tcPr>
          <w:p>
            <w:pPr>
              <w:pStyle w:val="yTableNAm"/>
            </w:pPr>
            <w:r>
              <w:rPr>
                <w:szCs w:val="22"/>
              </w:rPr>
              <w:t>306</w:t>
            </w:r>
          </w:p>
        </w:tc>
      </w:tr>
      <w:tr>
        <w:trPr>
          <w:cantSplit/>
          <w:trHeight w:val="234"/>
        </w:trPr>
        <w:tc>
          <w:tcPr>
            <w:tcW w:w="720" w:type="dxa"/>
            <w:tcBorders>
              <w:top w:val="nil"/>
              <w:left w:val="nil"/>
              <w:bottom w:val="nil"/>
              <w:right w:val="nil"/>
            </w:tcBorders>
          </w:tcPr>
          <w:p>
            <w:pPr>
              <w:pStyle w:val="zyTableNAm"/>
              <w:rPr>
                <w:szCs w:val="22"/>
              </w:rPr>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tcBorders>
              <w:top w:val="nil"/>
              <w:left w:val="nil"/>
              <w:bottom w:val="nil"/>
              <w:right w:val="nil"/>
            </w:tcBorders>
          </w:tcPr>
          <w:p>
            <w:pPr>
              <w:pStyle w:val="yTableNAm"/>
            </w:pPr>
            <w:r>
              <w:rPr>
                <w:szCs w:val="22"/>
              </w:rPr>
              <w:t>62</w:t>
            </w:r>
          </w:p>
        </w:tc>
      </w:tr>
      <w:tr>
        <w:trPr>
          <w:cantSplit/>
          <w:trHeight w:val="234"/>
        </w:trPr>
        <w:tc>
          <w:tcPr>
            <w:tcW w:w="720" w:type="dxa"/>
            <w:tcBorders>
              <w:top w:val="nil"/>
              <w:left w:val="nil"/>
              <w:bottom w:val="nil"/>
              <w:right w:val="nil"/>
            </w:tcBorders>
          </w:tcPr>
          <w:p>
            <w:pPr>
              <w:pStyle w:val="yTableNAm"/>
            </w:pPr>
            <w:r>
              <w:rPr>
                <w:szCs w:val="22"/>
              </w:rPr>
              <w:t>9.</w:t>
            </w:r>
          </w:p>
        </w:tc>
        <w:tc>
          <w:tcPr>
            <w:tcW w:w="5520" w:type="dxa"/>
            <w:tcBorders>
              <w:top w:val="nil"/>
              <w:left w:val="nil"/>
              <w:bottom w:val="nil"/>
              <w:right w:val="nil"/>
            </w:tcBorders>
          </w:tcPr>
          <w:p>
            <w:pPr>
              <w:pStyle w:val="yTableNAm"/>
            </w:pPr>
            <w:r>
              <w:rPr>
                <w:szCs w:val="22"/>
              </w:rPr>
              <w:t>Application for permit under s. 17 of the Act, per month or part of a month for which permit issued</w:t>
            </w:r>
          </w:p>
        </w:tc>
        <w:tc>
          <w:tcPr>
            <w:tcW w:w="840" w:type="dxa"/>
            <w:tcBorders>
              <w:top w:val="nil"/>
              <w:left w:val="nil"/>
              <w:bottom w:val="nil"/>
              <w:right w:val="nil"/>
            </w:tcBorders>
          </w:tcPr>
          <w:p>
            <w:pPr>
              <w:pStyle w:val="yTableNAm"/>
            </w:pPr>
            <w:r>
              <w:rPr>
                <w:szCs w:val="22"/>
              </w:rPr>
              <w:br/>
              <w:t>59</w:t>
            </w:r>
          </w:p>
        </w:tc>
      </w:tr>
      <w:tr>
        <w:trPr>
          <w:cantSplit/>
          <w:trHeight w:val="234"/>
        </w:trPr>
        <w:tc>
          <w:tcPr>
            <w:tcW w:w="720" w:type="dxa"/>
            <w:tcBorders>
              <w:top w:val="nil"/>
              <w:left w:val="nil"/>
              <w:bottom w:val="nil"/>
              <w:right w:val="nil"/>
            </w:tcBorders>
          </w:tcPr>
          <w:p>
            <w:pPr>
              <w:pStyle w:val="yTableNAm"/>
            </w:pPr>
            <w:r>
              <w:rPr>
                <w:szCs w:val="22"/>
              </w:rPr>
              <w:t>10.</w:t>
            </w:r>
          </w:p>
        </w:tc>
        <w:tc>
          <w:tcPr>
            <w:tcW w:w="5520" w:type="dxa"/>
            <w:tcBorders>
              <w:top w:val="nil"/>
              <w:left w:val="nil"/>
              <w:bottom w:val="nil"/>
              <w:right w:val="nil"/>
            </w:tcBorders>
          </w:tcPr>
          <w:p>
            <w:pPr>
              <w:pStyle w:val="yTableNAm"/>
            </w:pPr>
            <w:r>
              <w:rPr>
                <w:szCs w:val="22"/>
              </w:rPr>
              <w:t>Extract of licence (r. 7A)</w:t>
            </w:r>
          </w:p>
        </w:tc>
        <w:tc>
          <w:tcPr>
            <w:tcW w:w="840" w:type="dxa"/>
            <w:tcBorders>
              <w:top w:val="nil"/>
              <w:left w:val="nil"/>
              <w:bottom w:val="nil"/>
              <w:right w:val="nil"/>
            </w:tcBorders>
          </w:tcPr>
          <w:p>
            <w:pPr>
              <w:pStyle w:val="yTableNAm"/>
            </w:pPr>
            <w:r>
              <w:rPr>
                <w:szCs w:val="22"/>
              </w:rPr>
              <w:t>20</w:t>
            </w:r>
          </w:p>
        </w:tc>
      </w:tr>
      <w:tr>
        <w:trPr>
          <w:cantSplit/>
          <w:trHeight w:val="234"/>
        </w:trPr>
        <w:tc>
          <w:tcPr>
            <w:tcW w:w="720" w:type="dxa"/>
            <w:tcBorders>
              <w:top w:val="nil"/>
              <w:left w:val="nil"/>
              <w:bottom w:val="nil"/>
              <w:right w:val="nil"/>
            </w:tcBorders>
          </w:tcPr>
          <w:p>
            <w:pPr>
              <w:pStyle w:val="yTableNAm"/>
            </w:pPr>
            <w:r>
              <w:rPr>
                <w:szCs w:val="22"/>
              </w:rPr>
              <w:t>11.</w:t>
            </w:r>
          </w:p>
        </w:tc>
        <w:tc>
          <w:tcPr>
            <w:tcW w:w="5520" w:type="dxa"/>
            <w:tcBorders>
              <w:top w:val="nil"/>
              <w:left w:val="nil"/>
              <w:bottom w:val="nil"/>
              <w:right w:val="nil"/>
            </w:tcBorders>
          </w:tcPr>
          <w:p>
            <w:pPr>
              <w:pStyle w:val="yTableNAm"/>
            </w:pPr>
            <w:r>
              <w:rPr>
                <w:szCs w:val="22"/>
              </w:rPr>
              <w:t>Duplicate of licence (r. 8)</w:t>
            </w:r>
          </w:p>
        </w:tc>
        <w:tc>
          <w:tcPr>
            <w:tcW w:w="840" w:type="dxa"/>
            <w:tcBorders>
              <w:top w:val="nil"/>
              <w:left w:val="nil"/>
              <w:bottom w:val="nil"/>
              <w:right w:val="nil"/>
            </w:tcBorders>
          </w:tcPr>
          <w:p>
            <w:pPr>
              <w:pStyle w:val="yTableNAm"/>
            </w:pPr>
            <w:r>
              <w:rPr>
                <w:szCs w:val="22"/>
              </w:rPr>
              <w:t>33</w:t>
            </w:r>
          </w:p>
        </w:tc>
      </w:tr>
      <w:tr>
        <w:trPr>
          <w:cantSplit/>
          <w:trHeight w:val="234"/>
        </w:trPr>
        <w:tc>
          <w:tcPr>
            <w:tcW w:w="720" w:type="dxa"/>
            <w:tcBorders>
              <w:top w:val="nil"/>
              <w:left w:val="nil"/>
              <w:bottom w:val="nil"/>
              <w:right w:val="nil"/>
            </w:tcBorders>
          </w:tcPr>
          <w:p>
            <w:pPr>
              <w:pStyle w:val="yTableNAm"/>
            </w:pPr>
            <w:r>
              <w:rPr>
                <w:szCs w:val="22"/>
              </w:rPr>
              <w:t>12.</w:t>
            </w:r>
          </w:p>
        </w:tc>
        <w:tc>
          <w:tcPr>
            <w:tcW w:w="5520" w:type="dxa"/>
            <w:tcBorders>
              <w:top w:val="nil"/>
              <w:left w:val="nil"/>
              <w:bottom w:val="nil"/>
              <w:right w:val="nil"/>
            </w:tcBorders>
          </w:tcPr>
          <w:p>
            <w:pPr>
              <w:pStyle w:val="yTableNAm"/>
            </w:pPr>
            <w:r>
              <w:rPr>
                <w:szCs w:val="22"/>
              </w:rPr>
              <w:t>Replacement for an extract of licence (r. 8)</w:t>
            </w:r>
          </w:p>
        </w:tc>
        <w:tc>
          <w:tcPr>
            <w:tcW w:w="840" w:type="dxa"/>
            <w:tcBorders>
              <w:top w:val="nil"/>
              <w:left w:val="nil"/>
              <w:bottom w:val="nil"/>
              <w:right w:val="nil"/>
            </w:tcBorders>
          </w:tcPr>
          <w:p>
            <w:pPr>
              <w:pStyle w:val="yTableNAm"/>
            </w:pPr>
            <w:r>
              <w:rPr>
                <w:szCs w:val="22"/>
              </w:rPr>
              <w:t>20</w:t>
            </w:r>
          </w:p>
        </w:tc>
      </w:tr>
      <w:tr>
        <w:trPr>
          <w:cantSplit/>
          <w:trHeight w:val="234"/>
        </w:trPr>
        <w:tc>
          <w:tcPr>
            <w:tcW w:w="720" w:type="dxa"/>
            <w:tcBorders>
              <w:top w:val="nil"/>
              <w:left w:val="nil"/>
              <w:bottom w:val="single" w:sz="4" w:space="0" w:color="auto"/>
              <w:right w:val="nil"/>
            </w:tcBorders>
          </w:tcPr>
          <w:p>
            <w:pPr>
              <w:pStyle w:val="yTableNAm"/>
            </w:pPr>
            <w:r>
              <w:rPr>
                <w:szCs w:val="22"/>
              </w:rPr>
              <w:t>13.</w:t>
            </w:r>
          </w:p>
        </w:tc>
        <w:tc>
          <w:tcPr>
            <w:tcW w:w="5520" w:type="dxa"/>
            <w:tcBorders>
              <w:top w:val="nil"/>
              <w:left w:val="nil"/>
              <w:bottom w:val="single" w:sz="4" w:space="0" w:color="auto"/>
              <w:right w:val="nil"/>
            </w:tcBorders>
          </w:tcPr>
          <w:p>
            <w:pPr>
              <w:pStyle w:val="yTableNAm"/>
            </w:pPr>
            <w:r>
              <w:rPr>
                <w:szCs w:val="22"/>
              </w:rP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157</w:t>
            </w:r>
          </w:p>
        </w:tc>
      </w:tr>
    </w:tbl>
    <w:p>
      <w:pPr>
        <w:pStyle w:val="yFootnotesection"/>
      </w:pPr>
      <w:r>
        <w:tab/>
        <w:t>[Schedule 1A inserted in Gazette 27 Jun 2017 p. 3441</w:t>
      </w:r>
      <w:r>
        <w:noBreakHyphen/>
        <w:t>2.]</w:t>
      </w:r>
    </w:p>
    <w:p>
      <w:pPr>
        <w:pStyle w:val="yScheduleHeading"/>
      </w:pPr>
      <w:bookmarkStart w:id="90" w:name="_Toc473878547"/>
      <w:bookmarkStart w:id="91" w:name="_Toc473884259"/>
      <w:bookmarkStart w:id="92" w:name="_Toc486428540"/>
      <w:bookmarkEnd w:id="88"/>
      <w:bookmarkEnd w:id="89"/>
      <w:r>
        <w:rPr>
          <w:rStyle w:val="CharSchNo"/>
        </w:rPr>
        <w:t>Schedule 2</w:t>
      </w:r>
      <w:r>
        <w:t> — </w:t>
      </w:r>
      <w:r>
        <w:rPr>
          <w:rStyle w:val="CharSchText"/>
        </w:rPr>
        <w:t>Descriptions of firearms for regulation 25</w:t>
      </w:r>
      <w:bookmarkEnd w:id="90"/>
      <w:bookmarkEnd w:id="91"/>
      <w:bookmarkEnd w:id="9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93" w:name="_Toc473878548"/>
      <w:bookmarkStart w:id="94" w:name="_Toc473884260"/>
      <w:bookmarkStart w:id="95" w:name="_Toc486428541"/>
      <w:r>
        <w:rPr>
          <w:rStyle w:val="CharSchNo"/>
        </w:rPr>
        <w:t>Schedule 3</w:t>
      </w:r>
      <w:r>
        <w:t> — </w:t>
      </w:r>
      <w:r>
        <w:rPr>
          <w:rStyle w:val="CharSchText"/>
        </w:rPr>
        <w:t>Categories of firearms</w:t>
      </w:r>
      <w:bookmarkEnd w:id="93"/>
      <w:bookmarkEnd w:id="94"/>
      <w:bookmarkEnd w:id="95"/>
    </w:p>
    <w:p>
      <w:pPr>
        <w:pStyle w:val="yShoulderClause"/>
      </w:pPr>
      <w:r>
        <w:t>[r. 6A]</w:t>
      </w:r>
    </w:p>
    <w:p>
      <w:pPr>
        <w:pStyle w:val="yHeading3"/>
      </w:pPr>
      <w:bookmarkStart w:id="96" w:name="_Toc473878549"/>
      <w:bookmarkStart w:id="97" w:name="_Toc473884261"/>
      <w:bookmarkStart w:id="98" w:name="_Toc486428542"/>
      <w:r>
        <w:rPr>
          <w:rStyle w:val="CharSDivNo"/>
        </w:rPr>
        <w:t>Division 1</w:t>
      </w:r>
      <w:r>
        <w:rPr>
          <w:b w:val="0"/>
        </w:rPr>
        <w:t> — </w:t>
      </w:r>
      <w:r>
        <w:rPr>
          <w:rStyle w:val="CharSDivText"/>
        </w:rPr>
        <w:t>Category A</w:t>
      </w:r>
      <w:bookmarkEnd w:id="96"/>
      <w:bookmarkEnd w:id="97"/>
      <w:bookmarkEnd w:id="98"/>
    </w:p>
    <w:p>
      <w:pPr>
        <w:pStyle w:val="yFootnoteheading"/>
      </w:pPr>
      <w:r>
        <w:tab/>
        <w:t>[Heading inserted in Gazette 31 Aug 2010 p. 4185.]</w:t>
      </w:r>
    </w:p>
    <w:p>
      <w:pPr>
        <w:pStyle w:val="yHeading5"/>
      </w:pPr>
      <w:bookmarkStart w:id="99" w:name="_Toc486428543"/>
      <w:r>
        <w:rPr>
          <w:rStyle w:val="CharSClsNo"/>
        </w:rPr>
        <w:t>1</w:t>
      </w:r>
      <w:r>
        <w:t>.</w:t>
      </w:r>
      <w:r>
        <w:rPr>
          <w:b w:val="0"/>
        </w:rPr>
        <w:tab/>
      </w:r>
      <w:r>
        <w:t>Category A firearms</w:t>
      </w:r>
      <w:bookmarkEnd w:id="9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 3 Feb 2017 p. 1114.]</w:t>
      </w:r>
    </w:p>
    <w:p>
      <w:pPr>
        <w:pStyle w:val="yHeading3"/>
        <w:keepLines/>
      </w:pPr>
      <w:bookmarkStart w:id="100" w:name="_Toc473878551"/>
      <w:bookmarkStart w:id="101" w:name="_Toc473884263"/>
      <w:bookmarkStart w:id="102" w:name="_Toc486428544"/>
      <w:r>
        <w:rPr>
          <w:rStyle w:val="CharSDivNo"/>
        </w:rPr>
        <w:t>Division 2</w:t>
      </w:r>
      <w:r>
        <w:rPr>
          <w:b w:val="0"/>
        </w:rPr>
        <w:t> — </w:t>
      </w:r>
      <w:r>
        <w:rPr>
          <w:rStyle w:val="CharSDivText"/>
        </w:rPr>
        <w:t>Category B</w:t>
      </w:r>
      <w:bookmarkEnd w:id="100"/>
      <w:bookmarkEnd w:id="101"/>
      <w:bookmarkEnd w:id="102"/>
    </w:p>
    <w:p>
      <w:pPr>
        <w:pStyle w:val="yFootnoteheading"/>
        <w:keepNext/>
        <w:keepLines/>
      </w:pPr>
      <w:r>
        <w:tab/>
        <w:t>[Heading inserted in Gazette 31 Aug 2010 p. 4185.]</w:t>
      </w:r>
    </w:p>
    <w:p>
      <w:pPr>
        <w:pStyle w:val="yHeading5"/>
      </w:pPr>
      <w:bookmarkStart w:id="103" w:name="_Toc486428545"/>
      <w:r>
        <w:rPr>
          <w:rStyle w:val="CharSClsNo"/>
        </w:rPr>
        <w:t>2</w:t>
      </w:r>
      <w:r>
        <w:t>.</w:t>
      </w:r>
      <w:r>
        <w:rPr>
          <w:b w:val="0"/>
        </w:rPr>
        <w:tab/>
      </w:r>
      <w:r>
        <w:t>Category B firearms</w:t>
      </w:r>
      <w:bookmarkEnd w:id="10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 3 Feb 2017 p. 1114.]</w:t>
      </w:r>
    </w:p>
    <w:p>
      <w:pPr>
        <w:pStyle w:val="yHeading5"/>
      </w:pPr>
      <w:bookmarkStart w:id="104" w:name="_Toc486428546"/>
      <w:r>
        <w:rPr>
          <w:rStyle w:val="CharSClsNo"/>
        </w:rPr>
        <w:t>3</w:t>
      </w:r>
      <w:r>
        <w:t>.</w:t>
      </w:r>
      <w:r>
        <w:rPr>
          <w:b w:val="0"/>
        </w:rPr>
        <w:tab/>
      </w:r>
      <w:r>
        <w:t>Genuine need test for category B</w:t>
      </w:r>
      <w:bookmarkEnd w:id="104"/>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05" w:name="_Toc473878554"/>
      <w:bookmarkStart w:id="106" w:name="_Toc473884266"/>
      <w:bookmarkStart w:id="107" w:name="_Toc486428547"/>
      <w:r>
        <w:rPr>
          <w:rStyle w:val="CharSDivNo"/>
        </w:rPr>
        <w:t>Division 3</w:t>
      </w:r>
      <w:r>
        <w:rPr>
          <w:b w:val="0"/>
        </w:rPr>
        <w:t> — </w:t>
      </w:r>
      <w:r>
        <w:rPr>
          <w:rStyle w:val="CharSDivText"/>
        </w:rPr>
        <w:t>Category C</w:t>
      </w:r>
      <w:bookmarkEnd w:id="105"/>
      <w:bookmarkEnd w:id="106"/>
      <w:bookmarkEnd w:id="107"/>
    </w:p>
    <w:p>
      <w:pPr>
        <w:pStyle w:val="yFootnoteheading"/>
        <w:keepNext/>
        <w:keepLines/>
        <w:jc w:val="both"/>
      </w:pPr>
      <w:r>
        <w:tab/>
        <w:t>[Heading inserted in Gazette 31 Aug 2010 p. 4186.]</w:t>
      </w:r>
    </w:p>
    <w:p>
      <w:pPr>
        <w:pStyle w:val="yHeading5"/>
        <w:jc w:val="both"/>
      </w:pPr>
      <w:bookmarkStart w:id="108" w:name="_Toc486428548"/>
      <w:r>
        <w:rPr>
          <w:rStyle w:val="CharSClsNo"/>
        </w:rPr>
        <w:t>4</w:t>
      </w:r>
      <w:r>
        <w:t>.</w:t>
      </w:r>
      <w:r>
        <w:rPr>
          <w:b w:val="0"/>
        </w:rPr>
        <w:tab/>
      </w:r>
      <w:r>
        <w:t>Category C firearms</w:t>
      </w:r>
      <w:bookmarkEnd w:id="108"/>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09" w:name="_Toc486428549"/>
      <w:r>
        <w:rPr>
          <w:rStyle w:val="CharSClsNo"/>
        </w:rPr>
        <w:t>5</w:t>
      </w:r>
      <w:r>
        <w:t>.</w:t>
      </w:r>
      <w:r>
        <w:rPr>
          <w:b w:val="0"/>
        </w:rPr>
        <w:tab/>
      </w:r>
      <w:r>
        <w:t>Genuine need test for category C</w:t>
      </w:r>
      <w:bookmarkEnd w:id="10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10" w:name="_Toc486428550"/>
      <w:r>
        <w:rPr>
          <w:rStyle w:val="CharSClsNo"/>
        </w:rPr>
        <w:t>6</w:t>
      </w:r>
      <w:r>
        <w:t>.</w:t>
      </w:r>
      <w:r>
        <w:rPr>
          <w:b w:val="0"/>
        </w:rPr>
        <w:tab/>
      </w:r>
      <w:r>
        <w:t>Restrictions for category C</w:t>
      </w:r>
      <w:bookmarkEnd w:id="11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11" w:name="_Toc473878558"/>
      <w:bookmarkStart w:id="112" w:name="_Toc473884270"/>
      <w:bookmarkStart w:id="113" w:name="_Toc486428551"/>
      <w:r>
        <w:rPr>
          <w:rStyle w:val="CharSDivNo"/>
        </w:rPr>
        <w:t>Division 4</w:t>
      </w:r>
      <w:r>
        <w:rPr>
          <w:b w:val="0"/>
        </w:rPr>
        <w:t> — </w:t>
      </w:r>
      <w:r>
        <w:rPr>
          <w:rStyle w:val="CharSDivText"/>
        </w:rPr>
        <w:t>Category D</w:t>
      </w:r>
      <w:bookmarkEnd w:id="111"/>
      <w:bookmarkEnd w:id="112"/>
      <w:bookmarkEnd w:id="113"/>
    </w:p>
    <w:p>
      <w:pPr>
        <w:pStyle w:val="yFootnoteheading"/>
        <w:keepNext/>
        <w:keepLines/>
        <w:spacing w:before="80"/>
      </w:pPr>
      <w:r>
        <w:tab/>
        <w:t>[Heading inserted in Gazette 31 Aug 2010 p. 4186.]</w:t>
      </w:r>
    </w:p>
    <w:p>
      <w:pPr>
        <w:pStyle w:val="yHeading5"/>
        <w:spacing w:before="160"/>
      </w:pPr>
      <w:bookmarkStart w:id="114" w:name="_Toc486428552"/>
      <w:r>
        <w:rPr>
          <w:rStyle w:val="CharSClsNo"/>
        </w:rPr>
        <w:t>7</w:t>
      </w:r>
      <w:r>
        <w:t>.</w:t>
      </w:r>
      <w:r>
        <w:rPr>
          <w:b w:val="0"/>
        </w:rPr>
        <w:tab/>
      </w:r>
      <w:r>
        <w:t>Category D firearms</w:t>
      </w:r>
      <w:bookmarkEnd w:id="114"/>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 3 Feb 2017 p. 1114.]</w:t>
      </w:r>
    </w:p>
    <w:p>
      <w:pPr>
        <w:pStyle w:val="yHeading5"/>
        <w:spacing w:before="180"/>
      </w:pPr>
      <w:bookmarkStart w:id="115" w:name="_Toc486428553"/>
      <w:r>
        <w:rPr>
          <w:rStyle w:val="CharSClsNo"/>
        </w:rPr>
        <w:t>8</w:t>
      </w:r>
      <w:r>
        <w:t>.</w:t>
      </w:r>
      <w:r>
        <w:rPr>
          <w:b w:val="0"/>
        </w:rPr>
        <w:tab/>
      </w:r>
      <w:r>
        <w:t>Genuine need test for category D</w:t>
      </w:r>
      <w:bookmarkEnd w:id="115"/>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16" w:name="_Toc473878561"/>
      <w:bookmarkStart w:id="117" w:name="_Toc473884273"/>
      <w:bookmarkStart w:id="118" w:name="_Toc486428554"/>
      <w:r>
        <w:rPr>
          <w:rStyle w:val="CharSDivNo"/>
        </w:rPr>
        <w:t>Division 5</w:t>
      </w:r>
      <w:r>
        <w:rPr>
          <w:b w:val="0"/>
        </w:rPr>
        <w:t> — </w:t>
      </w:r>
      <w:r>
        <w:rPr>
          <w:rStyle w:val="CharSDivText"/>
        </w:rPr>
        <w:t>Category E</w:t>
      </w:r>
      <w:bookmarkEnd w:id="116"/>
      <w:bookmarkEnd w:id="117"/>
      <w:bookmarkEnd w:id="118"/>
    </w:p>
    <w:p>
      <w:pPr>
        <w:pStyle w:val="yFootnoteheading"/>
      </w:pPr>
      <w:r>
        <w:tab/>
        <w:t>[Heading inserted in Gazette 31 Aug 2010 p. 4186.]</w:t>
      </w:r>
    </w:p>
    <w:p>
      <w:pPr>
        <w:pStyle w:val="yHeading5"/>
      </w:pPr>
      <w:bookmarkStart w:id="119" w:name="_Toc486428555"/>
      <w:r>
        <w:rPr>
          <w:rStyle w:val="CharSClsNo"/>
        </w:rPr>
        <w:t>9</w:t>
      </w:r>
      <w:r>
        <w:t>.</w:t>
      </w:r>
      <w:r>
        <w:rPr>
          <w:b w:val="0"/>
        </w:rPr>
        <w:tab/>
      </w:r>
      <w:r>
        <w:t>Category E firearms</w:t>
      </w:r>
      <w:bookmarkEnd w:id="119"/>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 29 Nov 2016 p. 5323.]</w:t>
      </w:r>
    </w:p>
    <w:p>
      <w:pPr>
        <w:pStyle w:val="yHeading3"/>
      </w:pPr>
      <w:bookmarkStart w:id="120" w:name="_Toc473878563"/>
      <w:bookmarkStart w:id="121" w:name="_Toc473884275"/>
      <w:bookmarkStart w:id="122" w:name="_Toc486428556"/>
      <w:r>
        <w:rPr>
          <w:rStyle w:val="CharSDivNo"/>
        </w:rPr>
        <w:t>Division 6</w:t>
      </w:r>
      <w:r>
        <w:rPr>
          <w:b w:val="0"/>
        </w:rPr>
        <w:t> — </w:t>
      </w:r>
      <w:r>
        <w:rPr>
          <w:rStyle w:val="CharSDivText"/>
        </w:rPr>
        <w:t>Category H</w:t>
      </w:r>
      <w:bookmarkEnd w:id="120"/>
      <w:bookmarkEnd w:id="121"/>
      <w:bookmarkEnd w:id="122"/>
    </w:p>
    <w:p>
      <w:pPr>
        <w:pStyle w:val="yFootnoteheading"/>
      </w:pPr>
      <w:r>
        <w:tab/>
        <w:t>[Heading inserted in Gazette 31 Aug 2010 p. 4187.]</w:t>
      </w:r>
    </w:p>
    <w:p>
      <w:pPr>
        <w:pStyle w:val="yHeading5"/>
      </w:pPr>
      <w:bookmarkStart w:id="123" w:name="_Toc486428557"/>
      <w:r>
        <w:rPr>
          <w:rStyle w:val="CharSClsNo"/>
        </w:rPr>
        <w:t>10</w:t>
      </w:r>
      <w:r>
        <w:t>.</w:t>
      </w:r>
      <w:r>
        <w:rPr>
          <w:b w:val="0"/>
        </w:rPr>
        <w:tab/>
      </w:r>
      <w:r>
        <w:t>Category H firearms</w:t>
      </w:r>
      <w:bookmarkEnd w:id="12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24" w:name="_Toc486428558"/>
      <w:r>
        <w:rPr>
          <w:rStyle w:val="CharSClsNo"/>
        </w:rPr>
        <w:t>11</w:t>
      </w:r>
      <w:r>
        <w:t>.</w:t>
      </w:r>
      <w:r>
        <w:rPr>
          <w:b w:val="0"/>
        </w:rPr>
        <w:tab/>
      </w:r>
      <w:r>
        <w:t>Genuine need test for category H</w:t>
      </w:r>
      <w:bookmarkEnd w:id="124"/>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25" w:name="_Toc486428559"/>
      <w:r>
        <w:rPr>
          <w:rStyle w:val="CharSClsNo"/>
        </w:rPr>
        <w:t>12</w:t>
      </w:r>
      <w:r>
        <w:t>.</w:t>
      </w:r>
      <w:r>
        <w:rPr>
          <w:b w:val="0"/>
        </w:rPr>
        <w:tab/>
      </w:r>
      <w:r>
        <w:t>Restrictions for category H</w:t>
      </w:r>
      <w:bookmarkEnd w:id="125"/>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26" w:name="_Toc473878567"/>
      <w:bookmarkStart w:id="127" w:name="_Toc473884279"/>
      <w:bookmarkStart w:id="128" w:name="_Toc486428560"/>
      <w:r>
        <w:rPr>
          <w:rStyle w:val="CharSchNo"/>
        </w:rPr>
        <w:t>Schedule 4</w:t>
      </w:r>
      <w:r>
        <w:t> — </w:t>
      </w:r>
      <w:r>
        <w:rPr>
          <w:rStyle w:val="CharSchText"/>
        </w:rPr>
        <w:t>Specifications for storage cabinets or containers</w:t>
      </w:r>
      <w:bookmarkEnd w:id="126"/>
      <w:bookmarkEnd w:id="127"/>
      <w:bookmarkEnd w:id="128"/>
    </w:p>
    <w:p>
      <w:pPr>
        <w:pStyle w:val="yFootnoteheading"/>
      </w:pPr>
      <w:r>
        <w:tab/>
        <w:t>[Heading inserted in Gazette 6 Dec 1996 p. 6847.]</w:t>
      </w:r>
    </w:p>
    <w:p>
      <w:pPr>
        <w:pStyle w:val="yShoulderClause"/>
      </w:pPr>
      <w:r>
        <w:t>[r. 11A(2)]</w:t>
      </w:r>
    </w:p>
    <w:p>
      <w:pPr>
        <w:pStyle w:val="yHeading5"/>
        <w:outlineLvl w:val="9"/>
      </w:pPr>
      <w:bookmarkStart w:id="129" w:name="_Toc486428561"/>
      <w:r>
        <w:rPr>
          <w:rStyle w:val="CharSClsNo"/>
        </w:rPr>
        <w:t>1</w:t>
      </w:r>
      <w:r>
        <w:t>.</w:t>
      </w:r>
      <w:r>
        <w:tab/>
        <w:t>Construction</w:t>
      </w:r>
      <w:bookmarkEnd w:id="12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30" w:name="_Toc486428562"/>
      <w:r>
        <w:rPr>
          <w:rStyle w:val="CharSClsNo"/>
        </w:rPr>
        <w:t>2</w:t>
      </w:r>
      <w:r>
        <w:t>.</w:t>
      </w:r>
      <w:r>
        <w:tab/>
        <w:t>Doors</w:t>
      </w:r>
      <w:bookmarkEnd w:id="13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31" w:name="_Toc486428563"/>
      <w:r>
        <w:rPr>
          <w:rStyle w:val="CharSClsNo"/>
        </w:rPr>
        <w:t>3</w:t>
      </w:r>
      <w:r>
        <w:t>.</w:t>
      </w:r>
      <w:r>
        <w:tab/>
        <w:t>Hinging mechanisms</w:t>
      </w:r>
      <w:bookmarkEnd w:id="13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32" w:name="_Toc486428564"/>
      <w:r>
        <w:rPr>
          <w:rStyle w:val="CharSClsNo"/>
        </w:rPr>
        <w:t>4</w:t>
      </w:r>
      <w:r>
        <w:t>.</w:t>
      </w:r>
      <w:r>
        <w:tab/>
        <w:t>Locks and locking points</w:t>
      </w:r>
      <w:bookmarkEnd w:id="13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33" w:name="_Toc486428565"/>
      <w:r>
        <w:rPr>
          <w:rStyle w:val="CharSClsNo"/>
        </w:rPr>
        <w:t>5</w:t>
      </w:r>
      <w:r>
        <w:t>.</w:t>
      </w:r>
      <w:r>
        <w:tab/>
        <w:t>Anchoring</w:t>
      </w:r>
      <w:bookmarkEnd w:id="133"/>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34" w:name="_Toc473878573"/>
      <w:bookmarkStart w:id="135" w:name="_Toc473884285"/>
      <w:bookmarkStart w:id="136" w:name="_Toc486428566"/>
      <w:r>
        <w:t>Notes</w:t>
      </w:r>
      <w:bookmarkEnd w:id="134"/>
      <w:bookmarkEnd w:id="135"/>
      <w:bookmarkEnd w:id="136"/>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137" w:name="_Toc486428567"/>
      <w:r>
        <w:rPr>
          <w:snapToGrid w:val="0"/>
        </w:rPr>
        <w:t>Compilation table</w:t>
      </w:r>
      <w:bookmarkEnd w:id="13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trPr>
        <w:tc>
          <w:tcPr>
            <w:tcW w:w="3118" w:type="dxa"/>
            <w:tcBorders>
              <w:bottom w:val="single" w:sz="4" w:space="0" w:color="auto"/>
            </w:tcBorders>
          </w:tcPr>
          <w:p>
            <w:pPr>
              <w:pStyle w:val="nTable"/>
              <w:spacing w:after="40"/>
            </w:pPr>
            <w:r>
              <w:rPr>
                <w:i/>
              </w:rPr>
              <w:t>Police Regulations Amendment (Fees and Charges) Regulations 2017</w:t>
            </w:r>
            <w:r>
              <w:t xml:space="preserve"> Pt. 2</w:t>
            </w:r>
          </w:p>
        </w:tc>
        <w:tc>
          <w:tcPr>
            <w:tcW w:w="1276" w:type="dxa"/>
            <w:tcBorders>
              <w:bottom w:val="single" w:sz="4" w:space="0" w:color="auto"/>
            </w:tcBorders>
          </w:tcPr>
          <w:p>
            <w:pPr>
              <w:pStyle w:val="nTable"/>
              <w:spacing w:after="40"/>
            </w:pPr>
            <w:r>
              <w:t>27 Jun 2017 p. 3440</w:t>
            </w:r>
            <w:r>
              <w:noBreakHyphen/>
              <w:t>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39" w:name="_Toc473878575"/>
      <w:bookmarkStart w:id="140" w:name="_Toc473884287"/>
      <w:bookmarkStart w:id="141" w:name="_Toc486428568"/>
      <w:r>
        <w:rPr>
          <w:sz w:val="28"/>
        </w:rPr>
        <w:t>Defined terms</w:t>
      </w:r>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25191</Words>
  <Characters>119406</Characters>
  <Application>Microsoft Office Word</Application>
  <DocSecurity>0</DocSecurity>
  <Lines>5686</Lines>
  <Paragraphs>3362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1974 - 09-d0-00</dc:title>
  <dc:subject/>
  <dc:creator/>
  <cp:keywords/>
  <dc:description/>
  <cp:lastModifiedBy>svcMRProcess</cp:lastModifiedBy>
  <cp:revision>4</cp:revision>
  <cp:lastPrinted>2016-08-05T02:16:00Z</cp:lastPrinted>
  <dcterms:created xsi:type="dcterms:W3CDTF">2020-02-25T17:56:00Z</dcterms:created>
  <dcterms:modified xsi:type="dcterms:W3CDTF">2020-02-25T17:56:00Z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Jul 2017</vt:lpwstr>
  </property>
  <property fmtid="{D5CDD505-2E9C-101B-9397-08002B2CF9AE}" pid="8" name="Suffix">
    <vt:lpwstr>09-d0-00</vt:lpwstr>
  </property>
  <property fmtid="{D5CDD505-2E9C-101B-9397-08002B2CF9AE}" pid="9" name="CommencementDate">
    <vt:lpwstr>20170701</vt:lpwstr>
  </property>
</Properties>
</file>