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Jetties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Jetties Regulations 1940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_Toc486502858 \h </w:instrText>
      </w:r>
      <w:r>
        <w:fldChar w:fldCharType="separate"/>
      </w:r>
      <w:r>
        <w:t>1</w:t>
      </w:r>
      <w:r>
        <w:fldChar w:fldCharType="end"/>
      </w:r>
    </w:p>
    <w:p>
      <w:pPr>
        <w:pStyle w:val="TOC8"/>
        <w:rPr>
          <w:rFonts w:asciiTheme="minorHAnsi" w:eastAsiaTheme="minorEastAsia" w:hAnsiTheme="minorHAnsi" w:cstheme="minorBidi"/>
          <w:szCs w:val="22"/>
        </w:rPr>
      </w:pPr>
      <w:r>
        <w:t>2.</w:t>
      </w:r>
      <w:r>
        <w:tab/>
        <w:t>Liability for dues and charges</w:t>
      </w:r>
      <w:r>
        <w:tab/>
      </w:r>
      <w:r>
        <w:fldChar w:fldCharType="begin"/>
      </w:r>
      <w:r>
        <w:instrText xml:space="preserve"> PAGEREF _Toc486502859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_Toc486502860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 — Regulations applying to jetties controlled by the Department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3A</w:t>
      </w:r>
      <w:r>
        <w:rPr>
          <w:snapToGrid w:val="0"/>
        </w:rPr>
        <w:t>.</w:t>
      </w:r>
      <w:r>
        <w:rPr>
          <w:snapToGrid w:val="0"/>
        </w:rPr>
        <w:tab/>
        <w:t>Application</w:t>
      </w:r>
      <w:r>
        <w:tab/>
      </w:r>
      <w:r>
        <w:fldChar w:fldCharType="begin"/>
      </w:r>
      <w:r>
        <w:instrText xml:space="preserve"> PAGEREF _Toc486502863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Arrival and movement of vessels</w:t>
      </w:r>
    </w:p>
    <w:p>
      <w:pPr>
        <w:pStyle w:val="TOC8"/>
        <w:rPr>
          <w:rFonts w:asciiTheme="minorHAnsi" w:eastAsiaTheme="minorEastAsia" w:hAnsiTheme="minorHAnsi" w:cstheme="minorBidi"/>
          <w:szCs w:val="22"/>
        </w:rPr>
      </w:pPr>
      <w:r>
        <w:t>4</w:t>
      </w:r>
      <w:r>
        <w:rPr>
          <w:snapToGrid w:val="0"/>
        </w:rPr>
        <w:t>.</w:t>
      </w:r>
      <w:r>
        <w:rPr>
          <w:snapToGrid w:val="0"/>
        </w:rPr>
        <w:tab/>
        <w:t>Master or agent to report arrival</w:t>
      </w:r>
      <w:r>
        <w:tab/>
      </w:r>
      <w:r>
        <w:fldChar w:fldCharType="begin"/>
      </w:r>
      <w:r>
        <w:instrText xml:space="preserve"> PAGEREF _Toc486502865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Vessels to change berths</w:t>
      </w:r>
      <w:r>
        <w:tab/>
      </w:r>
      <w:r>
        <w:fldChar w:fldCharType="begin"/>
      </w:r>
      <w:r>
        <w:instrText xml:space="preserve"> PAGEREF _Toc486502866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Berthing dues</w:t>
      </w:r>
    </w:p>
    <w:p>
      <w:pPr>
        <w:pStyle w:val="TOC8"/>
        <w:rPr>
          <w:rFonts w:asciiTheme="minorHAnsi" w:eastAsiaTheme="minorEastAsia" w:hAnsiTheme="minorHAnsi" w:cstheme="minorBidi"/>
          <w:szCs w:val="22"/>
        </w:rPr>
      </w:pPr>
      <w:r>
        <w:t>6.</w:t>
      </w:r>
      <w:r>
        <w:tab/>
        <w:t>Berthing dues</w:t>
      </w:r>
      <w:r>
        <w:tab/>
      </w:r>
      <w:r>
        <w:fldChar w:fldCharType="begin"/>
      </w:r>
      <w:r>
        <w:instrText xml:space="preserve"> PAGEREF _Toc486502868 \h </w:instrText>
      </w:r>
      <w:r>
        <w:fldChar w:fldCharType="separate"/>
      </w:r>
      <w:r>
        <w:t>6</w:t>
      </w:r>
      <w:r>
        <w:fldChar w:fldCharType="end"/>
      </w:r>
    </w:p>
    <w:p>
      <w:pPr>
        <w:pStyle w:val="TOC8"/>
        <w:rPr>
          <w:rFonts w:asciiTheme="minorHAnsi" w:eastAsiaTheme="minorEastAsia" w:hAnsiTheme="minorHAnsi" w:cstheme="minorBidi"/>
          <w:szCs w:val="22"/>
        </w:rPr>
      </w:pPr>
      <w:r>
        <w:t>6A.</w:t>
      </w:r>
      <w:r>
        <w:tab/>
        <w:t>Requirement to pay berthing dues</w:t>
      </w:r>
      <w:r>
        <w:tab/>
      </w:r>
      <w:r>
        <w:fldChar w:fldCharType="begin"/>
      </w:r>
      <w:r>
        <w:instrText xml:space="preserve"> PAGEREF _Toc486502869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Computation of berthing dues</w:t>
      </w:r>
      <w:r>
        <w:tab/>
      </w:r>
      <w:r>
        <w:fldChar w:fldCharType="begin"/>
      </w:r>
      <w:r>
        <w:instrText xml:space="preserve"> PAGEREF _Toc486502870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Inwards manifests</w:t>
      </w:r>
      <w:r>
        <w:tab/>
      </w:r>
      <w:r>
        <w:fldChar w:fldCharType="begin"/>
      </w:r>
      <w:r>
        <w:instrText xml:space="preserve"> PAGEREF _Toc486502871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Outwards manifests</w:t>
      </w:r>
      <w:r>
        <w:tab/>
      </w:r>
      <w:r>
        <w:fldChar w:fldCharType="begin"/>
      </w:r>
      <w:r>
        <w:instrText xml:space="preserve"> PAGEREF _Toc486502872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Wharfage dues, handling and haulage charges</w:t>
      </w:r>
    </w:p>
    <w:p>
      <w:pPr>
        <w:pStyle w:val="TOC8"/>
        <w:rPr>
          <w:rFonts w:asciiTheme="minorHAnsi" w:eastAsiaTheme="minorEastAsia" w:hAnsiTheme="minorHAnsi" w:cstheme="minorBidi"/>
          <w:szCs w:val="22"/>
        </w:rPr>
      </w:pPr>
      <w:r>
        <w:t>10A</w:t>
      </w:r>
      <w:r>
        <w:rPr>
          <w:snapToGrid w:val="0"/>
        </w:rPr>
        <w:t>.</w:t>
      </w:r>
      <w:r>
        <w:rPr>
          <w:snapToGrid w:val="0"/>
        </w:rPr>
        <w:tab/>
        <w:t>Payment of dues and charges</w:t>
      </w:r>
      <w:r>
        <w:tab/>
      </w:r>
      <w:r>
        <w:fldChar w:fldCharType="begin"/>
      </w:r>
      <w:r>
        <w:instrText xml:space="preserve"> PAGEREF _Toc486502874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Charges for transhipment cargo</w:t>
      </w:r>
      <w:r>
        <w:tab/>
      </w:r>
      <w:r>
        <w:fldChar w:fldCharType="begin"/>
      </w:r>
      <w:r>
        <w:instrText xml:space="preserve"> PAGEREF _Toc486502875 \h </w:instrText>
      </w:r>
      <w:r>
        <w:fldChar w:fldCharType="separate"/>
      </w:r>
      <w:r>
        <w:t>8</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Charges on vessels’ stores, including fuel oil</w:t>
      </w:r>
      <w:r>
        <w:tab/>
      </w:r>
      <w:r>
        <w:fldChar w:fldCharType="begin"/>
      </w:r>
      <w:r>
        <w:instrText xml:space="preserve"> PAGEREF _Toc486502876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Charges to be paid before delivery of cargo</w:t>
      </w:r>
      <w:r>
        <w:tab/>
      </w:r>
      <w:r>
        <w:fldChar w:fldCharType="begin"/>
      </w:r>
      <w:r>
        <w:instrText xml:space="preserve"> PAGEREF _Toc486502877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Extra charges</w:t>
      </w:r>
      <w:r>
        <w:tab/>
      </w:r>
      <w:r>
        <w:fldChar w:fldCharType="begin"/>
      </w:r>
      <w:r>
        <w:instrText xml:space="preserve"> PAGEREF _Toc486502878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Handling of cargo</w:t>
      </w:r>
    </w:p>
    <w:p>
      <w:pPr>
        <w:pStyle w:val="TOC8"/>
        <w:rPr>
          <w:rFonts w:asciiTheme="minorHAnsi" w:eastAsiaTheme="minorEastAsia" w:hAnsiTheme="minorHAnsi" w:cstheme="minorBidi"/>
          <w:szCs w:val="22"/>
        </w:rPr>
      </w:pPr>
      <w:r>
        <w:t>14</w:t>
      </w:r>
      <w:r>
        <w:rPr>
          <w:snapToGrid w:val="0"/>
        </w:rPr>
        <w:t>.</w:t>
      </w:r>
      <w:r>
        <w:rPr>
          <w:snapToGrid w:val="0"/>
        </w:rPr>
        <w:tab/>
        <w:t>Cargo not to be placed on jetties or premises without authority</w:t>
      </w:r>
      <w:r>
        <w:tab/>
      </w:r>
      <w:r>
        <w:fldChar w:fldCharType="begin"/>
      </w:r>
      <w:r>
        <w:instrText xml:space="preserve"> PAGEREF _Toc486502880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Discharging of cargo may be stopped</w:t>
      </w:r>
      <w:r>
        <w:tab/>
      </w:r>
      <w:r>
        <w:fldChar w:fldCharType="begin"/>
      </w:r>
      <w:r>
        <w:instrText xml:space="preserve"> PAGEREF _Toc486502881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Goods not to be shifted without authority</w:t>
      </w:r>
      <w:r>
        <w:tab/>
      </w:r>
      <w:r>
        <w:fldChar w:fldCharType="begin"/>
      </w:r>
      <w:r>
        <w:instrText xml:space="preserve"> PAGEREF _Toc486502882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Bulk cargo not to be deposited without authority</w:t>
      </w:r>
      <w:r>
        <w:tab/>
      </w:r>
      <w:r>
        <w:fldChar w:fldCharType="begin"/>
      </w:r>
      <w:r>
        <w:instrText xml:space="preserve"> PAGEREF _Toc486502883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Outward cargo advice notes</w:t>
      </w:r>
      <w:r>
        <w:tab/>
      </w:r>
      <w:r>
        <w:fldChar w:fldCharType="begin"/>
      </w:r>
      <w:r>
        <w:instrText xml:space="preserve"> PAGEREF _Toc486502884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Outward cargo</w:t>
      </w:r>
      <w:r>
        <w:tab/>
      </w:r>
      <w:r>
        <w:fldChar w:fldCharType="begin"/>
      </w:r>
      <w:r>
        <w:instrText xml:space="preserve"> PAGEREF _Toc486502885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Dangerous cargo not to be shipped without permission</w:t>
      </w:r>
      <w:r>
        <w:tab/>
      </w:r>
      <w:r>
        <w:fldChar w:fldCharType="begin"/>
      </w:r>
      <w:r>
        <w:instrText xml:space="preserve"> PAGEREF _Toc486502886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Dangerous cargo may be refused or examined</w:t>
      </w:r>
      <w:r>
        <w:tab/>
      </w:r>
      <w:r>
        <w:fldChar w:fldCharType="begin"/>
      </w:r>
      <w:r>
        <w:instrText xml:space="preserve"> PAGEREF _Toc486502887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Marking of heavy packages</w:t>
      </w:r>
      <w:r>
        <w:tab/>
      </w:r>
      <w:r>
        <w:fldChar w:fldCharType="begin"/>
      </w:r>
      <w:r>
        <w:instrText xml:space="preserve"> PAGEREF _Toc486502888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False statements</w:t>
      </w:r>
      <w:r>
        <w:tab/>
      </w:r>
      <w:r>
        <w:fldChar w:fldCharType="begin"/>
      </w:r>
      <w:r>
        <w:instrText xml:space="preserve"> PAGEREF _Toc486502889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Receipt, delivery and storage of cargo</w:t>
      </w:r>
    </w:p>
    <w:p>
      <w:pPr>
        <w:pStyle w:val="TOC8"/>
        <w:rPr>
          <w:rFonts w:asciiTheme="minorHAnsi" w:eastAsiaTheme="minorEastAsia" w:hAnsiTheme="minorHAnsi" w:cstheme="minorBidi"/>
          <w:szCs w:val="22"/>
        </w:rPr>
      </w:pPr>
      <w:r>
        <w:t>24</w:t>
      </w:r>
      <w:r>
        <w:rPr>
          <w:snapToGrid w:val="0"/>
        </w:rPr>
        <w:t>.</w:t>
      </w:r>
      <w:r>
        <w:rPr>
          <w:snapToGrid w:val="0"/>
        </w:rPr>
        <w:tab/>
        <w:t>Removal of cargo</w:t>
      </w:r>
      <w:r>
        <w:tab/>
      </w:r>
      <w:r>
        <w:fldChar w:fldCharType="begin"/>
      </w:r>
      <w:r>
        <w:instrText xml:space="preserve"> PAGEREF _Toc486502891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Storage charges</w:t>
      </w:r>
      <w:r>
        <w:tab/>
      </w:r>
      <w:r>
        <w:fldChar w:fldCharType="begin"/>
      </w:r>
      <w:r>
        <w:instrText xml:space="preserve"> PAGEREF _Toc486502892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Department not bound to find storage accommodation</w:t>
      </w:r>
      <w:r>
        <w:tab/>
      </w:r>
      <w:r>
        <w:fldChar w:fldCharType="begin"/>
      </w:r>
      <w:r>
        <w:instrText xml:space="preserve"> PAGEREF _Toc486502893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Goods may be disposed of</w:t>
      </w:r>
      <w:r>
        <w:tab/>
      </w:r>
      <w:r>
        <w:fldChar w:fldCharType="begin"/>
      </w:r>
      <w:r>
        <w:instrText xml:space="preserve"> PAGEREF _Toc486502894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Goods to be checked before delivery</w:t>
      </w:r>
      <w:r>
        <w:tab/>
      </w:r>
      <w:r>
        <w:fldChar w:fldCharType="begin"/>
      </w:r>
      <w:r>
        <w:instrText xml:space="preserve"> PAGEREF _Toc486502895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Delay in delivery</w:t>
      </w:r>
      <w:r>
        <w:tab/>
      </w:r>
      <w:r>
        <w:fldChar w:fldCharType="begin"/>
      </w:r>
      <w:r>
        <w:instrText xml:space="preserve"> PAGEREF _Toc486502896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Wrong delivery</w:t>
      </w:r>
      <w:r>
        <w:tab/>
      </w:r>
      <w:r>
        <w:fldChar w:fldCharType="begin"/>
      </w:r>
      <w:r>
        <w:instrText xml:space="preserve"> PAGEREF _Toc486502897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Responsibility of Department</w:t>
      </w:r>
    </w:p>
    <w:p>
      <w:pPr>
        <w:pStyle w:val="TOC8"/>
        <w:rPr>
          <w:rFonts w:asciiTheme="minorHAnsi" w:eastAsiaTheme="minorEastAsia" w:hAnsiTheme="minorHAnsi" w:cstheme="minorBidi"/>
          <w:szCs w:val="22"/>
        </w:rPr>
      </w:pPr>
      <w:r>
        <w:t>31</w:t>
      </w:r>
      <w:r>
        <w:rPr>
          <w:snapToGrid w:val="0"/>
        </w:rPr>
        <w:t>.</w:t>
      </w:r>
      <w:r>
        <w:rPr>
          <w:snapToGrid w:val="0"/>
        </w:rPr>
        <w:tab/>
        <w:t>Custody of cargo</w:t>
      </w:r>
      <w:r>
        <w:tab/>
      </w:r>
      <w:r>
        <w:fldChar w:fldCharType="begin"/>
      </w:r>
      <w:r>
        <w:instrText xml:space="preserve"> PAGEREF _Toc486502899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without receipts</w:t>
      </w:r>
      <w:r>
        <w:tab/>
      </w:r>
      <w:r>
        <w:fldChar w:fldCharType="begin"/>
      </w:r>
      <w:r>
        <w:instrText xml:space="preserve"> PAGEREF _Toc486502900 \h </w:instrText>
      </w:r>
      <w:r>
        <w:fldChar w:fldCharType="separate"/>
      </w:r>
      <w:r>
        <w:t>17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Goods stacked on jetties</w:t>
      </w:r>
      <w:r>
        <w:tab/>
      </w:r>
      <w:r>
        <w:fldChar w:fldCharType="begin"/>
      </w:r>
      <w:r>
        <w:instrText xml:space="preserve"> PAGEREF _Toc486502901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Cargo damaged by fire etc.</w:t>
      </w:r>
      <w:r>
        <w:tab/>
      </w:r>
      <w:r>
        <w:fldChar w:fldCharType="begin"/>
      </w:r>
      <w:r>
        <w:instrText xml:space="preserve"> PAGEREF _Toc486502902 \h </w:instrText>
      </w:r>
      <w:r>
        <w:fldChar w:fldCharType="separate"/>
      </w:r>
      <w:r>
        <w:t>18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Goods insufficiently packed</w:t>
      </w:r>
      <w:r>
        <w:tab/>
      </w:r>
      <w:r>
        <w:fldChar w:fldCharType="begin"/>
      </w:r>
      <w:r>
        <w:instrText xml:space="preserve"> PAGEREF _Toc486502903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Claims in respect of cargo</w:t>
      </w:r>
      <w:r>
        <w:tab/>
      </w:r>
      <w:r>
        <w:fldChar w:fldCharType="begin"/>
      </w:r>
      <w:r>
        <w:instrText xml:space="preserve"> PAGEREF _Toc486502904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Working hours</w:t>
      </w:r>
    </w:p>
    <w:p>
      <w:pPr>
        <w:pStyle w:val="TOC8"/>
        <w:rPr>
          <w:rFonts w:asciiTheme="minorHAnsi" w:eastAsiaTheme="minorEastAsia" w:hAnsiTheme="minorHAnsi" w:cstheme="minorBidi"/>
          <w:szCs w:val="22"/>
        </w:rPr>
      </w:pPr>
      <w:r>
        <w:t>37</w:t>
      </w:r>
      <w:r>
        <w:rPr>
          <w:snapToGrid w:val="0"/>
        </w:rPr>
        <w:t>.</w:t>
      </w:r>
      <w:r>
        <w:rPr>
          <w:snapToGrid w:val="0"/>
        </w:rPr>
        <w:tab/>
        <w:t>Ordinary time</w:t>
      </w:r>
      <w:r>
        <w:tab/>
      </w:r>
      <w:r>
        <w:fldChar w:fldCharType="begin"/>
      </w:r>
      <w:r>
        <w:instrText xml:space="preserve"> PAGEREF _Toc486502906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Overtime</w:t>
      </w:r>
      <w:r>
        <w:tab/>
      </w:r>
      <w:r>
        <w:fldChar w:fldCharType="begin"/>
      </w:r>
      <w:r>
        <w:instrText xml:space="preserve"> PAGEREF _Toc486502907 \h </w:instrText>
      </w:r>
      <w:r>
        <w:fldChar w:fldCharType="separate"/>
      </w:r>
      <w:r>
        <w:t>19</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Wages incurred through ships’ delays to be paid for</w:t>
      </w:r>
      <w:r>
        <w:tab/>
      </w:r>
      <w:r>
        <w:fldChar w:fldCharType="begin"/>
      </w:r>
      <w:r>
        <w:instrText xml:space="preserve"> PAGEREF _Toc486502908 \h </w:instrText>
      </w:r>
      <w:r>
        <w:fldChar w:fldCharType="separate"/>
      </w:r>
      <w:r>
        <w:t>19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Master to give notice of desire to work</w:t>
      </w:r>
      <w:r>
        <w:tab/>
      </w:r>
      <w:r>
        <w:fldChar w:fldCharType="begin"/>
      </w:r>
      <w:r>
        <w:instrText xml:space="preserve"> PAGEREF _Toc486502909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Livestock or vehicles on jetties or premises</w:t>
      </w:r>
    </w:p>
    <w:p>
      <w:pPr>
        <w:pStyle w:val="TOC8"/>
        <w:rPr>
          <w:rFonts w:asciiTheme="minorHAnsi" w:eastAsiaTheme="minorEastAsia" w:hAnsiTheme="minorHAnsi" w:cstheme="minorBidi"/>
          <w:szCs w:val="22"/>
        </w:rPr>
      </w:pPr>
      <w:r>
        <w:t>40</w:t>
      </w:r>
      <w:r>
        <w:rPr>
          <w:snapToGrid w:val="0"/>
        </w:rPr>
        <w:t>.</w:t>
      </w:r>
      <w:r>
        <w:rPr>
          <w:snapToGrid w:val="0"/>
        </w:rPr>
        <w:tab/>
        <w:t>Livestock on jetties or premises</w:t>
      </w:r>
      <w:r>
        <w:tab/>
      </w:r>
      <w:r>
        <w:fldChar w:fldCharType="begin"/>
      </w:r>
      <w:r>
        <w:instrText xml:space="preserve"> PAGEREF _Toc486502911 \h </w:instrText>
      </w:r>
      <w:r>
        <w:fldChar w:fldCharType="separate"/>
      </w:r>
      <w:r>
        <w:t>20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Riding vehicles etc. on jetties or premises</w:t>
      </w:r>
      <w:r>
        <w:tab/>
      </w:r>
      <w:r>
        <w:fldChar w:fldCharType="begin"/>
      </w:r>
      <w:r>
        <w:instrText xml:space="preserve"> PAGEREF _Toc486502912 \h </w:instrText>
      </w:r>
      <w:r>
        <w:fldChar w:fldCharType="separate"/>
      </w:r>
      <w:r>
        <w:t>20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Vehicles not to be parked on jetties</w:t>
      </w:r>
      <w:r>
        <w:tab/>
      </w:r>
      <w:r>
        <w:fldChar w:fldCharType="begin"/>
      </w:r>
      <w:r>
        <w:instrText xml:space="preserve"> PAGEREF _Toc486502913 \h </w:instrText>
      </w:r>
      <w:r>
        <w:fldChar w:fldCharType="separate"/>
      </w:r>
      <w:r>
        <w:t>20</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Department not responsible for vehicles on jetties</w:t>
      </w:r>
      <w:r>
        <w:tab/>
      </w:r>
      <w:r>
        <w:fldChar w:fldCharType="begin"/>
      </w:r>
      <w:r>
        <w:instrText xml:space="preserve"> PAGEREF _Toc486502914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Drivers of vehicles to obey instructions</w:t>
      </w:r>
      <w:r>
        <w:tab/>
      </w:r>
      <w:r>
        <w:fldChar w:fldCharType="begin"/>
      </w:r>
      <w:r>
        <w:instrText xml:space="preserve"> PAGEREF _Toc486502915 \h </w:instrText>
      </w:r>
      <w:r>
        <w:fldChar w:fldCharType="separate"/>
      </w:r>
      <w:r>
        <w:t>21</w:t>
      </w:r>
      <w:r>
        <w:fldChar w:fldCharType="end"/>
      </w:r>
    </w:p>
    <w:p>
      <w:pPr>
        <w:pStyle w:val="TOC8"/>
        <w:rPr>
          <w:rFonts w:asciiTheme="minorHAnsi" w:eastAsiaTheme="minorEastAsia" w:hAnsiTheme="minorHAnsi" w:cstheme="minorBidi"/>
          <w:szCs w:val="22"/>
        </w:rPr>
      </w:pPr>
      <w:r>
        <w:t>42A.</w:t>
      </w:r>
      <w:r>
        <w:tab/>
        <w:t>Charges for vehicular use of jetty</w:t>
      </w:r>
      <w:r>
        <w:tab/>
      </w:r>
      <w:r>
        <w:fldChar w:fldCharType="begin"/>
      </w:r>
      <w:r>
        <w:instrText xml:space="preserve"> PAGEREF _Toc486502916 \h </w:instrText>
      </w:r>
      <w:r>
        <w:fldChar w:fldCharType="separate"/>
      </w:r>
      <w:r>
        <w:t>21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Persons not to be on jetties when livestock is being handled</w:t>
      </w:r>
      <w:r>
        <w:tab/>
      </w:r>
      <w:r>
        <w:fldChar w:fldCharType="begin"/>
      </w:r>
      <w:r>
        <w:instrText xml:space="preserve"> PAGEREF _Toc486502917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w:t>
      </w:r>
    </w:p>
    <w:p>
      <w:pPr>
        <w:pStyle w:val="TOC8"/>
        <w:rPr>
          <w:rFonts w:asciiTheme="minorHAnsi" w:eastAsiaTheme="minorEastAsia" w:hAnsiTheme="minorHAnsi" w:cstheme="minorBidi"/>
          <w:szCs w:val="22"/>
        </w:rPr>
      </w:pPr>
      <w:r>
        <w:t>44</w:t>
      </w:r>
      <w:r>
        <w:rPr>
          <w:snapToGrid w:val="0"/>
        </w:rPr>
        <w:t>.</w:t>
      </w:r>
      <w:r>
        <w:rPr>
          <w:snapToGrid w:val="0"/>
        </w:rPr>
        <w:tab/>
        <w:t>Bill posting, defacement and obscenity</w:t>
      </w:r>
      <w:r>
        <w:tab/>
      </w:r>
      <w:r>
        <w:fldChar w:fldCharType="begin"/>
      </w:r>
      <w:r>
        <w:instrText xml:space="preserve"> PAGEREF _Toc486502919 \h </w:instrText>
      </w:r>
      <w:r>
        <w:fldChar w:fldCharType="separate"/>
      </w:r>
      <w:r>
        <w:t>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Disorderly persons</w:t>
      </w:r>
      <w:r>
        <w:tab/>
      </w:r>
      <w:r>
        <w:fldChar w:fldCharType="begin"/>
      </w:r>
      <w:r>
        <w:instrText xml:space="preserve"> PAGEREF _Toc486502920 \h </w:instrText>
      </w:r>
      <w:r>
        <w:fldChar w:fldCharType="separate"/>
      </w:r>
      <w:r>
        <w:t>22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Fires not to be lit</w:t>
      </w:r>
      <w:r>
        <w:tab/>
      </w:r>
      <w:r>
        <w:fldChar w:fldCharType="begin"/>
      </w:r>
      <w:r>
        <w:instrText xml:space="preserve"> PAGEREF _Toc486502921 \h </w:instrText>
      </w:r>
      <w:r>
        <w:fldChar w:fldCharType="separate"/>
      </w:r>
      <w:r>
        <w:t>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Gates to be shut</w:t>
      </w:r>
      <w:r>
        <w:tab/>
      </w:r>
      <w:r>
        <w:fldChar w:fldCharType="begin"/>
      </w:r>
      <w:r>
        <w:instrText xml:space="preserve"> PAGEREF _Toc486502922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Interference with lights</w:t>
      </w:r>
      <w:r>
        <w:tab/>
      </w:r>
      <w:r>
        <w:fldChar w:fldCharType="begin"/>
      </w:r>
      <w:r>
        <w:instrText xml:space="preserve"> PAGEREF _Toc486502923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Interference with or damaging property</w:t>
      </w:r>
      <w:r>
        <w:tab/>
      </w:r>
      <w:r>
        <w:fldChar w:fldCharType="begin"/>
      </w:r>
      <w:r>
        <w:instrText xml:space="preserve"> PAGEREF _Toc486502924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Lost property</w:t>
      </w:r>
      <w:r>
        <w:tab/>
      </w:r>
      <w:r>
        <w:fldChar w:fldCharType="begin"/>
      </w:r>
      <w:r>
        <w:instrText xml:space="preserve"> PAGEREF _Toc486502925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Obstruction of officers, or premises</w:t>
      </w:r>
      <w:r>
        <w:tab/>
      </w:r>
      <w:r>
        <w:fldChar w:fldCharType="begin"/>
      </w:r>
      <w:r>
        <w:instrText xml:space="preserve"> PAGEREF _Toc486502926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Obstruction of or damage to jetties or premises</w:t>
      </w:r>
      <w:r>
        <w:tab/>
      </w:r>
      <w:r>
        <w:fldChar w:fldCharType="begin"/>
      </w:r>
      <w:r>
        <w:instrText xml:space="preserve"> PAGEREF _Toc486502927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Rubbish etc. not to be thrown</w:t>
      </w:r>
      <w:r>
        <w:tab/>
      </w:r>
      <w:r>
        <w:fldChar w:fldCharType="begin"/>
      </w:r>
      <w:r>
        <w:instrText xml:space="preserve"> PAGEREF _Toc486502928 \h </w:instrText>
      </w:r>
      <w:r>
        <w:fldChar w:fldCharType="separate"/>
      </w:r>
      <w:r>
        <w:t>25</w:t>
      </w:r>
      <w:r>
        <w:fldChar w:fldCharType="end"/>
      </w:r>
    </w:p>
    <w:p>
      <w:pPr>
        <w:pStyle w:val="TOC8"/>
        <w:rPr>
          <w:rFonts w:asciiTheme="minorHAnsi" w:eastAsiaTheme="minorEastAsia" w:hAnsiTheme="minorHAnsi" w:cstheme="minorBidi"/>
          <w:szCs w:val="22"/>
        </w:rPr>
      </w:pPr>
      <w:r>
        <w:t>53A.</w:t>
      </w:r>
      <w:r>
        <w:tab/>
        <w:t>Charges for rubbish removal</w:t>
      </w:r>
      <w:r>
        <w:tab/>
      </w:r>
      <w:r>
        <w:fldChar w:fldCharType="begin"/>
      </w:r>
      <w:r>
        <w:instrText xml:space="preserve"> PAGEREF _Toc486502929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 of articles prohibited</w:t>
      </w:r>
      <w:r>
        <w:tab/>
      </w:r>
      <w:r>
        <w:fldChar w:fldCharType="begin"/>
      </w:r>
      <w:r>
        <w:instrText xml:space="preserve"> PAGEREF _Toc486502930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Smoking and loitering</w:t>
      </w:r>
      <w:r>
        <w:tab/>
      </w:r>
      <w:r>
        <w:fldChar w:fldCharType="begin"/>
      </w:r>
      <w:r>
        <w:instrText xml:space="preserve"> PAGEREF _Toc486502931 \h </w:instrText>
      </w:r>
      <w:r>
        <w:fldChar w:fldCharType="separate"/>
      </w:r>
      <w:r>
        <w:t>26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Trespassing</w:t>
      </w:r>
      <w:r>
        <w:tab/>
      </w:r>
      <w:r>
        <w:fldChar w:fldCharType="begin"/>
      </w:r>
      <w:r>
        <w:instrText xml:space="preserve"> PAGEREF _Toc486502932 \h </w:instrText>
      </w:r>
      <w:r>
        <w:fldChar w:fldCharType="separate"/>
      </w:r>
      <w:r>
        <w:t>26</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Conditions for construction and installation of pipelines</w:t>
      </w:r>
      <w:r>
        <w:tab/>
      </w:r>
      <w:r>
        <w:fldChar w:fldCharType="begin"/>
      </w:r>
      <w:r>
        <w:instrText xml:space="preserve"> PAGEREF _Toc486502933 \h </w:instrText>
      </w:r>
      <w:r>
        <w:fldChar w:fldCharType="separate"/>
      </w:r>
      <w:r>
        <w:t>27</w:t>
      </w:r>
      <w:r>
        <w:fldChar w:fldCharType="end"/>
      </w:r>
    </w:p>
    <w:p>
      <w:pPr>
        <w:pStyle w:val="TOC8"/>
        <w:rPr>
          <w:rFonts w:asciiTheme="minorHAnsi" w:eastAsiaTheme="minorEastAsia" w:hAnsiTheme="minorHAnsi" w:cstheme="minorBidi"/>
          <w:szCs w:val="22"/>
        </w:rPr>
      </w:pPr>
      <w:r>
        <w:t>67B</w:t>
      </w:r>
      <w:r>
        <w:rPr>
          <w:snapToGrid w:val="0"/>
        </w:rPr>
        <w:t>.</w:t>
      </w:r>
      <w:r>
        <w:rPr>
          <w:snapToGrid w:val="0"/>
        </w:rPr>
        <w:tab/>
        <w:t>Maintenance and operation of pipelines</w:t>
      </w:r>
      <w:r>
        <w:tab/>
      </w:r>
      <w:r>
        <w:fldChar w:fldCharType="begin"/>
      </w:r>
      <w:r>
        <w:instrText xml:space="preserve"> PAGEREF _Toc486502934 \h </w:instrText>
      </w:r>
      <w:r>
        <w:fldChar w:fldCharType="separate"/>
      </w:r>
      <w:r>
        <w:t>30</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t>Penalty for failure to remove or amend pipeline</w:t>
      </w:r>
      <w:r>
        <w:tab/>
      </w:r>
      <w:r>
        <w:fldChar w:fldCharType="begin"/>
      </w:r>
      <w:r>
        <w:instrText xml:space="preserve"> PAGEREF _Toc486502935 \h </w:instrText>
      </w:r>
      <w:r>
        <w:fldChar w:fldCharType="separate"/>
      </w:r>
      <w:r>
        <w:t>36</w:t>
      </w:r>
      <w:r>
        <w:fldChar w:fldCharType="end"/>
      </w:r>
    </w:p>
    <w:p>
      <w:pPr>
        <w:pStyle w:val="TOC8"/>
        <w:rPr>
          <w:rFonts w:asciiTheme="minorHAnsi" w:eastAsiaTheme="minorEastAsia" w:hAnsiTheme="minorHAnsi" w:cstheme="minorBidi"/>
          <w:szCs w:val="22"/>
        </w:rPr>
      </w:pPr>
      <w:r>
        <w:t>67DA.</w:t>
      </w:r>
      <w:r>
        <w:tab/>
        <w:t>Fuelling vessels at service jetties limited</w:t>
      </w:r>
      <w:r>
        <w:tab/>
      </w:r>
      <w:r>
        <w:fldChar w:fldCharType="begin"/>
      </w:r>
      <w:r>
        <w:instrText xml:space="preserve"> PAGEREF _Toc486502936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Regulations applying to jetties within the Port of Perth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67E</w:t>
      </w:r>
      <w:r>
        <w:rPr>
          <w:snapToGrid w:val="0"/>
        </w:rPr>
        <w:t>.</w:t>
      </w:r>
      <w:r>
        <w:rPr>
          <w:snapToGrid w:val="0"/>
        </w:rPr>
        <w:tab/>
        <w:t>Application</w:t>
      </w:r>
      <w:r>
        <w:tab/>
      </w:r>
      <w:r>
        <w:fldChar w:fldCharType="begin"/>
      </w:r>
      <w:r>
        <w:instrText xml:space="preserve"> PAGEREF _Toc486502939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and use of jetties</w:t>
      </w:r>
    </w:p>
    <w:p>
      <w:pPr>
        <w:pStyle w:val="TOC8"/>
        <w:rPr>
          <w:rFonts w:asciiTheme="minorHAnsi" w:eastAsiaTheme="minorEastAsia" w:hAnsiTheme="minorHAnsi" w:cstheme="minorBidi"/>
          <w:szCs w:val="22"/>
        </w:rPr>
      </w:pPr>
      <w:r>
        <w:t>68</w:t>
      </w:r>
      <w:r>
        <w:rPr>
          <w:snapToGrid w:val="0"/>
        </w:rPr>
        <w:t>.</w:t>
      </w:r>
      <w:r>
        <w:rPr>
          <w:snapToGrid w:val="0"/>
        </w:rPr>
        <w:tab/>
        <w:t>Control of jetties</w:t>
      </w:r>
      <w:r>
        <w:tab/>
      </w:r>
      <w:r>
        <w:fldChar w:fldCharType="begin"/>
      </w:r>
      <w:r>
        <w:instrText xml:space="preserve"> PAGEREF _Toc486502941 \h </w:instrText>
      </w:r>
      <w:r>
        <w:fldChar w:fldCharType="separate"/>
      </w:r>
      <w:r>
        <w:t>37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jetties</w:t>
      </w:r>
      <w:r>
        <w:tab/>
      </w:r>
      <w:r>
        <w:fldChar w:fldCharType="begin"/>
      </w:r>
      <w:r>
        <w:instrText xml:space="preserve"> PAGEREF _Toc486502942 \h </w:instrText>
      </w:r>
      <w:r>
        <w:fldChar w:fldCharType="separate"/>
      </w:r>
      <w:r>
        <w:t>37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Jetties may be closed</w:t>
      </w:r>
      <w:r>
        <w:tab/>
      </w:r>
      <w:r>
        <w:fldChar w:fldCharType="begin"/>
      </w:r>
      <w:r>
        <w:instrText xml:space="preserve"> PAGEREF _Toc486502943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and berthing of vessels</w:t>
      </w:r>
    </w:p>
    <w:p>
      <w:pPr>
        <w:pStyle w:val="TOC8"/>
        <w:rPr>
          <w:rFonts w:asciiTheme="minorHAnsi" w:eastAsiaTheme="minorEastAsia" w:hAnsiTheme="minorHAnsi" w:cstheme="minorBidi"/>
          <w:szCs w:val="22"/>
        </w:rPr>
      </w:pPr>
      <w:r>
        <w:t>71</w:t>
      </w:r>
      <w:r>
        <w:rPr>
          <w:snapToGrid w:val="0"/>
        </w:rPr>
        <w:t>.</w:t>
      </w:r>
      <w:r>
        <w:rPr>
          <w:snapToGrid w:val="0"/>
        </w:rPr>
        <w:tab/>
        <w:t>Permit required to moor etc. alongside jetty or buoy</w:t>
      </w:r>
      <w:r>
        <w:tab/>
      </w:r>
      <w:r>
        <w:fldChar w:fldCharType="begin"/>
      </w:r>
      <w:r>
        <w:instrText xml:space="preserve"> PAGEREF _Toc486502945 \h </w:instrText>
      </w:r>
      <w:r>
        <w:fldChar w:fldCharType="separate"/>
      </w:r>
      <w:r>
        <w:t>38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Duration of, and charges for, permits</w:t>
      </w:r>
      <w:r>
        <w:tab/>
      </w:r>
      <w:r>
        <w:fldChar w:fldCharType="begin"/>
      </w:r>
      <w:r>
        <w:instrText xml:space="preserve"> PAGEREF _Toc486502946 \h </w:instrText>
      </w:r>
      <w:r>
        <w:fldChar w:fldCharType="separate"/>
      </w:r>
      <w:r>
        <w:t>38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Permit for exclusive use of berth</w:t>
      </w:r>
      <w:r>
        <w:tab/>
      </w:r>
      <w:r>
        <w:fldChar w:fldCharType="begin"/>
      </w:r>
      <w:r>
        <w:instrText xml:space="preserve"> PAGEREF _Toc486502947 \h </w:instrText>
      </w:r>
      <w:r>
        <w:fldChar w:fldCharType="separate"/>
      </w:r>
      <w:r>
        <w:t>39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Manner of mooring vessels</w:t>
      </w:r>
      <w:r>
        <w:tab/>
      </w:r>
      <w:r>
        <w:fldChar w:fldCharType="begin"/>
      </w:r>
      <w:r>
        <w:instrText xml:space="preserve"> PAGEREF _Toc486502948 \h </w:instrText>
      </w:r>
      <w:r>
        <w:fldChar w:fldCharType="separate"/>
      </w:r>
      <w:r>
        <w:t>40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Vessels not to remain at jetties longer than necessary</w:t>
      </w:r>
      <w:r>
        <w:tab/>
      </w:r>
      <w:r>
        <w:fldChar w:fldCharType="begin"/>
      </w:r>
      <w:r>
        <w:instrText xml:space="preserve"> PAGEREF _Toc486502949 \h </w:instrText>
      </w:r>
      <w:r>
        <w:fldChar w:fldCharType="separate"/>
      </w:r>
      <w:r>
        <w:t>41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Mooring of rafts and boathouses</w:t>
      </w:r>
      <w:r>
        <w:tab/>
      </w:r>
      <w:r>
        <w:fldChar w:fldCharType="begin"/>
      </w:r>
      <w:r>
        <w:instrText xml:space="preserve"> PAGEREF _Toc486502950 \h </w:instrText>
      </w:r>
      <w:r>
        <w:fldChar w:fldCharType="separate"/>
      </w:r>
      <w:r>
        <w:t>41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Vessels to be in charge of competent person</w:t>
      </w:r>
      <w:r>
        <w:tab/>
      </w:r>
      <w:r>
        <w:fldChar w:fldCharType="begin"/>
      </w:r>
      <w:r>
        <w:instrText xml:space="preserve"> PAGEREF _Toc486502951 \h </w:instrText>
      </w:r>
      <w:r>
        <w:fldChar w:fldCharType="separate"/>
      </w:r>
      <w:r>
        <w:t>41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Approaching jetties after sunset</w:t>
      </w:r>
      <w:r>
        <w:tab/>
      </w:r>
      <w:r>
        <w:fldChar w:fldCharType="begin"/>
      </w:r>
      <w:r>
        <w:instrText xml:space="preserve"> PAGEREF _Toc486502952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Loading or discharging cargo</w:t>
      </w:r>
    </w:p>
    <w:p>
      <w:pPr>
        <w:pStyle w:val="TOC8"/>
        <w:rPr>
          <w:rFonts w:asciiTheme="minorHAnsi" w:eastAsiaTheme="minorEastAsia" w:hAnsiTheme="minorHAnsi" w:cstheme="minorBidi"/>
          <w:szCs w:val="22"/>
        </w:rPr>
      </w:pPr>
      <w:r>
        <w:t>80</w:t>
      </w:r>
      <w:r>
        <w:rPr>
          <w:snapToGrid w:val="0"/>
        </w:rPr>
        <w:t>.</w:t>
      </w:r>
      <w:r>
        <w:rPr>
          <w:snapToGrid w:val="0"/>
        </w:rPr>
        <w:tab/>
        <w:t>Vessels loading or discharging</w:t>
      </w:r>
      <w:r>
        <w:tab/>
      </w:r>
      <w:r>
        <w:fldChar w:fldCharType="begin"/>
      </w:r>
      <w:r>
        <w:instrText xml:space="preserve"> PAGEREF _Toc486502954 \h </w:instrText>
      </w:r>
      <w:r>
        <w:fldChar w:fldCharType="separate"/>
      </w:r>
      <w:r>
        <w:t>42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Cargo to be removed</w:t>
      </w:r>
      <w:r>
        <w:tab/>
      </w:r>
      <w:r>
        <w:fldChar w:fldCharType="begin"/>
      </w:r>
      <w:r>
        <w:instrText xml:space="preserve"> PAGEREF _Toc486502955 \h </w:instrText>
      </w:r>
      <w:r>
        <w:fldChar w:fldCharType="separate"/>
      </w:r>
      <w:r>
        <w:t>42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Cargo not to remain on jetties overnight</w:t>
      </w:r>
      <w:r>
        <w:tab/>
      </w:r>
      <w:r>
        <w:fldChar w:fldCharType="begin"/>
      </w:r>
      <w:r>
        <w:instrText xml:space="preserve"> PAGEREF _Toc486502956 \h </w:instrText>
      </w:r>
      <w:r>
        <w:fldChar w:fldCharType="separate"/>
      </w:r>
      <w:r>
        <w:t>43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Explosives not to be handled without permission</w:t>
      </w:r>
      <w:r>
        <w:tab/>
      </w:r>
      <w:r>
        <w:fldChar w:fldCharType="begin"/>
      </w:r>
      <w:r>
        <w:instrText xml:space="preserve"> PAGEREF _Toc486502957 \h </w:instrText>
      </w:r>
      <w:r>
        <w:fldChar w:fldCharType="separate"/>
      </w:r>
      <w:r>
        <w:t>43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Manner of handling cargo</w:t>
      </w:r>
      <w:r>
        <w:tab/>
      </w:r>
      <w:r>
        <w:fldChar w:fldCharType="begin"/>
      </w:r>
      <w:r>
        <w:instrText xml:space="preserve"> PAGEREF _Toc486502958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Navigation of vessels</w:t>
      </w:r>
    </w:p>
    <w:p>
      <w:pPr>
        <w:pStyle w:val="TOC8"/>
        <w:rPr>
          <w:rFonts w:asciiTheme="minorHAnsi" w:eastAsiaTheme="minorEastAsia" w:hAnsiTheme="minorHAnsi" w:cstheme="minorBidi"/>
          <w:szCs w:val="22"/>
        </w:rPr>
      </w:pPr>
      <w:r>
        <w:t>85</w:t>
      </w:r>
      <w:r>
        <w:rPr>
          <w:snapToGrid w:val="0"/>
        </w:rPr>
        <w:t>.</w:t>
      </w:r>
      <w:r>
        <w:rPr>
          <w:snapToGrid w:val="0"/>
        </w:rPr>
        <w:tab/>
        <w:t>Power vessels approaching jetties</w:t>
      </w:r>
      <w:r>
        <w:tab/>
      </w:r>
      <w:r>
        <w:fldChar w:fldCharType="begin"/>
      </w:r>
      <w:r>
        <w:instrText xml:space="preserve"> PAGEREF _Toc486502960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86</w:t>
      </w:r>
      <w:r>
        <w:rPr>
          <w:snapToGrid w:val="0"/>
        </w:rPr>
        <w:t>.</w:t>
      </w:r>
      <w:r>
        <w:rPr>
          <w:snapToGrid w:val="0"/>
        </w:rPr>
        <w:tab/>
        <w:t>Bathing from jetties</w:t>
      </w:r>
      <w:r>
        <w:tab/>
      </w:r>
      <w:r>
        <w:fldChar w:fldCharType="begin"/>
      </w:r>
      <w:r>
        <w:instrText xml:space="preserve"> PAGEREF _Toc486502962 \h </w:instrText>
      </w:r>
      <w:r>
        <w:fldChar w:fldCharType="separate"/>
      </w:r>
      <w:r>
        <w:t>44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Damage to jetties</w:t>
      </w:r>
      <w:r>
        <w:tab/>
      </w:r>
      <w:r>
        <w:fldChar w:fldCharType="begin"/>
      </w:r>
      <w:r>
        <w:instrText xml:space="preserve"> PAGEREF _Toc486502963 \h </w:instrText>
      </w:r>
      <w:r>
        <w:fldChar w:fldCharType="separate"/>
      </w:r>
      <w:r>
        <w:t>44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Fishing from certain places prohibited</w:t>
      </w:r>
      <w:r>
        <w:tab/>
      </w:r>
      <w:r>
        <w:fldChar w:fldCharType="begin"/>
      </w:r>
      <w:r>
        <w:instrText xml:space="preserve"> PAGEREF _Toc486502964 \h </w:instrText>
      </w:r>
      <w:r>
        <w:fldChar w:fldCharType="separate"/>
      </w:r>
      <w:r>
        <w:t>44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Fishing nets on jetties</w:t>
      </w:r>
      <w:r>
        <w:tab/>
      </w:r>
      <w:r>
        <w:fldChar w:fldCharType="begin"/>
      </w:r>
      <w:r>
        <w:instrText xml:space="preserve"> PAGEREF _Toc486502965 \h </w:instrText>
      </w:r>
      <w:r>
        <w:fldChar w:fldCharType="separate"/>
      </w:r>
      <w:r>
        <w:t>45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Gangways to be provided</w:t>
      </w:r>
      <w:r>
        <w:tab/>
      </w:r>
      <w:r>
        <w:fldChar w:fldCharType="begin"/>
      </w:r>
      <w:r>
        <w:instrText xml:space="preserve"> PAGEREF _Toc486502966 \h </w:instrText>
      </w:r>
      <w:r>
        <w:fldChar w:fldCharType="separate"/>
      </w:r>
      <w:r>
        <w:t>45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Interference with jetties or approaches</w:t>
      </w:r>
      <w:r>
        <w:tab/>
      </w:r>
      <w:r>
        <w:fldChar w:fldCharType="begin"/>
      </w:r>
      <w:r>
        <w:instrText xml:space="preserve"> PAGEREF _Toc486502967 \h </w:instrText>
      </w:r>
      <w:r>
        <w:fldChar w:fldCharType="separate"/>
      </w:r>
      <w:r>
        <w:t>45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Lifebuoys on jetties</w:t>
      </w:r>
      <w:r>
        <w:tab/>
      </w:r>
      <w:r>
        <w:fldChar w:fldCharType="begin"/>
      </w:r>
      <w:r>
        <w:instrText xml:space="preserve"> PAGEREF _Toc486502968 \h </w:instrText>
      </w:r>
      <w:r>
        <w:fldChar w:fldCharType="separate"/>
      </w:r>
      <w:r>
        <w:t>45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Obstruction of jetties or officers</w:t>
      </w:r>
      <w:r>
        <w:tab/>
      </w:r>
      <w:r>
        <w:fldChar w:fldCharType="begin"/>
      </w:r>
      <w:r>
        <w:instrText xml:space="preserve"> PAGEREF _Toc486502969 \h </w:instrText>
      </w:r>
      <w:r>
        <w:fldChar w:fldCharType="separate"/>
      </w:r>
      <w:r>
        <w:t>45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Rubbish not to be thrown in river etc.</w:t>
      </w:r>
      <w:r>
        <w:tab/>
      </w:r>
      <w:r>
        <w:fldChar w:fldCharType="begin"/>
      </w:r>
      <w:r>
        <w:instrText xml:space="preserve"> PAGEREF _Toc486502970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2A — Mooring and berthing other than in the Port of Perth</w:t>
      </w:r>
    </w:p>
    <w:p>
      <w:pPr>
        <w:pStyle w:val="TOC8"/>
        <w:rPr>
          <w:rFonts w:asciiTheme="minorHAnsi" w:eastAsiaTheme="minorEastAsia" w:hAnsiTheme="minorHAnsi" w:cstheme="minorBidi"/>
          <w:szCs w:val="22"/>
        </w:rPr>
      </w:pPr>
      <w:r>
        <w:t>94A.</w:t>
      </w:r>
      <w:r>
        <w:tab/>
        <w:t>Charges for pen rentals and services</w:t>
      </w:r>
      <w:r>
        <w:tab/>
      </w:r>
      <w:r>
        <w:fldChar w:fldCharType="begin"/>
      </w:r>
      <w:r>
        <w:instrText xml:space="preserve"> PAGEREF _Toc486502972 \h </w:instrText>
      </w:r>
      <w:r>
        <w:fldChar w:fldCharType="separate"/>
      </w:r>
      <w:r>
        <w:t>47</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Charges for pile mooring</w:t>
      </w:r>
      <w:r>
        <w:tab/>
      </w:r>
      <w:r>
        <w:fldChar w:fldCharType="begin"/>
      </w:r>
      <w:r>
        <w:instrText xml:space="preserve"> PAGEREF _Toc486502973 \h </w:instrText>
      </w:r>
      <w:r>
        <w:fldChar w:fldCharType="separate"/>
      </w:r>
      <w:r>
        <w:t>47</w:t>
      </w:r>
      <w:r>
        <w:fldChar w:fldCharType="end"/>
      </w:r>
    </w:p>
    <w:p>
      <w:pPr>
        <w:pStyle w:val="TOC8"/>
        <w:rPr>
          <w:rFonts w:asciiTheme="minorHAnsi" w:eastAsiaTheme="minorEastAsia" w:hAnsiTheme="minorHAnsi" w:cstheme="minorBidi"/>
          <w:szCs w:val="22"/>
        </w:rPr>
      </w:pPr>
      <w:r>
        <w:t>94C</w:t>
      </w:r>
      <w:r>
        <w:rPr>
          <w:snapToGrid w:val="0"/>
        </w:rPr>
        <w:t>.</w:t>
      </w:r>
      <w:r>
        <w:rPr>
          <w:snapToGrid w:val="0"/>
        </w:rPr>
        <w:tab/>
        <w:t>Dues or charges for berthing or mooring on casual basis</w:t>
      </w:r>
      <w:r>
        <w:tab/>
      </w:r>
      <w:r>
        <w:fldChar w:fldCharType="begin"/>
      </w:r>
      <w:r>
        <w:instrText xml:space="preserve"> PAGEREF _Toc486502974 \h </w:instrText>
      </w:r>
      <w:r>
        <w:fldChar w:fldCharType="separate"/>
      </w:r>
      <w:r>
        <w:t>47</w:t>
      </w:r>
      <w:r>
        <w:fldChar w:fldCharType="end"/>
      </w:r>
    </w:p>
    <w:p>
      <w:pPr>
        <w:pStyle w:val="TOC8"/>
        <w:rPr>
          <w:rFonts w:asciiTheme="minorHAnsi" w:eastAsiaTheme="minorEastAsia" w:hAnsiTheme="minorHAnsi" w:cstheme="minorBidi"/>
          <w:szCs w:val="22"/>
        </w:rPr>
      </w:pPr>
      <w:r>
        <w:t>94D.</w:t>
      </w:r>
      <w:r>
        <w:tab/>
        <w:t>Waiving charges in emergencies</w:t>
      </w:r>
      <w:r>
        <w:tab/>
      </w:r>
      <w:r>
        <w:fldChar w:fldCharType="begin"/>
      </w:r>
      <w:r>
        <w:instrText xml:space="preserve"> PAGEREF _Toc486502975 \h </w:instrText>
      </w:r>
      <w:r>
        <w:fldChar w:fldCharType="separate"/>
      </w:r>
      <w:r>
        <w:t>48</w:t>
      </w:r>
      <w:r>
        <w:fldChar w:fldCharType="end"/>
      </w:r>
    </w:p>
    <w:p>
      <w:pPr>
        <w:pStyle w:val="TOC8"/>
        <w:rPr>
          <w:rFonts w:asciiTheme="minorHAnsi" w:eastAsiaTheme="minorEastAsia" w:hAnsiTheme="minorHAnsi" w:cstheme="minorBidi"/>
          <w:szCs w:val="22"/>
        </w:rPr>
      </w:pPr>
      <w:r>
        <w:t>94E.</w:t>
      </w:r>
      <w:r>
        <w:tab/>
        <w:t>Controlling short term use</w:t>
      </w:r>
      <w:r>
        <w:tab/>
      </w:r>
      <w:r>
        <w:fldChar w:fldCharType="begin"/>
      </w:r>
      <w:r>
        <w:instrText xml:space="preserve"> PAGEREF _Toc486502976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3 — Special provisions applying at particular ports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Use of slipways</w:t>
      </w:r>
    </w:p>
    <w:p>
      <w:pPr>
        <w:pStyle w:val="TOC8"/>
        <w:rPr>
          <w:rFonts w:asciiTheme="minorHAnsi" w:eastAsiaTheme="minorEastAsia" w:hAnsiTheme="minorHAnsi" w:cstheme="minorBidi"/>
          <w:szCs w:val="22"/>
        </w:rPr>
      </w:pPr>
      <w:r>
        <w:t>95.</w:t>
      </w:r>
      <w:r>
        <w:tab/>
        <w:t>Management and control of departmental slipways</w:t>
      </w:r>
      <w:r>
        <w:tab/>
      </w:r>
      <w:r>
        <w:fldChar w:fldCharType="begin"/>
      </w:r>
      <w:r>
        <w:instrText xml:space="preserve"> PAGEREF _Toc486502979 \h </w:instrText>
      </w:r>
      <w:r>
        <w:fldChar w:fldCharType="separate"/>
      </w:r>
      <w:r>
        <w:t>49</w:t>
      </w:r>
      <w:r>
        <w:fldChar w:fldCharType="end"/>
      </w:r>
    </w:p>
    <w:p>
      <w:pPr>
        <w:pStyle w:val="TOC8"/>
        <w:rPr>
          <w:rFonts w:asciiTheme="minorHAnsi" w:eastAsiaTheme="minorEastAsia" w:hAnsiTheme="minorHAnsi" w:cstheme="minorBidi"/>
          <w:szCs w:val="22"/>
        </w:rPr>
      </w:pPr>
      <w:r>
        <w:t>95A.</w:t>
      </w:r>
      <w:r>
        <w:tab/>
        <w:t>Use of slipway</w:t>
      </w:r>
      <w:r>
        <w:tab/>
      </w:r>
      <w:r>
        <w:fldChar w:fldCharType="begin"/>
      </w:r>
      <w:r>
        <w:instrText xml:space="preserve"> PAGEREF _Toc486502980 \h </w:instrText>
      </w:r>
      <w:r>
        <w:fldChar w:fldCharType="separate"/>
      </w:r>
      <w:r>
        <w:t>49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Charges for use of slipway</w:t>
      </w:r>
      <w:r>
        <w:tab/>
      </w:r>
      <w:r>
        <w:fldChar w:fldCharType="begin"/>
      </w:r>
      <w:r>
        <w:instrText xml:space="preserve"> PAGEREF _Toc486502981 \h </w:instrText>
      </w:r>
      <w:r>
        <w:fldChar w:fldCharType="separate"/>
      </w:r>
      <w:r>
        <w:t>49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Government vessels may take precedence</w:t>
      </w:r>
      <w:r>
        <w:tab/>
      </w:r>
      <w:r>
        <w:fldChar w:fldCharType="begin"/>
      </w:r>
      <w:r>
        <w:instrText xml:space="preserve"> PAGEREF _Toc486502982 \h </w:instrText>
      </w:r>
      <w:r>
        <w:fldChar w:fldCharType="separate"/>
      </w:r>
      <w:r>
        <w:t>50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Vessels may forfeit their turn</w:t>
      </w:r>
      <w:r>
        <w:tab/>
      </w:r>
      <w:r>
        <w:fldChar w:fldCharType="begin"/>
      </w:r>
      <w:r>
        <w:instrText xml:space="preserve"> PAGEREF _Toc486502983 \h </w:instrText>
      </w:r>
      <w:r>
        <w:fldChar w:fldCharType="separate"/>
      </w:r>
      <w:r>
        <w:t>50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Department will not undertake repairs etc.</w:t>
      </w:r>
      <w:r>
        <w:tab/>
      </w:r>
      <w:r>
        <w:fldChar w:fldCharType="begin"/>
      </w:r>
      <w:r>
        <w:instrText xml:space="preserve"> PAGEREF _Toc486502984 \h </w:instrText>
      </w:r>
      <w:r>
        <w:fldChar w:fldCharType="separate"/>
      </w:r>
      <w:r>
        <w:t>50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Department not responsible for damage to vessel when in use of slip</w:t>
      </w:r>
      <w:r>
        <w:tab/>
      </w:r>
      <w:r>
        <w:fldChar w:fldCharType="begin"/>
      </w:r>
      <w:r>
        <w:instrText xml:space="preserve"> PAGEREF _Toc486502985 \h </w:instrText>
      </w:r>
      <w:r>
        <w:fldChar w:fldCharType="separate"/>
      </w:r>
      <w:r>
        <w:t>51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Duties of owner or master using slipway</w:t>
      </w:r>
      <w:r>
        <w:tab/>
      </w:r>
      <w:r>
        <w:fldChar w:fldCharType="begin"/>
      </w:r>
      <w:r>
        <w:instrText xml:space="preserve"> PAGEREF _Toc486502986 \h </w:instrText>
      </w:r>
      <w:r>
        <w:fldChar w:fldCharType="separate"/>
      </w:r>
      <w:r>
        <w:t>51</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Slipping of more than one vessel at a time</w:t>
      </w:r>
      <w:r>
        <w:tab/>
      </w:r>
      <w:r>
        <w:fldChar w:fldCharType="begin"/>
      </w:r>
      <w:r>
        <w:instrText xml:space="preserve"> PAGEREF _Toc486502987 \h </w:instrText>
      </w:r>
      <w:r>
        <w:fldChar w:fldCharType="separate"/>
      </w:r>
      <w:r>
        <w:t>51</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Dispute procedure</w:t>
      </w:r>
      <w:r>
        <w:tab/>
      </w:r>
      <w:r>
        <w:fldChar w:fldCharType="begin"/>
      </w:r>
      <w:r>
        <w:instrText xml:space="preserve"> PAGEREF _Toc486502988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Use of mooring springs</w:t>
      </w:r>
    </w:p>
    <w:p>
      <w:pPr>
        <w:pStyle w:val="TOC8"/>
        <w:rPr>
          <w:rFonts w:asciiTheme="minorHAnsi" w:eastAsiaTheme="minorEastAsia" w:hAnsiTheme="minorHAnsi" w:cstheme="minorBidi"/>
          <w:szCs w:val="22"/>
        </w:rPr>
      </w:pPr>
      <w:r>
        <w:t>105F</w:t>
      </w:r>
      <w:r>
        <w:rPr>
          <w:snapToGrid w:val="0"/>
        </w:rPr>
        <w:t>.</w:t>
      </w:r>
      <w:r>
        <w:rPr>
          <w:snapToGrid w:val="0"/>
        </w:rPr>
        <w:tab/>
        <w:t>Approaching bollard or jetty to which mooring spring or rope fastened</w:t>
      </w:r>
      <w:r>
        <w:tab/>
      </w:r>
      <w:r>
        <w:fldChar w:fldCharType="begin"/>
      </w:r>
      <w:r>
        <w:instrText xml:space="preserve"> PAGEREF _Toc486502990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Use of weighbridges at Wyndham</w:t>
      </w:r>
    </w:p>
    <w:p>
      <w:pPr>
        <w:pStyle w:val="TOC8"/>
        <w:rPr>
          <w:rFonts w:asciiTheme="minorHAnsi" w:eastAsiaTheme="minorEastAsia" w:hAnsiTheme="minorHAnsi" w:cstheme="minorBidi"/>
          <w:szCs w:val="22"/>
        </w:rPr>
      </w:pPr>
      <w:r>
        <w:t>105I</w:t>
      </w:r>
      <w:r>
        <w:rPr>
          <w:snapToGrid w:val="0"/>
        </w:rPr>
        <w:t>.</w:t>
      </w:r>
      <w:r>
        <w:rPr>
          <w:snapToGrid w:val="0"/>
        </w:rPr>
        <w:tab/>
        <w:t>Weighbridge charges</w:t>
      </w:r>
      <w:r>
        <w:tab/>
      </w:r>
      <w:r>
        <w:fldChar w:fldCharType="begin"/>
      </w:r>
      <w:r>
        <w:instrText xml:space="preserve"> PAGEREF _Toc486502992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4 — Breach of regulations and penalties</w:t>
      </w:r>
    </w:p>
    <w:p>
      <w:pPr>
        <w:pStyle w:val="TOC8"/>
        <w:rPr>
          <w:rFonts w:asciiTheme="minorHAnsi" w:eastAsiaTheme="minorEastAsia" w:hAnsiTheme="minorHAnsi" w:cstheme="minorBidi"/>
          <w:szCs w:val="22"/>
        </w:rPr>
      </w:pPr>
      <w:r>
        <w:t>106</w:t>
      </w:r>
      <w:r>
        <w:rPr>
          <w:snapToGrid w:val="0"/>
        </w:rPr>
        <w:t>.</w:t>
      </w:r>
      <w:r>
        <w:rPr>
          <w:snapToGrid w:val="0"/>
        </w:rPr>
        <w:tab/>
        <w:t>Powers of officer of Department</w:t>
      </w:r>
      <w:r>
        <w:tab/>
      </w:r>
      <w:r>
        <w:fldChar w:fldCharType="begin"/>
      </w:r>
      <w:r>
        <w:instrText xml:space="preserve"> PAGEREF _Toc486502994 \h </w:instrText>
      </w:r>
      <w:r>
        <w:fldChar w:fldCharType="separate"/>
      </w:r>
      <w:r>
        <w:t>54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Recovery of expenses incurred by breaches of regulations</w:t>
      </w:r>
      <w:r>
        <w:tab/>
      </w:r>
      <w:r>
        <w:fldChar w:fldCharType="begin"/>
      </w:r>
      <w:r>
        <w:instrText xml:space="preserve"> PAGEREF _Toc486502995 \h </w:instrText>
      </w:r>
      <w:r>
        <w:fldChar w:fldCharType="separate"/>
      </w:r>
      <w:r>
        <w:t>54</w:t>
      </w:r>
      <w:r>
        <w:fldChar w:fldCharType="end"/>
      </w:r>
    </w:p>
    <w:p>
      <w:pPr>
        <w:pStyle w:val="TOC8"/>
        <w:rPr>
          <w:rFonts w:asciiTheme="minorHAnsi" w:eastAsiaTheme="minorEastAsia" w:hAnsiTheme="minorHAnsi" w:cstheme="minorBidi"/>
          <w:szCs w:val="22"/>
        </w:rPr>
      </w:pPr>
      <w:r>
        <w:t>107A</w:t>
      </w:r>
      <w:r>
        <w:rPr>
          <w:snapToGrid w:val="0"/>
        </w:rPr>
        <w:t>.</w:t>
      </w:r>
      <w:r>
        <w:rPr>
          <w:snapToGrid w:val="0"/>
        </w:rPr>
        <w:tab/>
        <w:t>Police have authority to enforce regulations</w:t>
      </w:r>
      <w:r>
        <w:tab/>
      </w:r>
      <w:r>
        <w:fldChar w:fldCharType="begin"/>
      </w:r>
      <w:r>
        <w:instrText xml:space="preserve"> PAGEREF _Toc486502996 \h </w:instrText>
      </w:r>
      <w:r>
        <w:fldChar w:fldCharType="separate"/>
      </w:r>
      <w:r>
        <w:t>54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Penalty for offences</w:t>
      </w:r>
      <w:r>
        <w:tab/>
      </w:r>
      <w:r>
        <w:fldChar w:fldCharType="begin"/>
      </w:r>
      <w:r>
        <w:instrText xml:space="preserve"> PAGEREF _Toc486502997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1 — Dues and charges generally</w:t>
      </w:r>
    </w:p>
    <w:p>
      <w:pPr>
        <w:pStyle w:val="TOC4"/>
        <w:tabs>
          <w:tab w:val="right" w:leader="dot" w:pos="7077"/>
        </w:tabs>
        <w:rPr>
          <w:rFonts w:asciiTheme="minorHAnsi" w:eastAsiaTheme="minorEastAsia" w:hAnsiTheme="minorHAnsi" w:cstheme="minorBidi"/>
          <w:b w:val="0"/>
          <w:szCs w:val="22"/>
        </w:rPr>
      </w:pPr>
      <w:r>
        <w:t>Division 1A</w:t>
      </w:r>
      <w:r>
        <w:rPr>
          <w:b w:val="0"/>
        </w:rPr>
        <w:t> — </w:t>
      </w:r>
      <w:r>
        <w:t>Standard rates</w:t>
      </w:r>
    </w:p>
    <w:p>
      <w:pPr>
        <w:pStyle w:val="TOC8"/>
        <w:rPr>
          <w:rFonts w:asciiTheme="minorHAnsi" w:eastAsiaTheme="minorEastAsia" w:hAnsiTheme="minorHAnsi" w:cstheme="minorBidi"/>
          <w:szCs w:val="22"/>
        </w:rPr>
      </w:pPr>
      <w:r>
        <w:t>1A.</w:t>
      </w:r>
      <w:r>
        <w:tab/>
        <w:t>Standard rates for this Schedule</w:t>
      </w:r>
      <w:r>
        <w:tab/>
      </w:r>
      <w:r>
        <w:fldChar w:fldCharType="begin"/>
      </w:r>
      <w:r>
        <w:instrText xml:space="preserve"> PAGEREF _Toc486503000 \h </w:instrText>
      </w:r>
      <w:r>
        <w:fldChar w:fldCharType="separate"/>
      </w:r>
      <w:r>
        <w:t>56</w:t>
      </w:r>
      <w:r>
        <w:fldChar w:fldCharType="end"/>
      </w:r>
    </w:p>
    <w:p>
      <w:pPr>
        <w:pStyle w:val="TOC8"/>
        <w:rPr>
          <w:rFonts w:asciiTheme="minorHAnsi" w:eastAsiaTheme="minorEastAsia" w:hAnsiTheme="minorHAnsi" w:cstheme="minorBidi"/>
          <w:szCs w:val="22"/>
        </w:rPr>
      </w:pPr>
      <w:r>
        <w:t>1B.</w:t>
      </w:r>
      <w:r>
        <w:tab/>
        <w:t>Transferability of annual payments</w:t>
      </w:r>
      <w:r>
        <w:tab/>
      </w:r>
      <w:r>
        <w:fldChar w:fldCharType="begin"/>
      </w:r>
      <w:r>
        <w:instrText xml:space="preserve"> PAGEREF _Toc486503001 \h </w:instrText>
      </w:r>
      <w:r>
        <w:fldChar w:fldCharType="separate"/>
      </w:r>
      <w:r>
        <w:t>56</w:t>
      </w:r>
      <w:r>
        <w:fldChar w:fldCharType="end"/>
      </w:r>
    </w:p>
    <w:p>
      <w:pPr>
        <w:pStyle w:val="TOC8"/>
        <w:rPr>
          <w:rFonts w:asciiTheme="minorHAnsi" w:eastAsiaTheme="minorEastAsia" w:hAnsiTheme="minorHAnsi" w:cstheme="minorBidi"/>
          <w:szCs w:val="22"/>
        </w:rPr>
      </w:pPr>
      <w:r>
        <w:t>1C.</w:t>
      </w:r>
      <w:r>
        <w:tab/>
        <w:t>Service wharf or jetty entitlements</w:t>
      </w:r>
      <w:r>
        <w:tab/>
      </w:r>
      <w:r>
        <w:fldChar w:fldCharType="begin"/>
      </w:r>
      <w:r>
        <w:instrText xml:space="preserve"> PAGEREF _Toc486503002 \h </w:instrText>
      </w:r>
      <w:r>
        <w:fldChar w:fldCharType="separate"/>
      </w:r>
      <w:r>
        <w:t>57</w:t>
      </w:r>
      <w:r>
        <w:fldChar w:fldCharType="end"/>
      </w:r>
    </w:p>
    <w:p>
      <w:pPr>
        <w:pStyle w:val="TOC8"/>
        <w:rPr>
          <w:rFonts w:asciiTheme="minorHAnsi" w:eastAsiaTheme="minorEastAsia" w:hAnsiTheme="minorHAnsi" w:cstheme="minorBidi"/>
          <w:szCs w:val="22"/>
        </w:rPr>
      </w:pPr>
      <w:r>
        <w:t>1D.</w:t>
      </w:r>
      <w:r>
        <w:tab/>
        <w:t>Active loading and unloading</w:t>
      </w:r>
      <w:r>
        <w:tab/>
      </w:r>
      <w:r>
        <w:fldChar w:fldCharType="begin"/>
      </w:r>
      <w:r>
        <w:instrText xml:space="preserve"> PAGEREF _Toc486503003 \h </w:instrText>
      </w:r>
      <w:r>
        <w:fldChar w:fldCharType="separate"/>
      </w:r>
      <w:r>
        <w:t>57</w:t>
      </w:r>
      <w:r>
        <w:fldChar w:fldCharType="end"/>
      </w:r>
    </w:p>
    <w:p>
      <w:pPr>
        <w:pStyle w:val="TOC8"/>
        <w:rPr>
          <w:rFonts w:asciiTheme="minorHAnsi" w:eastAsiaTheme="minorEastAsia" w:hAnsiTheme="minorHAnsi" w:cstheme="minorBidi"/>
          <w:szCs w:val="22"/>
        </w:rPr>
      </w:pPr>
      <w:r>
        <w:t>1E.</w:t>
      </w:r>
      <w:r>
        <w:tab/>
        <w:t>Wyndham excluded</w:t>
      </w:r>
      <w:r>
        <w:tab/>
      </w:r>
      <w:r>
        <w:fldChar w:fldCharType="begin"/>
      </w:r>
      <w:r>
        <w:instrText xml:space="preserve"> PAGEREF _Toc486503004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1</w:t>
      </w:r>
      <w:r>
        <w:rPr>
          <w:b w:val="0"/>
        </w:rPr>
        <w:t> — </w:t>
      </w:r>
      <w:r>
        <w:t>Specified places</w:t>
      </w:r>
    </w:p>
    <w:p>
      <w:pPr>
        <w:pStyle w:val="TOC8"/>
        <w:rPr>
          <w:rFonts w:asciiTheme="minorHAnsi" w:eastAsiaTheme="minorEastAsia" w:hAnsiTheme="minorHAnsi" w:cstheme="minorBidi"/>
          <w:szCs w:val="22"/>
        </w:rPr>
      </w:pPr>
      <w:r>
        <w:t>1.</w:t>
      </w:r>
      <w:r>
        <w:tab/>
        <w:t>Albany, Albany Waterfront Marina</w:t>
      </w:r>
      <w:r>
        <w:tab/>
      </w:r>
      <w:r>
        <w:fldChar w:fldCharType="begin"/>
      </w:r>
      <w:r>
        <w:instrText xml:space="preserve"> PAGEREF _Toc486503006 \h </w:instrText>
      </w:r>
      <w:r>
        <w:fldChar w:fldCharType="separate"/>
      </w:r>
      <w:r>
        <w:t>57</w:t>
      </w:r>
      <w:r>
        <w:fldChar w:fldCharType="end"/>
      </w:r>
    </w:p>
    <w:p>
      <w:pPr>
        <w:pStyle w:val="TOC8"/>
        <w:rPr>
          <w:rFonts w:asciiTheme="minorHAnsi" w:eastAsiaTheme="minorEastAsia" w:hAnsiTheme="minorHAnsi" w:cstheme="minorBidi"/>
          <w:szCs w:val="22"/>
        </w:rPr>
      </w:pPr>
      <w:r>
        <w:t>2.</w:t>
      </w:r>
      <w:r>
        <w:tab/>
        <w:t>Albany, Emu Point Boat Harbour</w:t>
      </w:r>
      <w:r>
        <w:tab/>
      </w:r>
      <w:r>
        <w:fldChar w:fldCharType="begin"/>
      </w:r>
      <w:r>
        <w:instrText xml:space="preserve"> PAGEREF _Toc486503007 \h </w:instrText>
      </w:r>
      <w:r>
        <w:fldChar w:fldCharType="separate"/>
      </w:r>
      <w:r>
        <w:t>58</w:t>
      </w:r>
      <w:r>
        <w:fldChar w:fldCharType="end"/>
      </w:r>
    </w:p>
    <w:p>
      <w:pPr>
        <w:pStyle w:val="TOC8"/>
        <w:rPr>
          <w:rFonts w:asciiTheme="minorHAnsi" w:eastAsiaTheme="minorEastAsia" w:hAnsiTheme="minorHAnsi" w:cstheme="minorBidi"/>
          <w:szCs w:val="22"/>
        </w:rPr>
      </w:pPr>
      <w:r>
        <w:t>3.</w:t>
      </w:r>
      <w:r>
        <w:tab/>
        <w:t>Augusta Boat Harbour</w:t>
      </w:r>
      <w:r>
        <w:tab/>
      </w:r>
      <w:r>
        <w:fldChar w:fldCharType="begin"/>
      </w:r>
      <w:r>
        <w:instrText xml:space="preserve"> PAGEREF _Toc486503008 \h </w:instrText>
      </w:r>
      <w:r>
        <w:fldChar w:fldCharType="separate"/>
      </w:r>
      <w:r>
        <w:t>59</w:t>
      </w:r>
      <w:r>
        <w:fldChar w:fldCharType="end"/>
      </w:r>
    </w:p>
    <w:p>
      <w:pPr>
        <w:pStyle w:val="TOC8"/>
        <w:rPr>
          <w:rFonts w:asciiTheme="minorHAnsi" w:eastAsiaTheme="minorEastAsia" w:hAnsiTheme="minorHAnsi" w:cstheme="minorBidi"/>
          <w:szCs w:val="22"/>
        </w:rPr>
      </w:pPr>
      <w:r>
        <w:t>4.</w:t>
      </w:r>
      <w:r>
        <w:tab/>
        <w:t>Augusta (Ellis Street) Maritime Facility</w:t>
      </w:r>
      <w:r>
        <w:tab/>
      </w:r>
      <w:r>
        <w:fldChar w:fldCharType="begin"/>
      </w:r>
      <w:r>
        <w:instrText xml:space="preserve"> PAGEREF _Toc486503009 \h </w:instrText>
      </w:r>
      <w:r>
        <w:fldChar w:fldCharType="separate"/>
      </w:r>
      <w:r>
        <w:t>60</w:t>
      </w:r>
      <w:r>
        <w:fldChar w:fldCharType="end"/>
      </w:r>
    </w:p>
    <w:p>
      <w:pPr>
        <w:pStyle w:val="TOC8"/>
        <w:rPr>
          <w:rFonts w:asciiTheme="minorHAnsi" w:eastAsiaTheme="minorEastAsia" w:hAnsiTheme="minorHAnsi" w:cstheme="minorBidi"/>
          <w:szCs w:val="22"/>
        </w:rPr>
      </w:pPr>
      <w:r>
        <w:t>5.</w:t>
      </w:r>
      <w:r>
        <w:tab/>
        <w:t>Bremer Bay</w:t>
      </w:r>
      <w:r>
        <w:tab/>
      </w:r>
      <w:r>
        <w:fldChar w:fldCharType="begin"/>
      </w:r>
      <w:r>
        <w:instrText xml:space="preserve"> PAGEREF _Toc486503010 \h </w:instrText>
      </w:r>
      <w:r>
        <w:fldChar w:fldCharType="separate"/>
      </w:r>
      <w:r>
        <w:t>61</w:t>
      </w:r>
      <w:r>
        <w:fldChar w:fldCharType="end"/>
      </w:r>
    </w:p>
    <w:p>
      <w:pPr>
        <w:pStyle w:val="TOC8"/>
        <w:rPr>
          <w:rFonts w:asciiTheme="minorHAnsi" w:eastAsiaTheme="minorEastAsia" w:hAnsiTheme="minorHAnsi" w:cstheme="minorBidi"/>
          <w:szCs w:val="22"/>
        </w:rPr>
      </w:pPr>
      <w:r>
        <w:t>6.</w:t>
      </w:r>
      <w:r>
        <w:tab/>
        <w:t>Bunbury, Casuarina Boat Harbour</w:t>
      </w:r>
      <w:r>
        <w:tab/>
      </w:r>
      <w:r>
        <w:fldChar w:fldCharType="begin"/>
      </w:r>
      <w:r>
        <w:instrText xml:space="preserve"> PAGEREF _Toc486503011 \h </w:instrText>
      </w:r>
      <w:r>
        <w:fldChar w:fldCharType="separate"/>
      </w:r>
      <w:r>
        <w:t>61</w:t>
      </w:r>
      <w:r>
        <w:fldChar w:fldCharType="end"/>
      </w:r>
    </w:p>
    <w:p>
      <w:pPr>
        <w:pStyle w:val="TOC8"/>
        <w:rPr>
          <w:rFonts w:asciiTheme="minorHAnsi" w:eastAsiaTheme="minorEastAsia" w:hAnsiTheme="minorHAnsi" w:cstheme="minorBidi"/>
          <w:szCs w:val="22"/>
        </w:rPr>
      </w:pPr>
      <w:r>
        <w:t>7.</w:t>
      </w:r>
      <w:r>
        <w:tab/>
        <w:t>Carnarvon Boat Harbour</w:t>
      </w:r>
      <w:r>
        <w:tab/>
      </w:r>
      <w:r>
        <w:fldChar w:fldCharType="begin"/>
      </w:r>
      <w:r>
        <w:instrText xml:space="preserve"> PAGEREF _Toc486503012 \h </w:instrText>
      </w:r>
      <w:r>
        <w:fldChar w:fldCharType="separate"/>
      </w:r>
      <w:r>
        <w:t>62</w:t>
      </w:r>
      <w:r>
        <w:fldChar w:fldCharType="end"/>
      </w:r>
    </w:p>
    <w:p>
      <w:pPr>
        <w:pStyle w:val="TOC8"/>
        <w:rPr>
          <w:rFonts w:asciiTheme="minorHAnsi" w:eastAsiaTheme="minorEastAsia" w:hAnsiTheme="minorHAnsi" w:cstheme="minorBidi"/>
          <w:szCs w:val="22"/>
        </w:rPr>
      </w:pPr>
      <w:r>
        <w:t>8.</w:t>
      </w:r>
      <w:r>
        <w:tab/>
        <w:t>Cervantes</w:t>
      </w:r>
      <w:r>
        <w:tab/>
      </w:r>
      <w:r>
        <w:fldChar w:fldCharType="begin"/>
      </w:r>
      <w:r>
        <w:instrText xml:space="preserve"> PAGEREF _Toc486503013 \h </w:instrText>
      </w:r>
      <w:r>
        <w:fldChar w:fldCharType="separate"/>
      </w:r>
      <w:r>
        <w:t>64</w:t>
      </w:r>
      <w:r>
        <w:fldChar w:fldCharType="end"/>
      </w:r>
    </w:p>
    <w:p>
      <w:pPr>
        <w:pStyle w:val="TOC8"/>
        <w:rPr>
          <w:rFonts w:asciiTheme="minorHAnsi" w:eastAsiaTheme="minorEastAsia" w:hAnsiTheme="minorHAnsi" w:cstheme="minorBidi"/>
          <w:szCs w:val="22"/>
        </w:rPr>
      </w:pPr>
      <w:r>
        <w:t>9.</w:t>
      </w:r>
      <w:r>
        <w:tab/>
        <w:t>Coral Bay Maritime Facility</w:t>
      </w:r>
      <w:r>
        <w:tab/>
      </w:r>
      <w:r>
        <w:fldChar w:fldCharType="begin"/>
      </w:r>
      <w:r>
        <w:instrText xml:space="preserve"> PAGEREF _Toc486503014 \h </w:instrText>
      </w:r>
      <w:r>
        <w:fldChar w:fldCharType="separate"/>
      </w:r>
      <w:r>
        <w:t>65</w:t>
      </w:r>
      <w:r>
        <w:fldChar w:fldCharType="end"/>
      </w:r>
    </w:p>
    <w:p>
      <w:pPr>
        <w:pStyle w:val="TOC8"/>
        <w:rPr>
          <w:rFonts w:asciiTheme="minorHAnsi" w:eastAsiaTheme="minorEastAsia" w:hAnsiTheme="minorHAnsi" w:cstheme="minorBidi"/>
          <w:szCs w:val="22"/>
        </w:rPr>
      </w:pPr>
      <w:r>
        <w:t>10.</w:t>
      </w:r>
      <w:r>
        <w:tab/>
        <w:t>Denham Maritime Facility</w:t>
      </w:r>
      <w:r>
        <w:tab/>
      </w:r>
      <w:r>
        <w:fldChar w:fldCharType="begin"/>
      </w:r>
      <w:r>
        <w:instrText xml:space="preserve"> PAGEREF _Toc486503015 \h </w:instrText>
      </w:r>
      <w:r>
        <w:fldChar w:fldCharType="separate"/>
      </w:r>
      <w:r>
        <w:t>65</w:t>
      </w:r>
      <w:r>
        <w:fldChar w:fldCharType="end"/>
      </w:r>
    </w:p>
    <w:p>
      <w:pPr>
        <w:pStyle w:val="TOC8"/>
        <w:rPr>
          <w:rFonts w:asciiTheme="minorHAnsi" w:eastAsiaTheme="minorEastAsia" w:hAnsiTheme="minorHAnsi" w:cstheme="minorBidi"/>
          <w:szCs w:val="22"/>
        </w:rPr>
      </w:pPr>
      <w:r>
        <w:t>11.</w:t>
      </w:r>
      <w:r>
        <w:tab/>
        <w:t>Esperance, Bandy Creek Boat Harbour</w:t>
      </w:r>
      <w:r>
        <w:tab/>
      </w:r>
      <w:r>
        <w:fldChar w:fldCharType="begin"/>
      </w:r>
      <w:r>
        <w:instrText xml:space="preserve"> PAGEREF _Toc486503016 \h </w:instrText>
      </w:r>
      <w:r>
        <w:fldChar w:fldCharType="separate"/>
      </w:r>
      <w:r>
        <w:t>66</w:t>
      </w:r>
      <w:r>
        <w:fldChar w:fldCharType="end"/>
      </w:r>
    </w:p>
    <w:p>
      <w:pPr>
        <w:pStyle w:val="TOC8"/>
        <w:rPr>
          <w:rFonts w:asciiTheme="minorHAnsi" w:eastAsiaTheme="minorEastAsia" w:hAnsiTheme="minorHAnsi" w:cstheme="minorBidi"/>
          <w:szCs w:val="22"/>
        </w:rPr>
      </w:pPr>
      <w:r>
        <w:t>12.</w:t>
      </w:r>
      <w:r>
        <w:tab/>
        <w:t>Exmouth</w:t>
      </w:r>
      <w:r>
        <w:tab/>
      </w:r>
      <w:r>
        <w:fldChar w:fldCharType="begin"/>
      </w:r>
      <w:r>
        <w:instrText xml:space="preserve"> PAGEREF _Toc486503017 \h </w:instrText>
      </w:r>
      <w:r>
        <w:fldChar w:fldCharType="separate"/>
      </w:r>
      <w:r>
        <w:t>67</w:t>
      </w:r>
      <w:r>
        <w:fldChar w:fldCharType="end"/>
      </w:r>
    </w:p>
    <w:p>
      <w:pPr>
        <w:pStyle w:val="TOC8"/>
        <w:rPr>
          <w:rFonts w:asciiTheme="minorHAnsi" w:eastAsiaTheme="minorEastAsia" w:hAnsiTheme="minorHAnsi" w:cstheme="minorBidi"/>
          <w:szCs w:val="22"/>
        </w:rPr>
      </w:pPr>
      <w:r>
        <w:t>13.</w:t>
      </w:r>
      <w:r>
        <w:tab/>
        <w:t>Fremantle Fishing Boat Harbour</w:t>
      </w:r>
      <w:r>
        <w:tab/>
      </w:r>
      <w:r>
        <w:fldChar w:fldCharType="begin"/>
      </w:r>
      <w:r>
        <w:instrText xml:space="preserve"> PAGEREF _Toc486503018 \h </w:instrText>
      </w:r>
      <w:r>
        <w:fldChar w:fldCharType="separate"/>
      </w:r>
      <w:r>
        <w:t>70</w:t>
      </w:r>
      <w:r>
        <w:fldChar w:fldCharType="end"/>
      </w:r>
    </w:p>
    <w:p>
      <w:pPr>
        <w:pStyle w:val="TOC8"/>
        <w:rPr>
          <w:rFonts w:asciiTheme="minorHAnsi" w:eastAsiaTheme="minorEastAsia" w:hAnsiTheme="minorHAnsi" w:cstheme="minorBidi"/>
          <w:szCs w:val="22"/>
        </w:rPr>
      </w:pPr>
      <w:r>
        <w:t>14.</w:t>
      </w:r>
      <w:r>
        <w:tab/>
        <w:t>Geraldton, Batavia Coast Boat Harbour</w:t>
      </w:r>
      <w:r>
        <w:tab/>
      </w:r>
      <w:r>
        <w:fldChar w:fldCharType="begin"/>
      </w:r>
      <w:r>
        <w:instrText xml:space="preserve"> PAGEREF _Toc486503019 \h </w:instrText>
      </w:r>
      <w:r>
        <w:fldChar w:fldCharType="separate"/>
      </w:r>
      <w:r>
        <w:t>72</w:t>
      </w:r>
      <w:r>
        <w:fldChar w:fldCharType="end"/>
      </w:r>
    </w:p>
    <w:p>
      <w:pPr>
        <w:pStyle w:val="TOC8"/>
        <w:rPr>
          <w:rFonts w:asciiTheme="minorHAnsi" w:eastAsiaTheme="minorEastAsia" w:hAnsiTheme="minorHAnsi" w:cstheme="minorBidi"/>
          <w:szCs w:val="22"/>
        </w:rPr>
      </w:pPr>
      <w:r>
        <w:t>15.</w:t>
      </w:r>
      <w:r>
        <w:tab/>
        <w:t>Green Head</w:t>
      </w:r>
      <w:r>
        <w:tab/>
      </w:r>
      <w:r>
        <w:fldChar w:fldCharType="begin"/>
      </w:r>
      <w:r>
        <w:instrText xml:space="preserve"> PAGEREF _Toc486503020 \h </w:instrText>
      </w:r>
      <w:r>
        <w:fldChar w:fldCharType="separate"/>
      </w:r>
      <w:r>
        <w:t>73</w:t>
      </w:r>
      <w:r>
        <w:fldChar w:fldCharType="end"/>
      </w:r>
    </w:p>
    <w:p>
      <w:pPr>
        <w:pStyle w:val="TOC8"/>
        <w:rPr>
          <w:rFonts w:asciiTheme="minorHAnsi" w:eastAsiaTheme="minorEastAsia" w:hAnsiTheme="minorHAnsi" w:cstheme="minorBidi"/>
          <w:szCs w:val="22"/>
        </w:rPr>
      </w:pPr>
      <w:r>
        <w:t>16.</w:t>
      </w:r>
      <w:r>
        <w:tab/>
        <w:t>Hopetoun</w:t>
      </w:r>
      <w:r>
        <w:tab/>
      </w:r>
      <w:r>
        <w:fldChar w:fldCharType="begin"/>
      </w:r>
      <w:r>
        <w:instrText xml:space="preserve"> PAGEREF _Toc486503021 \h </w:instrText>
      </w:r>
      <w:r>
        <w:fldChar w:fldCharType="separate"/>
      </w:r>
      <w:r>
        <w:t>74</w:t>
      </w:r>
      <w:r>
        <w:fldChar w:fldCharType="end"/>
      </w:r>
    </w:p>
    <w:p>
      <w:pPr>
        <w:pStyle w:val="TOC8"/>
        <w:rPr>
          <w:rFonts w:asciiTheme="minorHAnsi" w:eastAsiaTheme="minorEastAsia" w:hAnsiTheme="minorHAnsi" w:cstheme="minorBidi"/>
          <w:szCs w:val="22"/>
        </w:rPr>
      </w:pPr>
      <w:r>
        <w:t>17.</w:t>
      </w:r>
      <w:r>
        <w:tab/>
        <w:t>Jurien Boat Harbour</w:t>
      </w:r>
      <w:r>
        <w:tab/>
      </w:r>
      <w:r>
        <w:fldChar w:fldCharType="begin"/>
      </w:r>
      <w:r>
        <w:instrText xml:space="preserve"> PAGEREF _Toc486503022 \h </w:instrText>
      </w:r>
      <w:r>
        <w:fldChar w:fldCharType="separate"/>
      </w:r>
      <w:r>
        <w:t>74</w:t>
      </w:r>
      <w:r>
        <w:fldChar w:fldCharType="end"/>
      </w:r>
    </w:p>
    <w:p>
      <w:pPr>
        <w:pStyle w:val="TOC8"/>
        <w:rPr>
          <w:rFonts w:asciiTheme="minorHAnsi" w:eastAsiaTheme="minorEastAsia" w:hAnsiTheme="minorHAnsi" w:cstheme="minorBidi"/>
          <w:szCs w:val="22"/>
        </w:rPr>
      </w:pPr>
      <w:r>
        <w:t>18.</w:t>
      </w:r>
      <w:r>
        <w:tab/>
        <w:t>Kalbarri Boat Harbour</w:t>
      </w:r>
      <w:r>
        <w:tab/>
      </w:r>
      <w:r>
        <w:fldChar w:fldCharType="begin"/>
      </w:r>
      <w:r>
        <w:instrText xml:space="preserve"> PAGEREF _Toc486503023 \h </w:instrText>
      </w:r>
      <w:r>
        <w:fldChar w:fldCharType="separate"/>
      </w:r>
      <w:r>
        <w:t>75</w:t>
      </w:r>
      <w:r>
        <w:fldChar w:fldCharType="end"/>
      </w:r>
    </w:p>
    <w:p>
      <w:pPr>
        <w:pStyle w:val="TOC8"/>
        <w:rPr>
          <w:rFonts w:asciiTheme="minorHAnsi" w:eastAsiaTheme="minorEastAsia" w:hAnsiTheme="minorHAnsi" w:cstheme="minorBidi"/>
          <w:szCs w:val="22"/>
        </w:rPr>
      </w:pPr>
      <w:r>
        <w:t>19.</w:t>
      </w:r>
      <w:r>
        <w:tab/>
        <w:t>Lancelin</w:t>
      </w:r>
      <w:r>
        <w:tab/>
      </w:r>
      <w:r>
        <w:fldChar w:fldCharType="begin"/>
      </w:r>
      <w:r>
        <w:instrText xml:space="preserve"> PAGEREF _Toc486503024 \h </w:instrText>
      </w:r>
      <w:r>
        <w:fldChar w:fldCharType="separate"/>
      </w:r>
      <w:r>
        <w:t>76</w:t>
      </w:r>
      <w:r>
        <w:fldChar w:fldCharType="end"/>
      </w:r>
    </w:p>
    <w:p>
      <w:pPr>
        <w:pStyle w:val="TOC8"/>
        <w:rPr>
          <w:rFonts w:asciiTheme="minorHAnsi" w:eastAsiaTheme="minorEastAsia" w:hAnsiTheme="minorHAnsi" w:cstheme="minorBidi"/>
          <w:szCs w:val="22"/>
        </w:rPr>
      </w:pPr>
      <w:r>
        <w:t>20.</w:t>
      </w:r>
      <w:r>
        <w:tab/>
        <w:t>Leeman</w:t>
      </w:r>
      <w:r>
        <w:tab/>
      </w:r>
      <w:r>
        <w:fldChar w:fldCharType="begin"/>
      </w:r>
      <w:r>
        <w:instrText xml:space="preserve"> PAGEREF _Toc486503025 \h </w:instrText>
      </w:r>
      <w:r>
        <w:fldChar w:fldCharType="separate"/>
      </w:r>
      <w:r>
        <w:t>77</w:t>
      </w:r>
      <w:r>
        <w:fldChar w:fldCharType="end"/>
      </w:r>
    </w:p>
    <w:p>
      <w:pPr>
        <w:pStyle w:val="TOC8"/>
        <w:rPr>
          <w:rFonts w:asciiTheme="minorHAnsi" w:eastAsiaTheme="minorEastAsia" w:hAnsiTheme="minorHAnsi" w:cstheme="minorBidi"/>
          <w:szCs w:val="22"/>
        </w:rPr>
      </w:pPr>
      <w:r>
        <w:t>21.</w:t>
      </w:r>
      <w:r>
        <w:tab/>
        <w:t>Onslow, Beadon Creek Boat Harbour</w:t>
      </w:r>
      <w:r>
        <w:tab/>
      </w:r>
      <w:r>
        <w:fldChar w:fldCharType="begin"/>
      </w:r>
      <w:r>
        <w:instrText xml:space="preserve"> PAGEREF _Toc486503026 \h </w:instrText>
      </w:r>
      <w:r>
        <w:fldChar w:fldCharType="separate"/>
      </w:r>
      <w:r>
        <w:t>78</w:t>
      </w:r>
      <w:r>
        <w:fldChar w:fldCharType="end"/>
      </w:r>
    </w:p>
    <w:p>
      <w:pPr>
        <w:pStyle w:val="TOC8"/>
        <w:rPr>
          <w:rFonts w:asciiTheme="minorHAnsi" w:eastAsiaTheme="minorEastAsia" w:hAnsiTheme="minorHAnsi" w:cstheme="minorBidi"/>
          <w:szCs w:val="22"/>
        </w:rPr>
      </w:pPr>
      <w:r>
        <w:t>22.</w:t>
      </w:r>
      <w:r>
        <w:tab/>
        <w:t>Point Samson, Johns Creek Boat Harbour</w:t>
      </w:r>
      <w:r>
        <w:tab/>
      </w:r>
      <w:r>
        <w:fldChar w:fldCharType="begin"/>
      </w:r>
      <w:r>
        <w:instrText xml:space="preserve"> PAGEREF _Toc486503027 \h </w:instrText>
      </w:r>
      <w:r>
        <w:fldChar w:fldCharType="separate"/>
      </w:r>
      <w:r>
        <w:t>79</w:t>
      </w:r>
      <w:r>
        <w:fldChar w:fldCharType="end"/>
      </w:r>
    </w:p>
    <w:p>
      <w:pPr>
        <w:pStyle w:val="TOC8"/>
        <w:rPr>
          <w:rFonts w:asciiTheme="minorHAnsi" w:eastAsiaTheme="minorEastAsia" w:hAnsiTheme="minorHAnsi" w:cstheme="minorBidi"/>
          <w:szCs w:val="22"/>
        </w:rPr>
      </w:pPr>
      <w:r>
        <w:t>23.</w:t>
      </w:r>
      <w:r>
        <w:tab/>
        <w:t>Port Denison</w:t>
      </w:r>
      <w:r>
        <w:tab/>
      </w:r>
      <w:r>
        <w:fldChar w:fldCharType="begin"/>
      </w:r>
      <w:r>
        <w:instrText xml:space="preserve"> PAGEREF _Toc486503028 \h </w:instrText>
      </w:r>
      <w:r>
        <w:fldChar w:fldCharType="separate"/>
      </w:r>
      <w:r>
        <w:t>81</w:t>
      </w:r>
      <w:r>
        <w:fldChar w:fldCharType="end"/>
      </w:r>
    </w:p>
    <w:p>
      <w:pPr>
        <w:pStyle w:val="TOC8"/>
        <w:rPr>
          <w:rFonts w:asciiTheme="minorHAnsi" w:eastAsiaTheme="minorEastAsia" w:hAnsiTheme="minorHAnsi" w:cstheme="minorBidi"/>
          <w:szCs w:val="22"/>
        </w:rPr>
      </w:pPr>
      <w:r>
        <w:t>24.</w:t>
      </w:r>
      <w:r>
        <w:tab/>
        <w:t>Port Gregory</w:t>
      </w:r>
      <w:r>
        <w:tab/>
      </w:r>
      <w:r>
        <w:fldChar w:fldCharType="begin"/>
      </w:r>
      <w:r>
        <w:instrText xml:space="preserve"> PAGEREF _Toc486503029 \h </w:instrText>
      </w:r>
      <w:r>
        <w:fldChar w:fldCharType="separate"/>
      </w:r>
      <w:r>
        <w:t>82</w:t>
      </w:r>
      <w:r>
        <w:fldChar w:fldCharType="end"/>
      </w:r>
    </w:p>
    <w:p>
      <w:pPr>
        <w:pStyle w:val="TOC8"/>
        <w:rPr>
          <w:rFonts w:asciiTheme="minorHAnsi" w:eastAsiaTheme="minorEastAsia" w:hAnsiTheme="minorHAnsi" w:cstheme="minorBidi"/>
          <w:szCs w:val="22"/>
        </w:rPr>
      </w:pPr>
      <w:r>
        <w:t>25A.</w:t>
      </w:r>
      <w:r>
        <w:tab/>
        <w:t>Two Rocks Marina</w:t>
      </w:r>
      <w:r>
        <w:tab/>
      </w:r>
      <w:r>
        <w:fldChar w:fldCharType="begin"/>
      </w:r>
      <w:r>
        <w:instrText xml:space="preserve"> PAGEREF _Toc486503030 \h </w:instrText>
      </w:r>
      <w:r>
        <w:fldChar w:fldCharType="separate"/>
      </w:r>
      <w:r>
        <w:t>83</w:t>
      </w:r>
      <w:r>
        <w:fldChar w:fldCharType="end"/>
      </w:r>
    </w:p>
    <w:p>
      <w:pPr>
        <w:pStyle w:val="TOC8"/>
        <w:rPr>
          <w:rFonts w:asciiTheme="minorHAnsi" w:eastAsiaTheme="minorEastAsia" w:hAnsiTheme="minorHAnsi" w:cstheme="minorBidi"/>
          <w:szCs w:val="22"/>
        </w:rPr>
      </w:pPr>
      <w:r>
        <w:t>25.</w:t>
      </w:r>
      <w:r>
        <w:tab/>
        <w:t>Port of Wyndham</w:t>
      </w:r>
      <w:r>
        <w:tab/>
      </w:r>
      <w:r>
        <w:fldChar w:fldCharType="begin"/>
      </w:r>
      <w:r>
        <w:instrText xml:space="preserve"> PAGEREF _Toc486503031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State</w:t>
      </w:r>
      <w:r>
        <w:noBreakHyphen/>
        <w:t>wide charges</w:t>
      </w:r>
    </w:p>
    <w:p>
      <w:pPr>
        <w:pStyle w:val="TOC8"/>
        <w:rPr>
          <w:rFonts w:asciiTheme="minorHAnsi" w:eastAsiaTheme="minorEastAsia" w:hAnsiTheme="minorHAnsi" w:cstheme="minorBidi"/>
          <w:szCs w:val="22"/>
        </w:rPr>
      </w:pPr>
      <w:r>
        <w:t>26A.</w:t>
      </w:r>
      <w:r>
        <w:tab/>
        <w:t>Wyndham excluded</w:t>
      </w:r>
      <w:r>
        <w:tab/>
      </w:r>
      <w:r>
        <w:fldChar w:fldCharType="begin"/>
      </w:r>
      <w:r>
        <w:instrText xml:space="preserve"> PAGEREF _Toc486503033 \h </w:instrText>
      </w:r>
      <w:r>
        <w:fldChar w:fldCharType="separate"/>
      </w:r>
      <w:r>
        <w:t>88</w:t>
      </w:r>
      <w:r>
        <w:fldChar w:fldCharType="end"/>
      </w:r>
    </w:p>
    <w:p>
      <w:pPr>
        <w:pStyle w:val="TOC8"/>
        <w:rPr>
          <w:rFonts w:asciiTheme="minorHAnsi" w:eastAsiaTheme="minorEastAsia" w:hAnsiTheme="minorHAnsi" w:cstheme="minorBidi"/>
          <w:szCs w:val="22"/>
        </w:rPr>
      </w:pPr>
      <w:r>
        <w:t>26.</w:t>
      </w:r>
      <w:r>
        <w:tab/>
        <w:t>Living on a vessel</w:t>
      </w:r>
      <w:r>
        <w:tab/>
      </w:r>
      <w:r>
        <w:fldChar w:fldCharType="begin"/>
      </w:r>
      <w:r>
        <w:instrText xml:space="preserve"> PAGEREF _Toc486503034 \h </w:instrText>
      </w:r>
      <w:r>
        <w:fldChar w:fldCharType="separate"/>
      </w:r>
      <w:r>
        <w:t>88</w:t>
      </w:r>
      <w:r>
        <w:fldChar w:fldCharType="end"/>
      </w:r>
    </w:p>
    <w:p>
      <w:pPr>
        <w:pStyle w:val="TOC8"/>
        <w:rPr>
          <w:rFonts w:asciiTheme="minorHAnsi" w:eastAsiaTheme="minorEastAsia" w:hAnsiTheme="minorHAnsi" w:cstheme="minorBidi"/>
          <w:szCs w:val="22"/>
        </w:rPr>
      </w:pPr>
      <w:r>
        <w:t>27.</w:t>
      </w:r>
      <w:r>
        <w:tab/>
        <w:t>Electricity supply</w:t>
      </w:r>
      <w:r>
        <w:tab/>
      </w:r>
      <w:r>
        <w:fldChar w:fldCharType="begin"/>
      </w:r>
      <w:r>
        <w:instrText xml:space="preserve"> PAGEREF _Toc486503035 \h </w:instrText>
      </w:r>
      <w:r>
        <w:fldChar w:fldCharType="separate"/>
      </w:r>
      <w:r>
        <w:t>89</w:t>
      </w:r>
      <w:r>
        <w:fldChar w:fldCharType="end"/>
      </w:r>
    </w:p>
    <w:p>
      <w:pPr>
        <w:pStyle w:val="TOC8"/>
        <w:rPr>
          <w:rFonts w:asciiTheme="minorHAnsi" w:eastAsiaTheme="minorEastAsia" w:hAnsiTheme="minorHAnsi" w:cstheme="minorBidi"/>
          <w:szCs w:val="22"/>
        </w:rPr>
      </w:pPr>
      <w:r>
        <w:t>28.</w:t>
      </w:r>
      <w:r>
        <w:tab/>
        <w:t>Water supply</w:t>
      </w:r>
      <w:r>
        <w:tab/>
      </w:r>
      <w:r>
        <w:fldChar w:fldCharType="begin"/>
      </w:r>
      <w:r>
        <w:instrText xml:space="preserve"> PAGEREF _Toc486503036 \h </w:instrText>
      </w:r>
      <w:r>
        <w:fldChar w:fldCharType="separate"/>
      </w:r>
      <w:r>
        <w:t>89</w:t>
      </w:r>
      <w:r>
        <w:fldChar w:fldCharType="end"/>
      </w:r>
    </w:p>
    <w:p>
      <w:pPr>
        <w:pStyle w:val="TOC8"/>
        <w:rPr>
          <w:rFonts w:asciiTheme="minorHAnsi" w:eastAsiaTheme="minorEastAsia" w:hAnsiTheme="minorHAnsi" w:cstheme="minorBidi"/>
          <w:szCs w:val="22"/>
        </w:rPr>
      </w:pPr>
      <w:r>
        <w:t>29.</w:t>
      </w:r>
      <w:r>
        <w:tab/>
        <w:t>Rubbish removal (r. 53A)</w:t>
      </w:r>
      <w:r>
        <w:tab/>
      </w:r>
      <w:r>
        <w:fldChar w:fldCharType="begin"/>
      </w:r>
      <w:r>
        <w:instrText xml:space="preserve"> PAGEREF _Toc486503037 \h </w:instrText>
      </w:r>
      <w:r>
        <w:fldChar w:fldCharType="separate"/>
      </w:r>
      <w:r>
        <w:t>89</w:t>
      </w:r>
      <w:r>
        <w:fldChar w:fldCharType="end"/>
      </w:r>
    </w:p>
    <w:p>
      <w:pPr>
        <w:pStyle w:val="TOC8"/>
        <w:rPr>
          <w:rFonts w:asciiTheme="minorHAnsi" w:eastAsiaTheme="minorEastAsia" w:hAnsiTheme="minorHAnsi" w:cstheme="minorBidi"/>
          <w:szCs w:val="22"/>
        </w:rPr>
      </w:pPr>
      <w:r>
        <w:t>30.</w:t>
      </w:r>
      <w:r>
        <w:tab/>
        <w:t>Passengers and cargo</w:t>
      </w:r>
      <w:r>
        <w:tab/>
      </w:r>
      <w:r>
        <w:fldChar w:fldCharType="begin"/>
      </w:r>
      <w:r>
        <w:instrText xml:space="preserve"> PAGEREF _Toc486503038 \h </w:instrText>
      </w:r>
      <w:r>
        <w:fldChar w:fldCharType="separate"/>
      </w:r>
      <w:r>
        <w:t>90</w:t>
      </w:r>
      <w:r>
        <w:fldChar w:fldCharType="end"/>
      </w:r>
    </w:p>
    <w:p>
      <w:pPr>
        <w:pStyle w:val="TOC8"/>
        <w:rPr>
          <w:rFonts w:asciiTheme="minorHAnsi" w:eastAsiaTheme="minorEastAsia" w:hAnsiTheme="minorHAnsi" w:cstheme="minorBidi"/>
          <w:szCs w:val="22"/>
        </w:rPr>
      </w:pPr>
      <w:r>
        <w:t>31.</w:t>
      </w:r>
      <w:r>
        <w:tab/>
        <w:t>Slip services (r. 96)</w:t>
      </w:r>
      <w:r>
        <w:tab/>
      </w:r>
      <w:r>
        <w:fldChar w:fldCharType="begin"/>
      </w:r>
      <w:r>
        <w:instrText xml:space="preserve"> PAGEREF _Toc486503039 \h </w:instrText>
      </w:r>
      <w:r>
        <w:fldChar w:fldCharType="separate"/>
      </w:r>
      <w:r>
        <w:t>91</w:t>
      </w:r>
      <w:r>
        <w:fldChar w:fldCharType="end"/>
      </w:r>
    </w:p>
    <w:p>
      <w:pPr>
        <w:pStyle w:val="TOC8"/>
        <w:rPr>
          <w:rFonts w:asciiTheme="minorHAnsi" w:eastAsiaTheme="minorEastAsia" w:hAnsiTheme="minorHAnsi" w:cstheme="minorBidi"/>
          <w:szCs w:val="22"/>
        </w:rPr>
      </w:pPr>
      <w:r>
        <w:t>32.</w:t>
      </w:r>
      <w:r>
        <w:tab/>
        <w:t>Floating dinghy pens</w:t>
      </w:r>
      <w:r>
        <w:tab/>
      </w:r>
      <w:r>
        <w:fldChar w:fldCharType="begin"/>
      </w:r>
      <w:r>
        <w:instrText xml:space="preserve"> PAGEREF _Toc486503040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Schedule 1A — Fuel oil wharfage</w:t>
      </w:r>
    </w:p>
    <w:p>
      <w:pPr>
        <w:pStyle w:val="TOC8"/>
        <w:rPr>
          <w:rFonts w:asciiTheme="minorHAnsi" w:eastAsiaTheme="minorEastAsia" w:hAnsiTheme="minorHAnsi" w:cstheme="minorBidi"/>
          <w:szCs w:val="22"/>
        </w:rPr>
      </w:pPr>
      <w:r>
        <w:t>1.</w:t>
      </w:r>
      <w:r>
        <w:tab/>
        <w:t>Wharfage for fuel (r. 11B(2))</w:t>
      </w:r>
      <w:r>
        <w:tab/>
      </w:r>
      <w:r>
        <w:fldChar w:fldCharType="begin"/>
      </w:r>
      <w:r>
        <w:instrText xml:space="preserve"> PAGEREF _Toc486503042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2 — Port of Perth charges</w:t>
      </w:r>
    </w:p>
    <w:p>
      <w:pPr>
        <w:pStyle w:val="TOC4"/>
        <w:tabs>
          <w:tab w:val="right" w:leader="dot" w:pos="7077"/>
        </w:tabs>
        <w:rPr>
          <w:rFonts w:asciiTheme="minorHAnsi" w:eastAsiaTheme="minorEastAsia" w:hAnsiTheme="minorHAnsi" w:cstheme="minorBidi"/>
          <w:b w:val="0"/>
          <w:szCs w:val="22"/>
        </w:rPr>
      </w:pPr>
      <w:r>
        <w:t>Division 1A</w:t>
      </w:r>
      <w:r>
        <w:rPr>
          <w:b w:val="0"/>
        </w:rPr>
        <w:t> — </w:t>
      </w:r>
      <w:r>
        <w:t>Application and Standard rates</w:t>
      </w:r>
    </w:p>
    <w:p>
      <w:pPr>
        <w:pStyle w:val="TOC8"/>
        <w:rPr>
          <w:rFonts w:asciiTheme="minorHAnsi" w:eastAsiaTheme="minorEastAsia" w:hAnsiTheme="minorHAnsi" w:cstheme="minorBidi"/>
          <w:szCs w:val="22"/>
        </w:rPr>
      </w:pPr>
      <w:r>
        <w:t>1A.</w:t>
      </w:r>
      <w:r>
        <w:tab/>
        <w:t>Application of this Schedule</w:t>
      </w:r>
      <w:r>
        <w:tab/>
      </w:r>
      <w:r>
        <w:fldChar w:fldCharType="begin"/>
      </w:r>
      <w:r>
        <w:instrText xml:space="preserve"> PAGEREF _Toc486503045 \h </w:instrText>
      </w:r>
      <w:r>
        <w:fldChar w:fldCharType="separate"/>
      </w:r>
      <w:r>
        <w:t>95</w:t>
      </w:r>
      <w:r>
        <w:fldChar w:fldCharType="end"/>
      </w:r>
    </w:p>
    <w:p>
      <w:pPr>
        <w:pStyle w:val="TOC8"/>
        <w:rPr>
          <w:rFonts w:asciiTheme="minorHAnsi" w:eastAsiaTheme="minorEastAsia" w:hAnsiTheme="minorHAnsi" w:cstheme="minorBidi"/>
          <w:szCs w:val="22"/>
        </w:rPr>
      </w:pPr>
      <w:r>
        <w:t>1B.</w:t>
      </w:r>
      <w:r>
        <w:tab/>
        <w:t>Standard rates for this Schedule</w:t>
      </w:r>
      <w:r>
        <w:tab/>
      </w:r>
      <w:r>
        <w:fldChar w:fldCharType="begin"/>
      </w:r>
      <w:r>
        <w:instrText xml:space="preserve"> PAGEREF _Toc486503046 \h </w:instrText>
      </w:r>
      <w:r>
        <w:fldChar w:fldCharType="separate"/>
      </w:r>
      <w:r>
        <w:t>95</w:t>
      </w:r>
      <w:r>
        <w:fldChar w:fldCharType="end"/>
      </w:r>
    </w:p>
    <w:p>
      <w:pPr>
        <w:pStyle w:val="TOC8"/>
        <w:rPr>
          <w:rFonts w:asciiTheme="minorHAnsi" w:eastAsiaTheme="minorEastAsia" w:hAnsiTheme="minorHAnsi" w:cstheme="minorBidi"/>
          <w:szCs w:val="22"/>
        </w:rPr>
      </w:pPr>
      <w:r>
        <w:t>1C.</w:t>
      </w:r>
      <w:r>
        <w:tab/>
        <w:t>Transferability of annual payments</w:t>
      </w:r>
      <w:r>
        <w:tab/>
      </w:r>
      <w:r>
        <w:fldChar w:fldCharType="begin"/>
      </w:r>
      <w:r>
        <w:instrText xml:space="preserve"> PAGEREF _Toc486503047 \h </w:instrText>
      </w:r>
      <w:r>
        <w:fldChar w:fldCharType="separate"/>
      </w:r>
      <w:r>
        <w:t>95</w:t>
      </w:r>
      <w:r>
        <w:fldChar w:fldCharType="end"/>
      </w:r>
    </w:p>
    <w:p>
      <w:pPr>
        <w:pStyle w:val="TOC8"/>
        <w:rPr>
          <w:rFonts w:asciiTheme="minorHAnsi" w:eastAsiaTheme="minorEastAsia" w:hAnsiTheme="minorHAnsi" w:cstheme="minorBidi"/>
          <w:szCs w:val="22"/>
        </w:rPr>
      </w:pPr>
      <w:r>
        <w:t>1D.</w:t>
      </w:r>
      <w:r>
        <w:tab/>
        <w:t>Service wharf or jetty entitlements</w:t>
      </w:r>
      <w:r>
        <w:tab/>
      </w:r>
      <w:r>
        <w:fldChar w:fldCharType="begin"/>
      </w:r>
      <w:r>
        <w:instrText xml:space="preserve"> PAGEREF _Toc486503048 \h </w:instrText>
      </w:r>
      <w:r>
        <w:fldChar w:fldCharType="separate"/>
      </w:r>
      <w:r>
        <w:t>96</w:t>
      </w:r>
      <w:r>
        <w:fldChar w:fldCharType="end"/>
      </w:r>
    </w:p>
    <w:p>
      <w:pPr>
        <w:pStyle w:val="TOC8"/>
        <w:rPr>
          <w:rFonts w:asciiTheme="minorHAnsi" w:eastAsiaTheme="minorEastAsia" w:hAnsiTheme="minorHAnsi" w:cstheme="minorBidi"/>
          <w:szCs w:val="22"/>
        </w:rPr>
      </w:pPr>
      <w:r>
        <w:t>1E.</w:t>
      </w:r>
      <w:r>
        <w:tab/>
        <w:t>Active loading and unloading</w:t>
      </w:r>
      <w:r>
        <w:tab/>
      </w:r>
      <w:r>
        <w:fldChar w:fldCharType="begin"/>
      </w:r>
      <w:r>
        <w:instrText xml:space="preserve"> PAGEREF _Toc486503049 \h </w:instrText>
      </w:r>
      <w:r>
        <w:fldChar w:fldCharType="separate"/>
      </w:r>
      <w:r>
        <w:t>96</w:t>
      </w:r>
      <w:r>
        <w:fldChar w:fldCharType="end"/>
      </w:r>
    </w:p>
    <w:p>
      <w:pPr>
        <w:pStyle w:val="TOC8"/>
        <w:rPr>
          <w:rFonts w:asciiTheme="minorHAnsi" w:eastAsiaTheme="minorEastAsia" w:hAnsiTheme="minorHAnsi" w:cstheme="minorBidi"/>
          <w:szCs w:val="22"/>
        </w:rPr>
      </w:pPr>
      <w:r>
        <w:t>1F.</w:t>
      </w:r>
      <w:r>
        <w:tab/>
        <w:t>Wyndham excluded</w:t>
      </w:r>
      <w:r>
        <w:tab/>
      </w:r>
      <w:r>
        <w:fldChar w:fldCharType="begin"/>
      </w:r>
      <w:r>
        <w:instrText xml:space="preserve"> PAGEREF _Toc486503050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1</w:t>
      </w:r>
      <w:r>
        <w:rPr>
          <w:b w:val="0"/>
        </w:rPr>
        <w:t> — </w:t>
      </w:r>
      <w:r>
        <w:t>Specific charges for Port of Perth jetties</w:t>
      </w:r>
    </w:p>
    <w:p>
      <w:pPr>
        <w:pStyle w:val="TOC8"/>
        <w:rPr>
          <w:rFonts w:asciiTheme="minorHAnsi" w:eastAsiaTheme="minorEastAsia" w:hAnsiTheme="minorHAnsi" w:cstheme="minorBidi"/>
          <w:szCs w:val="22"/>
        </w:rPr>
      </w:pPr>
      <w:r>
        <w:t>1.</w:t>
      </w:r>
      <w:r>
        <w:tab/>
        <w:t>Barrack Street and Mends Street jetties</w:t>
      </w:r>
      <w:r>
        <w:tab/>
      </w:r>
      <w:r>
        <w:fldChar w:fldCharType="begin"/>
      </w:r>
      <w:r>
        <w:instrText xml:space="preserve"> PAGEREF _Toc486503052 \h </w:instrText>
      </w:r>
      <w:r>
        <w:fldChar w:fldCharType="separate"/>
      </w:r>
      <w:r>
        <w:t>97</w:t>
      </w:r>
      <w:r>
        <w:fldChar w:fldCharType="end"/>
      </w:r>
    </w:p>
    <w:p>
      <w:pPr>
        <w:pStyle w:val="TOC8"/>
        <w:rPr>
          <w:rFonts w:asciiTheme="minorHAnsi" w:eastAsiaTheme="minorEastAsia" w:hAnsiTheme="minorHAnsi" w:cstheme="minorBidi"/>
          <w:szCs w:val="22"/>
        </w:rPr>
      </w:pPr>
      <w:r>
        <w:t>2.</w:t>
      </w:r>
      <w:r>
        <w:tab/>
        <w:t>Other jetties in Swan and Canning Rivers</w:t>
      </w:r>
      <w:r>
        <w:tab/>
      </w:r>
      <w:r>
        <w:fldChar w:fldCharType="begin"/>
      </w:r>
      <w:r>
        <w:instrText xml:space="preserve"> PAGEREF _Toc486503053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Charges for boat pens</w:t>
      </w:r>
    </w:p>
    <w:p>
      <w:pPr>
        <w:pStyle w:val="TOC8"/>
        <w:rPr>
          <w:rFonts w:asciiTheme="minorHAnsi" w:eastAsiaTheme="minorEastAsia" w:hAnsiTheme="minorHAnsi" w:cstheme="minorBidi"/>
          <w:szCs w:val="22"/>
        </w:rPr>
      </w:pPr>
      <w:r>
        <w:t>3.</w:t>
      </w:r>
      <w:r>
        <w:tab/>
        <w:t>Fremantle, Challenger Boat Harbour</w:t>
      </w:r>
      <w:r>
        <w:tab/>
      </w:r>
      <w:r>
        <w:fldChar w:fldCharType="begin"/>
      </w:r>
      <w:r>
        <w:instrText xml:space="preserve"> PAGEREF _Toc486503055 \h </w:instrText>
      </w:r>
      <w:r>
        <w:fldChar w:fldCharType="separate"/>
      </w:r>
      <w:r>
        <w:t>98</w:t>
      </w:r>
      <w:r>
        <w:fldChar w:fldCharType="end"/>
      </w:r>
    </w:p>
    <w:p>
      <w:pPr>
        <w:pStyle w:val="TOC8"/>
        <w:rPr>
          <w:rFonts w:asciiTheme="minorHAnsi" w:eastAsiaTheme="minorEastAsia" w:hAnsiTheme="minorHAnsi" w:cstheme="minorBidi"/>
          <w:szCs w:val="22"/>
        </w:rPr>
      </w:pPr>
      <w:r>
        <w:t>4.</w:t>
      </w:r>
      <w:r>
        <w:tab/>
        <w:t>Hillarys Boat Harbour</w:t>
      </w:r>
      <w:r>
        <w:tab/>
      </w:r>
      <w:r>
        <w:fldChar w:fldCharType="begin"/>
      </w:r>
      <w:r>
        <w:instrText xml:space="preserve"> PAGEREF _Toc486503056 \h </w:instrText>
      </w:r>
      <w:r>
        <w:fldChar w:fldCharType="separate"/>
      </w:r>
      <w:r>
        <w:t>99</w:t>
      </w:r>
      <w:r>
        <w:fldChar w:fldCharType="end"/>
      </w:r>
    </w:p>
    <w:p>
      <w:pPr>
        <w:pStyle w:val="TOC8"/>
        <w:rPr>
          <w:rFonts w:asciiTheme="minorHAnsi" w:eastAsiaTheme="minorEastAsia" w:hAnsiTheme="minorHAnsi" w:cstheme="minorBidi"/>
          <w:szCs w:val="22"/>
        </w:rPr>
      </w:pPr>
      <w:r>
        <w:t>5.</w:t>
      </w:r>
      <w:r>
        <w:tab/>
        <w:t>Jervoise Bay</w:t>
      </w:r>
      <w:r>
        <w:tab/>
      </w:r>
      <w:r>
        <w:fldChar w:fldCharType="begin"/>
      </w:r>
      <w:r>
        <w:instrText xml:space="preserve"> PAGEREF _Toc486503057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_Toc486503060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5"/>
        <w:rPr>
          <w:snapToGrid w:val="0"/>
        </w:rPr>
      </w:pPr>
      <w:bookmarkStart w:id="3" w:name="_Toc486502858"/>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4" w:name="_Toc486502859"/>
      <w:r>
        <w:rPr>
          <w:rStyle w:val="CharSectno"/>
        </w:rPr>
        <w:t>2</w:t>
      </w:r>
      <w:r>
        <w:t>.</w:t>
      </w:r>
      <w:r>
        <w:tab/>
        <w:t>Liability for dues and charges</w:t>
      </w:r>
      <w:bookmarkEnd w:id="4"/>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in Gazette 14 Jun 2002 p. 2799; amended in Gazette 25 Jul 2014 p. 2607.]</w:t>
      </w:r>
    </w:p>
    <w:p>
      <w:pPr>
        <w:pStyle w:val="Heading5"/>
        <w:rPr>
          <w:snapToGrid w:val="0"/>
        </w:rPr>
      </w:pPr>
      <w:bookmarkStart w:id="5" w:name="_Toc486502860"/>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a Schedule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 xml:space="preserve">the chargeable length of a pen is — </w:t>
      </w:r>
    </w:p>
    <w:p>
      <w:pPr>
        <w:pStyle w:val="Indenti"/>
      </w:pPr>
      <w:r>
        <w:tab/>
        <w:t>(i)</w:t>
      </w:r>
      <w:r>
        <w:tab/>
        <w:t>unless subparagraph (ii) applies, its chargeable length as determined by the Department and set out on its website at the time the charge is calculated; or</w:t>
      </w:r>
    </w:p>
    <w:p>
      <w:pPr>
        <w:pStyle w:val="Indenti"/>
      </w:pPr>
      <w:r>
        <w:tab/>
        <w:t>(ii)</w:t>
      </w:r>
      <w:r>
        <w:tab/>
        <w:t>if a vessel allocated a pen that is longer than it needs to be due to the unavailability of a suitable</w:t>
      </w:r>
      <w:r>
        <w:noBreakHyphen/>
        <w:t>sized pen for the vessel at the place where the vessel is berthed — the chargeable length of a suitable</w:t>
      </w:r>
      <w:r>
        <w:noBreakHyphen/>
        <w:t>sized pen.</w:t>
      </w:r>
    </w:p>
    <w:p>
      <w:pPr>
        <w:pStyle w:val="Subsection"/>
        <w:keepLines/>
      </w:pPr>
      <w:r>
        <w:tab/>
        <w:t>(4)</w:t>
      </w:r>
      <w:r>
        <w:tab/>
        <w:t>Subject to subregulation (5A), a reference in a Schedule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10%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a Schedule.</w:t>
      </w:r>
    </w:p>
    <w:p>
      <w:pPr>
        <w:pStyle w:val="Subsection"/>
      </w:pPr>
      <w:r>
        <w:tab/>
        <w:t>(5)</w:t>
      </w:r>
      <w:r>
        <w:tab/>
        <w:t xml:space="preserve">A reference in subregulation (4) or a Schedule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in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w:t>
      </w:r>
    </w:p>
    <w:p>
      <w:pPr>
        <w:pStyle w:val="Heading2"/>
      </w:pPr>
      <w:bookmarkStart w:id="6" w:name="_Toc470188274"/>
      <w:bookmarkStart w:id="7" w:name="_Toc483481773"/>
      <w:bookmarkStart w:id="8" w:name="_Toc483493639"/>
      <w:bookmarkStart w:id="9" w:name="_Toc483552746"/>
      <w:bookmarkStart w:id="10" w:name="_Toc485378094"/>
      <w:bookmarkStart w:id="11" w:name="_Toc486502453"/>
      <w:bookmarkStart w:id="12" w:name="_Toc486502657"/>
      <w:bookmarkStart w:id="13" w:name="_Toc486502861"/>
      <w:r>
        <w:rPr>
          <w:rStyle w:val="CharPartNo"/>
        </w:rPr>
        <w:t>Part 1</w:t>
      </w:r>
      <w:r>
        <w:t> — </w:t>
      </w:r>
      <w:r>
        <w:rPr>
          <w:rStyle w:val="CharPartText"/>
        </w:rPr>
        <w:t>Regulations applying to jetties controlled by the Department</w:t>
      </w:r>
      <w:bookmarkEnd w:id="6"/>
      <w:bookmarkEnd w:id="7"/>
      <w:bookmarkEnd w:id="8"/>
      <w:bookmarkEnd w:id="9"/>
      <w:bookmarkEnd w:id="10"/>
      <w:bookmarkEnd w:id="11"/>
      <w:bookmarkEnd w:id="12"/>
      <w:bookmarkEnd w:id="13"/>
      <w:r>
        <w:rPr>
          <w:rStyle w:val="CharPartText"/>
        </w:rPr>
        <w:t xml:space="preserve"> </w:t>
      </w:r>
    </w:p>
    <w:p>
      <w:pPr>
        <w:pStyle w:val="Footnoteheading"/>
      </w:pPr>
      <w:r>
        <w:tab/>
        <w:t xml:space="preserve">[Heading inserted in Gazette 19 May 1989 p. 1494.] </w:t>
      </w:r>
    </w:p>
    <w:p>
      <w:pPr>
        <w:pStyle w:val="Heading3"/>
        <w:rPr>
          <w:snapToGrid w:val="0"/>
        </w:rPr>
      </w:pPr>
      <w:bookmarkStart w:id="14" w:name="_Toc470188275"/>
      <w:bookmarkStart w:id="15" w:name="_Toc483481774"/>
      <w:bookmarkStart w:id="16" w:name="_Toc483493640"/>
      <w:bookmarkStart w:id="17" w:name="_Toc483552747"/>
      <w:bookmarkStart w:id="18" w:name="_Toc485378095"/>
      <w:bookmarkStart w:id="19" w:name="_Toc486502454"/>
      <w:bookmarkStart w:id="20" w:name="_Toc486502658"/>
      <w:bookmarkStart w:id="21" w:name="_Toc486502862"/>
      <w:r>
        <w:rPr>
          <w:rStyle w:val="CharDivNo"/>
        </w:rPr>
        <w:t>Division 1</w:t>
      </w:r>
      <w:r>
        <w:rPr>
          <w:snapToGrid w:val="0"/>
        </w:rPr>
        <w:t> — </w:t>
      </w:r>
      <w:r>
        <w:rPr>
          <w:rStyle w:val="CharDivText"/>
        </w:rPr>
        <w:t>Application of this Part</w:t>
      </w:r>
      <w:bookmarkEnd w:id="14"/>
      <w:bookmarkEnd w:id="15"/>
      <w:bookmarkEnd w:id="16"/>
      <w:bookmarkEnd w:id="17"/>
      <w:bookmarkEnd w:id="18"/>
      <w:bookmarkEnd w:id="19"/>
      <w:bookmarkEnd w:id="20"/>
      <w:bookmarkEnd w:id="21"/>
      <w:r>
        <w:rPr>
          <w:rStyle w:val="CharDivText"/>
        </w:rPr>
        <w:t xml:space="preserve"> </w:t>
      </w:r>
    </w:p>
    <w:p>
      <w:pPr>
        <w:pStyle w:val="Footnoteheading"/>
      </w:pPr>
      <w:r>
        <w:tab/>
        <w:t xml:space="preserve">[Heading inserted in Gazette 19 May 1989 p. 1494.] </w:t>
      </w:r>
    </w:p>
    <w:p>
      <w:pPr>
        <w:pStyle w:val="Heading5"/>
        <w:rPr>
          <w:snapToGrid w:val="0"/>
        </w:rPr>
      </w:pPr>
      <w:bookmarkStart w:id="22" w:name="_Toc486502863"/>
      <w:r>
        <w:rPr>
          <w:rStyle w:val="CharSectno"/>
        </w:rPr>
        <w:t>3A</w:t>
      </w:r>
      <w:r>
        <w:rPr>
          <w:snapToGrid w:val="0"/>
        </w:rPr>
        <w:t>.</w:t>
      </w:r>
      <w:r>
        <w:rPr>
          <w:snapToGrid w:val="0"/>
        </w:rPr>
        <w:tab/>
        <w:t>Application</w:t>
      </w:r>
      <w:bookmarkEnd w:id="22"/>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23" w:name="_Toc470188277"/>
      <w:bookmarkStart w:id="24" w:name="_Toc483481776"/>
      <w:bookmarkStart w:id="25" w:name="_Toc483493642"/>
      <w:bookmarkStart w:id="26" w:name="_Toc483552749"/>
      <w:bookmarkStart w:id="27" w:name="_Toc485378097"/>
      <w:bookmarkStart w:id="28" w:name="_Toc486502456"/>
      <w:bookmarkStart w:id="29" w:name="_Toc486502660"/>
      <w:bookmarkStart w:id="30" w:name="_Toc486502864"/>
      <w:r>
        <w:rPr>
          <w:rStyle w:val="CharDivNo"/>
        </w:rPr>
        <w:t>Division 2</w:t>
      </w:r>
      <w:r>
        <w:rPr>
          <w:snapToGrid w:val="0"/>
        </w:rPr>
        <w:t> — </w:t>
      </w:r>
      <w:r>
        <w:rPr>
          <w:rStyle w:val="CharDivText"/>
        </w:rPr>
        <w:t>Arrival and movement of vessels</w:t>
      </w:r>
      <w:bookmarkEnd w:id="23"/>
      <w:bookmarkEnd w:id="24"/>
      <w:bookmarkEnd w:id="25"/>
      <w:bookmarkEnd w:id="26"/>
      <w:bookmarkEnd w:id="27"/>
      <w:bookmarkEnd w:id="28"/>
      <w:bookmarkEnd w:id="29"/>
      <w:bookmarkEnd w:id="30"/>
      <w:r>
        <w:rPr>
          <w:rStyle w:val="CharDivText"/>
        </w:rPr>
        <w:t xml:space="preserve"> </w:t>
      </w:r>
    </w:p>
    <w:p>
      <w:pPr>
        <w:pStyle w:val="Footnoteheading"/>
      </w:pPr>
      <w:r>
        <w:tab/>
        <w:t xml:space="preserve">[Heading inserted in Gazette 19 May 1989 p. 1494.] </w:t>
      </w:r>
    </w:p>
    <w:p>
      <w:pPr>
        <w:pStyle w:val="Heading5"/>
        <w:rPr>
          <w:snapToGrid w:val="0"/>
        </w:rPr>
      </w:pPr>
      <w:bookmarkStart w:id="31" w:name="_Toc486502865"/>
      <w:r>
        <w:rPr>
          <w:rStyle w:val="CharSectno"/>
        </w:rPr>
        <w:t>4</w:t>
      </w:r>
      <w:r>
        <w:rPr>
          <w:snapToGrid w:val="0"/>
        </w:rPr>
        <w:t>.</w:t>
      </w:r>
      <w:r>
        <w:rPr>
          <w:snapToGrid w:val="0"/>
        </w:rPr>
        <w:tab/>
        <w:t>Master or agent to report arrival</w:t>
      </w:r>
      <w:bookmarkEnd w:id="31"/>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in Gazette 19 May 1989 p. 1494; 25 Jul 2014 p. 2610.] </w:t>
      </w:r>
    </w:p>
    <w:p>
      <w:pPr>
        <w:pStyle w:val="Heading5"/>
        <w:rPr>
          <w:snapToGrid w:val="0"/>
        </w:rPr>
      </w:pPr>
      <w:bookmarkStart w:id="32" w:name="_Toc486502866"/>
      <w:r>
        <w:rPr>
          <w:rStyle w:val="CharSectno"/>
        </w:rPr>
        <w:t>5</w:t>
      </w:r>
      <w:r>
        <w:rPr>
          <w:snapToGrid w:val="0"/>
        </w:rPr>
        <w:t>.</w:t>
      </w:r>
      <w:r>
        <w:rPr>
          <w:snapToGrid w:val="0"/>
        </w:rPr>
        <w:tab/>
        <w:t>Vessels to change berths</w:t>
      </w:r>
      <w:bookmarkEnd w:id="32"/>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33" w:name="_Toc470188280"/>
      <w:bookmarkStart w:id="34" w:name="_Toc483481779"/>
      <w:bookmarkStart w:id="35" w:name="_Toc483493645"/>
      <w:bookmarkStart w:id="36" w:name="_Toc483552752"/>
      <w:bookmarkStart w:id="37" w:name="_Toc485378100"/>
      <w:bookmarkStart w:id="38" w:name="_Toc486502459"/>
      <w:bookmarkStart w:id="39" w:name="_Toc486502663"/>
      <w:bookmarkStart w:id="40" w:name="_Toc486502867"/>
      <w:r>
        <w:rPr>
          <w:rStyle w:val="CharDivNo"/>
        </w:rPr>
        <w:t>Division 3</w:t>
      </w:r>
      <w:r>
        <w:rPr>
          <w:snapToGrid w:val="0"/>
        </w:rPr>
        <w:t> — </w:t>
      </w:r>
      <w:r>
        <w:rPr>
          <w:rStyle w:val="CharDivText"/>
        </w:rPr>
        <w:t>Berthing dues</w:t>
      </w:r>
      <w:bookmarkEnd w:id="33"/>
      <w:bookmarkEnd w:id="34"/>
      <w:bookmarkEnd w:id="35"/>
      <w:bookmarkEnd w:id="36"/>
      <w:bookmarkEnd w:id="37"/>
      <w:bookmarkEnd w:id="38"/>
      <w:bookmarkEnd w:id="39"/>
      <w:bookmarkEnd w:id="40"/>
      <w:r>
        <w:rPr>
          <w:rStyle w:val="CharDivText"/>
        </w:rPr>
        <w:t xml:space="preserve"> </w:t>
      </w:r>
    </w:p>
    <w:p>
      <w:pPr>
        <w:pStyle w:val="Footnoteheading"/>
        <w:keepNext/>
        <w:keepLines/>
      </w:pPr>
      <w:r>
        <w:tab/>
        <w:t xml:space="preserve">[Heading inserted in Gazette 19 May 1989 p. 1494.] </w:t>
      </w:r>
    </w:p>
    <w:p>
      <w:pPr>
        <w:pStyle w:val="Heading5"/>
      </w:pPr>
      <w:bookmarkStart w:id="41" w:name="_Toc486502868"/>
      <w:r>
        <w:rPr>
          <w:rStyle w:val="CharSectno"/>
        </w:rPr>
        <w:t>6</w:t>
      </w:r>
      <w:r>
        <w:t>.</w:t>
      </w:r>
      <w:r>
        <w:tab/>
        <w:t>Berthing dues</w:t>
      </w:r>
      <w:bookmarkEnd w:id="41"/>
    </w:p>
    <w:p>
      <w:pPr>
        <w:pStyle w:val="Subsection"/>
      </w:pPr>
      <w:r>
        <w:tab/>
        <w:t>(1)</w:t>
      </w:r>
      <w:r>
        <w:tab/>
        <w:t xml:space="preserve">In this regulation — </w:t>
      </w:r>
    </w:p>
    <w:p>
      <w:pPr>
        <w:pStyle w:val="Defstart"/>
      </w:pPr>
      <w:r>
        <w:tab/>
      </w:r>
      <w:r>
        <w:rPr>
          <w:rStyle w:val="CharDefText"/>
        </w:rPr>
        <w:t>berthing due</w:t>
      </w:r>
      <w:r>
        <w:t xml:space="preserve"> means a berthing due prescribed in a Schedule;</w:t>
      </w:r>
    </w:p>
    <w:p>
      <w:pPr>
        <w:pStyle w:val="Defstart"/>
      </w:pPr>
      <w:r>
        <w:tab/>
      </w:r>
      <w:r>
        <w:rPr>
          <w:rStyle w:val="CharDefText"/>
        </w:rPr>
        <w:t>catamaran pen</w:t>
      </w:r>
      <w:r>
        <w:t xml:space="preserve"> means a pen designed for a catamaran.</w:t>
      </w:r>
    </w:p>
    <w:p>
      <w:pPr>
        <w:pStyle w:val="Subsection"/>
      </w:pPr>
      <w:r>
        <w:tab/>
        <w:t>(2)</w:t>
      </w:r>
      <w:r>
        <w:tab/>
        <w:t>A berthing due prescribed in a Schedule is payable in respect of a vessel using a pen (except a catamaran pen), alongside berth or other jetty at a place specified in that Schedule.</w:t>
      </w:r>
    </w:p>
    <w:p>
      <w:pPr>
        <w:pStyle w:val="Subsection"/>
      </w:pPr>
      <w:r>
        <w:tab/>
        <w:t>(3)</w:t>
      </w:r>
      <w:r>
        <w:tab/>
        <w:t xml:space="preserve">The berthing due payable in respect of a catamaran pen at a place is calculated in accordance with the following formula — </w:t>
      </w:r>
    </w:p>
    <w:p>
      <w:pPr>
        <w:pStyle w:val="Subsection"/>
      </w:pPr>
      <w:r>
        <w:tab/>
      </w:r>
      <w:r>
        <w:tab/>
        <w:t>P × 1.5</w:t>
      </w:r>
    </w:p>
    <w:p>
      <w:pPr>
        <w:pStyle w:val="Subsection"/>
      </w:pPr>
      <w:r>
        <w:tab/>
      </w:r>
      <w:r>
        <w:tab/>
        <w:t xml:space="preserve">where — </w:t>
      </w:r>
    </w:p>
    <w:p>
      <w:pPr>
        <w:pStyle w:val="Subsection"/>
        <w:ind w:left="1440" w:hanging="1440"/>
      </w:pPr>
      <w:r>
        <w:tab/>
      </w:r>
      <w:r>
        <w:tab/>
        <w:t>P</w:t>
      </w:r>
      <w:r>
        <w:tab/>
        <w:t>is the berthing due for a pen (except a catamaran pen) at that place.</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in Gazette 25 Jul 2014 p. 2610-11; amended in Gazette 22 Jul 2015 p. 2952.]</w:t>
      </w:r>
    </w:p>
    <w:p>
      <w:pPr>
        <w:pStyle w:val="Heading5"/>
        <w:spacing w:before="240"/>
      </w:pPr>
      <w:bookmarkStart w:id="42" w:name="_Toc486502869"/>
      <w:r>
        <w:rPr>
          <w:rStyle w:val="CharSectno"/>
        </w:rPr>
        <w:t>6A</w:t>
      </w:r>
      <w:r>
        <w:t>.</w:t>
      </w:r>
      <w:r>
        <w:tab/>
        <w:t>Requirement to pay berthing dues</w:t>
      </w:r>
      <w:bookmarkEnd w:id="42"/>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 amended in Gazette 25 Jul 2014 p. 2611; 22 Jul 2015 p. 2952.]</w:t>
      </w:r>
    </w:p>
    <w:p>
      <w:pPr>
        <w:pStyle w:val="Heading5"/>
        <w:rPr>
          <w:snapToGrid w:val="0"/>
        </w:rPr>
      </w:pPr>
      <w:bookmarkStart w:id="43" w:name="_Toc486502870"/>
      <w:r>
        <w:rPr>
          <w:rStyle w:val="CharSectno"/>
        </w:rPr>
        <w:t>7</w:t>
      </w:r>
      <w:r>
        <w:rPr>
          <w:snapToGrid w:val="0"/>
        </w:rPr>
        <w:t>.</w:t>
      </w:r>
      <w:r>
        <w:rPr>
          <w:snapToGrid w:val="0"/>
        </w:rPr>
        <w:tab/>
        <w:t>Computation of berthing dues</w:t>
      </w:r>
      <w:bookmarkEnd w:id="43"/>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in Gazette 15 Jun 1973 p. 2237; amended in Gazette 19 May 1989 p. 1494.] </w:t>
      </w:r>
    </w:p>
    <w:p>
      <w:pPr>
        <w:pStyle w:val="Heading5"/>
        <w:spacing w:before="240"/>
        <w:rPr>
          <w:snapToGrid w:val="0"/>
        </w:rPr>
      </w:pPr>
      <w:bookmarkStart w:id="44" w:name="_Toc486502871"/>
      <w:r>
        <w:rPr>
          <w:rStyle w:val="CharSectno"/>
        </w:rPr>
        <w:t>8</w:t>
      </w:r>
      <w:r>
        <w:rPr>
          <w:snapToGrid w:val="0"/>
        </w:rPr>
        <w:t>.</w:t>
      </w:r>
      <w:r>
        <w:rPr>
          <w:snapToGrid w:val="0"/>
        </w:rPr>
        <w:tab/>
        <w:t>Inwards manifests</w:t>
      </w:r>
      <w:bookmarkEnd w:id="44"/>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45" w:name="_Toc486502872"/>
      <w:r>
        <w:rPr>
          <w:rStyle w:val="CharSectno"/>
        </w:rPr>
        <w:t>9</w:t>
      </w:r>
      <w:r>
        <w:rPr>
          <w:snapToGrid w:val="0"/>
        </w:rPr>
        <w:t>.</w:t>
      </w:r>
      <w:r>
        <w:rPr>
          <w:snapToGrid w:val="0"/>
        </w:rPr>
        <w:tab/>
        <w:t>Outwards manifests</w:t>
      </w:r>
      <w:bookmarkEnd w:id="45"/>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46" w:name="_Toc470188286"/>
      <w:bookmarkStart w:id="47" w:name="_Toc483481785"/>
      <w:bookmarkStart w:id="48" w:name="_Toc483493651"/>
      <w:bookmarkStart w:id="49" w:name="_Toc483552758"/>
      <w:bookmarkStart w:id="50" w:name="_Toc485378106"/>
      <w:bookmarkStart w:id="51" w:name="_Toc486502465"/>
      <w:bookmarkStart w:id="52" w:name="_Toc486502669"/>
      <w:bookmarkStart w:id="53" w:name="_Toc486502873"/>
      <w:r>
        <w:rPr>
          <w:rStyle w:val="CharDivNo"/>
        </w:rPr>
        <w:t>Division 4</w:t>
      </w:r>
      <w:r>
        <w:rPr>
          <w:snapToGrid w:val="0"/>
        </w:rPr>
        <w:t> — </w:t>
      </w:r>
      <w:r>
        <w:rPr>
          <w:rStyle w:val="CharDivText"/>
        </w:rPr>
        <w:t>Wharfage dues, handling and haulage charges</w:t>
      </w:r>
      <w:bookmarkEnd w:id="46"/>
      <w:bookmarkEnd w:id="47"/>
      <w:bookmarkEnd w:id="48"/>
      <w:bookmarkEnd w:id="49"/>
      <w:bookmarkEnd w:id="50"/>
      <w:bookmarkEnd w:id="51"/>
      <w:bookmarkEnd w:id="52"/>
      <w:bookmarkEnd w:id="53"/>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pPr>
      <w:r>
        <w:t>[</w:t>
      </w:r>
      <w:r>
        <w:rPr>
          <w:b/>
        </w:rPr>
        <w:t>10.</w:t>
      </w:r>
      <w:r>
        <w:tab/>
        <w:t>Disallowed (see Gazette 6 Sep 1940 p. 1622).]</w:t>
      </w:r>
    </w:p>
    <w:p>
      <w:pPr>
        <w:pStyle w:val="Heading5"/>
        <w:spacing w:before="180"/>
        <w:rPr>
          <w:snapToGrid w:val="0"/>
        </w:rPr>
      </w:pPr>
      <w:bookmarkStart w:id="54" w:name="_Toc486502874"/>
      <w:r>
        <w:rPr>
          <w:rStyle w:val="CharSectno"/>
        </w:rPr>
        <w:t>10A</w:t>
      </w:r>
      <w:r>
        <w:rPr>
          <w:snapToGrid w:val="0"/>
        </w:rPr>
        <w:t>.</w:t>
      </w:r>
      <w:r>
        <w:rPr>
          <w:snapToGrid w:val="0"/>
        </w:rPr>
        <w:tab/>
        <w:t>Payment of dues and charges</w:t>
      </w:r>
      <w:bookmarkEnd w:id="54"/>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22 Jul 2015 p. 2953.]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55" w:name="_Toc486502875"/>
      <w:r>
        <w:rPr>
          <w:rStyle w:val="CharSectno"/>
        </w:rPr>
        <w:t>11</w:t>
      </w:r>
      <w:r>
        <w:rPr>
          <w:snapToGrid w:val="0"/>
        </w:rPr>
        <w:t>.</w:t>
      </w:r>
      <w:r>
        <w:rPr>
          <w:snapToGrid w:val="0"/>
        </w:rPr>
        <w:tab/>
        <w:t>Charges for transhipment cargo</w:t>
      </w:r>
      <w:bookmarkEnd w:id="55"/>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in Gazette 24 Nov 1972 p. 4487.] </w:t>
      </w:r>
    </w:p>
    <w:p>
      <w:pPr>
        <w:pStyle w:val="Heading5"/>
        <w:rPr>
          <w:snapToGrid w:val="0"/>
        </w:rPr>
      </w:pPr>
      <w:bookmarkStart w:id="56" w:name="_Toc486502876"/>
      <w:r>
        <w:rPr>
          <w:rStyle w:val="CharSectno"/>
        </w:rPr>
        <w:t>11B</w:t>
      </w:r>
      <w:r>
        <w:rPr>
          <w:snapToGrid w:val="0"/>
        </w:rPr>
        <w:t>.</w:t>
      </w:r>
      <w:r>
        <w:rPr>
          <w:snapToGrid w:val="0"/>
        </w:rPr>
        <w:tab/>
        <w:t>Charges on vessels’ stores, including fuel oil</w:t>
      </w:r>
      <w:bookmarkEnd w:id="56"/>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57" w:name="_Toc486502877"/>
      <w:r>
        <w:rPr>
          <w:rStyle w:val="CharSectno"/>
        </w:rPr>
        <w:t>12</w:t>
      </w:r>
      <w:r>
        <w:rPr>
          <w:snapToGrid w:val="0"/>
        </w:rPr>
        <w:t>.</w:t>
      </w:r>
      <w:r>
        <w:rPr>
          <w:snapToGrid w:val="0"/>
        </w:rPr>
        <w:tab/>
        <w:t>Charges to be paid before delivery of cargo</w:t>
      </w:r>
      <w:bookmarkEnd w:id="57"/>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58" w:name="_Toc486502878"/>
      <w:r>
        <w:rPr>
          <w:rStyle w:val="CharSectno"/>
        </w:rPr>
        <w:t>13</w:t>
      </w:r>
      <w:r>
        <w:rPr>
          <w:snapToGrid w:val="0"/>
        </w:rPr>
        <w:t>.</w:t>
      </w:r>
      <w:r>
        <w:rPr>
          <w:snapToGrid w:val="0"/>
        </w:rPr>
        <w:tab/>
        <w:t>Extra charges</w:t>
      </w:r>
      <w:bookmarkEnd w:id="58"/>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59" w:name="_Toc470188292"/>
      <w:bookmarkStart w:id="60" w:name="_Toc483481791"/>
      <w:bookmarkStart w:id="61" w:name="_Toc483493657"/>
      <w:bookmarkStart w:id="62" w:name="_Toc483552764"/>
      <w:bookmarkStart w:id="63" w:name="_Toc485378112"/>
      <w:bookmarkStart w:id="64" w:name="_Toc486502471"/>
      <w:bookmarkStart w:id="65" w:name="_Toc486502675"/>
      <w:bookmarkStart w:id="66" w:name="_Toc486502879"/>
      <w:r>
        <w:rPr>
          <w:rStyle w:val="CharDivNo"/>
        </w:rPr>
        <w:t>Division 5</w:t>
      </w:r>
      <w:r>
        <w:rPr>
          <w:snapToGrid w:val="0"/>
        </w:rPr>
        <w:t> — </w:t>
      </w:r>
      <w:r>
        <w:rPr>
          <w:rStyle w:val="CharDivText"/>
        </w:rPr>
        <w:t>Handling of cargo</w:t>
      </w:r>
      <w:bookmarkEnd w:id="59"/>
      <w:bookmarkEnd w:id="60"/>
      <w:bookmarkEnd w:id="61"/>
      <w:bookmarkEnd w:id="62"/>
      <w:bookmarkEnd w:id="63"/>
      <w:bookmarkEnd w:id="64"/>
      <w:bookmarkEnd w:id="65"/>
      <w:bookmarkEnd w:id="66"/>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67" w:name="_Toc486502880"/>
      <w:r>
        <w:rPr>
          <w:rStyle w:val="CharSectno"/>
        </w:rPr>
        <w:t>14</w:t>
      </w:r>
      <w:r>
        <w:rPr>
          <w:snapToGrid w:val="0"/>
        </w:rPr>
        <w:t>.</w:t>
      </w:r>
      <w:r>
        <w:rPr>
          <w:snapToGrid w:val="0"/>
        </w:rPr>
        <w:tab/>
        <w:t>Cargo not to be placed on jetties or premises without authority</w:t>
      </w:r>
      <w:bookmarkEnd w:id="67"/>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in Gazette 3 Nov 1950 p. 2461; 19 May 1989 p. 1495.] </w:t>
      </w:r>
    </w:p>
    <w:p>
      <w:pPr>
        <w:pStyle w:val="Heading5"/>
        <w:spacing w:before="180"/>
        <w:rPr>
          <w:snapToGrid w:val="0"/>
        </w:rPr>
      </w:pPr>
      <w:bookmarkStart w:id="68" w:name="_Toc486502881"/>
      <w:r>
        <w:rPr>
          <w:rStyle w:val="CharSectno"/>
        </w:rPr>
        <w:t>15</w:t>
      </w:r>
      <w:r>
        <w:rPr>
          <w:snapToGrid w:val="0"/>
        </w:rPr>
        <w:t>.</w:t>
      </w:r>
      <w:r>
        <w:rPr>
          <w:snapToGrid w:val="0"/>
        </w:rPr>
        <w:tab/>
        <w:t>Discharging of cargo may be stopped</w:t>
      </w:r>
      <w:bookmarkEnd w:id="68"/>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in Gazette 19 May 1989 p. 1495.] </w:t>
      </w:r>
    </w:p>
    <w:p>
      <w:pPr>
        <w:pStyle w:val="Heading5"/>
        <w:keepNext w:val="0"/>
        <w:keepLines w:val="0"/>
        <w:spacing w:before="180"/>
        <w:rPr>
          <w:snapToGrid w:val="0"/>
        </w:rPr>
      </w:pPr>
      <w:bookmarkStart w:id="69" w:name="_Toc486502882"/>
      <w:r>
        <w:rPr>
          <w:rStyle w:val="CharSectno"/>
        </w:rPr>
        <w:t>16</w:t>
      </w:r>
      <w:r>
        <w:rPr>
          <w:snapToGrid w:val="0"/>
        </w:rPr>
        <w:t>.</w:t>
      </w:r>
      <w:r>
        <w:rPr>
          <w:snapToGrid w:val="0"/>
        </w:rPr>
        <w:tab/>
        <w:t>Goods not to be shifted without authority</w:t>
      </w:r>
      <w:bookmarkEnd w:id="69"/>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in Gazette 19 May 1989 p. 1495.] </w:t>
      </w:r>
    </w:p>
    <w:p>
      <w:pPr>
        <w:pStyle w:val="Heading5"/>
        <w:keepLines w:val="0"/>
        <w:spacing w:before="180"/>
        <w:rPr>
          <w:snapToGrid w:val="0"/>
        </w:rPr>
      </w:pPr>
      <w:bookmarkStart w:id="70" w:name="_Toc486502883"/>
      <w:r>
        <w:rPr>
          <w:rStyle w:val="CharSectno"/>
        </w:rPr>
        <w:t>17</w:t>
      </w:r>
      <w:r>
        <w:rPr>
          <w:snapToGrid w:val="0"/>
        </w:rPr>
        <w:t>.</w:t>
      </w:r>
      <w:r>
        <w:rPr>
          <w:snapToGrid w:val="0"/>
        </w:rPr>
        <w:tab/>
        <w:t>Bulk cargo not to be deposited without authority</w:t>
      </w:r>
      <w:bookmarkEnd w:id="70"/>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in Gazette 19 May 1989 p. 1495.] </w:t>
      </w:r>
    </w:p>
    <w:p>
      <w:pPr>
        <w:pStyle w:val="Heading5"/>
        <w:spacing w:before="180"/>
        <w:rPr>
          <w:snapToGrid w:val="0"/>
        </w:rPr>
      </w:pPr>
      <w:bookmarkStart w:id="71" w:name="_Toc486502884"/>
      <w:r>
        <w:rPr>
          <w:rStyle w:val="CharSectno"/>
        </w:rPr>
        <w:t>18</w:t>
      </w:r>
      <w:r>
        <w:rPr>
          <w:snapToGrid w:val="0"/>
        </w:rPr>
        <w:t>.</w:t>
      </w:r>
      <w:r>
        <w:rPr>
          <w:snapToGrid w:val="0"/>
        </w:rPr>
        <w:tab/>
        <w:t>Outward cargo advice notes</w:t>
      </w:r>
      <w:bookmarkEnd w:id="71"/>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spacing w:before="180"/>
        <w:rPr>
          <w:snapToGrid w:val="0"/>
        </w:rPr>
      </w:pPr>
      <w:bookmarkStart w:id="72" w:name="_Toc486502885"/>
      <w:r>
        <w:rPr>
          <w:rStyle w:val="CharSectno"/>
        </w:rPr>
        <w:t>19</w:t>
      </w:r>
      <w:r>
        <w:rPr>
          <w:snapToGrid w:val="0"/>
        </w:rPr>
        <w:t>.</w:t>
      </w:r>
      <w:r>
        <w:rPr>
          <w:snapToGrid w:val="0"/>
        </w:rPr>
        <w:tab/>
        <w:t>Outward cargo</w:t>
      </w:r>
      <w:bookmarkEnd w:id="72"/>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spacing w:before="180"/>
        <w:rPr>
          <w:snapToGrid w:val="0"/>
        </w:rPr>
      </w:pPr>
      <w:bookmarkStart w:id="73" w:name="_Toc486502886"/>
      <w:r>
        <w:rPr>
          <w:rStyle w:val="CharSectno"/>
        </w:rPr>
        <w:t>20</w:t>
      </w:r>
      <w:r>
        <w:rPr>
          <w:snapToGrid w:val="0"/>
        </w:rPr>
        <w:t>.</w:t>
      </w:r>
      <w:r>
        <w:rPr>
          <w:snapToGrid w:val="0"/>
        </w:rPr>
        <w:tab/>
        <w:t>Dangerous cargo not to be shipped without permission</w:t>
      </w:r>
      <w:bookmarkEnd w:id="73"/>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spacing w:before="180"/>
        <w:rPr>
          <w:snapToGrid w:val="0"/>
        </w:rPr>
      </w:pPr>
      <w:bookmarkStart w:id="74" w:name="_Toc486502887"/>
      <w:r>
        <w:rPr>
          <w:rStyle w:val="CharSectno"/>
        </w:rPr>
        <w:t>21</w:t>
      </w:r>
      <w:r>
        <w:rPr>
          <w:snapToGrid w:val="0"/>
        </w:rPr>
        <w:t>.</w:t>
      </w:r>
      <w:r>
        <w:rPr>
          <w:snapToGrid w:val="0"/>
        </w:rPr>
        <w:tab/>
        <w:t>Dangerous cargo may be refused or examined</w:t>
      </w:r>
      <w:bookmarkEnd w:id="74"/>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in Gazette 19 May 1989 p. 1495.] </w:t>
      </w:r>
    </w:p>
    <w:p>
      <w:pPr>
        <w:pStyle w:val="Heading5"/>
        <w:spacing w:before="180"/>
        <w:rPr>
          <w:snapToGrid w:val="0"/>
        </w:rPr>
      </w:pPr>
      <w:bookmarkStart w:id="75" w:name="_Toc486502888"/>
      <w:r>
        <w:rPr>
          <w:rStyle w:val="CharSectno"/>
        </w:rPr>
        <w:t>22</w:t>
      </w:r>
      <w:r>
        <w:rPr>
          <w:snapToGrid w:val="0"/>
        </w:rPr>
        <w:t>.</w:t>
      </w:r>
      <w:r>
        <w:rPr>
          <w:snapToGrid w:val="0"/>
        </w:rPr>
        <w:tab/>
        <w:t>Marking of heavy packages</w:t>
      </w:r>
      <w:bookmarkEnd w:id="75"/>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in Gazette 15 Jun 1973 p. 2237; 19 May 1989 p. 1495.] </w:t>
      </w:r>
    </w:p>
    <w:p>
      <w:pPr>
        <w:pStyle w:val="Heading5"/>
        <w:rPr>
          <w:snapToGrid w:val="0"/>
        </w:rPr>
      </w:pPr>
      <w:bookmarkStart w:id="76" w:name="_Toc486502889"/>
      <w:r>
        <w:rPr>
          <w:rStyle w:val="CharSectno"/>
        </w:rPr>
        <w:t>23</w:t>
      </w:r>
      <w:r>
        <w:rPr>
          <w:snapToGrid w:val="0"/>
        </w:rPr>
        <w:t>.</w:t>
      </w:r>
      <w:r>
        <w:rPr>
          <w:snapToGrid w:val="0"/>
        </w:rPr>
        <w:tab/>
        <w:t>False statements</w:t>
      </w:r>
      <w:bookmarkEnd w:id="76"/>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rPr>
          <w:snapToGrid w:val="0"/>
        </w:rPr>
      </w:pPr>
      <w:bookmarkStart w:id="77" w:name="_Toc470188303"/>
      <w:bookmarkStart w:id="78" w:name="_Toc483481802"/>
      <w:bookmarkStart w:id="79" w:name="_Toc483493668"/>
      <w:bookmarkStart w:id="80" w:name="_Toc483552775"/>
      <w:bookmarkStart w:id="81" w:name="_Toc485378123"/>
      <w:bookmarkStart w:id="82" w:name="_Toc486502482"/>
      <w:bookmarkStart w:id="83" w:name="_Toc486502686"/>
      <w:bookmarkStart w:id="84" w:name="_Toc486502890"/>
      <w:r>
        <w:rPr>
          <w:rStyle w:val="CharDivNo"/>
        </w:rPr>
        <w:t>Division 6</w:t>
      </w:r>
      <w:r>
        <w:rPr>
          <w:snapToGrid w:val="0"/>
        </w:rPr>
        <w:t> — </w:t>
      </w:r>
      <w:r>
        <w:rPr>
          <w:rStyle w:val="CharDivText"/>
        </w:rPr>
        <w:t>Receipt, delivery and storage of cargo</w:t>
      </w:r>
      <w:bookmarkEnd w:id="77"/>
      <w:bookmarkEnd w:id="78"/>
      <w:bookmarkEnd w:id="79"/>
      <w:bookmarkEnd w:id="80"/>
      <w:bookmarkEnd w:id="81"/>
      <w:bookmarkEnd w:id="82"/>
      <w:bookmarkEnd w:id="83"/>
      <w:bookmarkEnd w:id="84"/>
      <w:r>
        <w:rPr>
          <w:rStyle w:val="CharDivText"/>
        </w:rPr>
        <w:t xml:space="preserve"> </w:t>
      </w:r>
    </w:p>
    <w:p>
      <w:pPr>
        <w:pStyle w:val="Footnoteheading"/>
      </w:pPr>
      <w:r>
        <w:tab/>
        <w:t xml:space="preserve">[Heading inserted in Gazette 19 May 1989 p. 1494.] </w:t>
      </w:r>
    </w:p>
    <w:p>
      <w:pPr>
        <w:pStyle w:val="Heading5"/>
        <w:spacing w:before="160"/>
        <w:rPr>
          <w:snapToGrid w:val="0"/>
        </w:rPr>
      </w:pPr>
      <w:bookmarkStart w:id="85" w:name="_Toc486502891"/>
      <w:r>
        <w:rPr>
          <w:rStyle w:val="CharSectno"/>
        </w:rPr>
        <w:t>24</w:t>
      </w:r>
      <w:r>
        <w:rPr>
          <w:snapToGrid w:val="0"/>
        </w:rPr>
        <w:t>.</w:t>
      </w:r>
      <w:r>
        <w:rPr>
          <w:snapToGrid w:val="0"/>
        </w:rPr>
        <w:tab/>
        <w:t>Removal of cargo</w:t>
      </w:r>
      <w:bookmarkEnd w:id="85"/>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86" w:name="_Toc486502892"/>
      <w:r>
        <w:rPr>
          <w:rStyle w:val="CharSectno"/>
        </w:rPr>
        <w:t>25</w:t>
      </w:r>
      <w:r>
        <w:rPr>
          <w:snapToGrid w:val="0"/>
        </w:rPr>
        <w:t>.</w:t>
      </w:r>
      <w:r>
        <w:rPr>
          <w:snapToGrid w:val="0"/>
        </w:rPr>
        <w:tab/>
        <w:t>Storage charges</w:t>
      </w:r>
      <w:bookmarkEnd w:id="86"/>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in Gazette 19 Oct 1973 p. 3818; amended in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in Gazette 24 Nov 1972 p. 4487.] </w:t>
      </w:r>
    </w:p>
    <w:p>
      <w:pPr>
        <w:pStyle w:val="Heading5"/>
        <w:pageBreakBefore/>
        <w:spacing w:before="0"/>
        <w:rPr>
          <w:snapToGrid w:val="0"/>
        </w:rPr>
      </w:pPr>
      <w:bookmarkStart w:id="87" w:name="_Toc486502893"/>
      <w:r>
        <w:rPr>
          <w:rStyle w:val="CharSectno"/>
        </w:rPr>
        <w:t>26</w:t>
      </w:r>
      <w:r>
        <w:rPr>
          <w:snapToGrid w:val="0"/>
        </w:rPr>
        <w:t>.</w:t>
      </w:r>
      <w:r>
        <w:rPr>
          <w:snapToGrid w:val="0"/>
        </w:rPr>
        <w:tab/>
        <w:t>Department not bound to find storage accommodation</w:t>
      </w:r>
      <w:bookmarkEnd w:id="87"/>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88" w:name="_Toc486502894"/>
      <w:r>
        <w:rPr>
          <w:rStyle w:val="CharSectno"/>
        </w:rPr>
        <w:t>27</w:t>
      </w:r>
      <w:r>
        <w:rPr>
          <w:snapToGrid w:val="0"/>
        </w:rPr>
        <w:t>.</w:t>
      </w:r>
      <w:r>
        <w:rPr>
          <w:snapToGrid w:val="0"/>
        </w:rPr>
        <w:tab/>
        <w:t>Goods may be disposed of</w:t>
      </w:r>
      <w:bookmarkEnd w:id="88"/>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89" w:name="_Toc486502895"/>
      <w:r>
        <w:rPr>
          <w:rStyle w:val="CharSectno"/>
        </w:rPr>
        <w:t>28</w:t>
      </w:r>
      <w:r>
        <w:rPr>
          <w:snapToGrid w:val="0"/>
        </w:rPr>
        <w:t>.</w:t>
      </w:r>
      <w:r>
        <w:rPr>
          <w:snapToGrid w:val="0"/>
        </w:rPr>
        <w:tab/>
        <w:t>Goods to be checked before delivery</w:t>
      </w:r>
      <w:bookmarkEnd w:id="89"/>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90" w:name="_Toc486502896"/>
      <w:r>
        <w:rPr>
          <w:rStyle w:val="CharSectno"/>
        </w:rPr>
        <w:t>29</w:t>
      </w:r>
      <w:r>
        <w:rPr>
          <w:snapToGrid w:val="0"/>
        </w:rPr>
        <w:t>.</w:t>
      </w:r>
      <w:r>
        <w:rPr>
          <w:snapToGrid w:val="0"/>
        </w:rPr>
        <w:tab/>
        <w:t>Delay in delivery</w:t>
      </w:r>
      <w:bookmarkEnd w:id="90"/>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91" w:name="_Toc486502897"/>
      <w:r>
        <w:rPr>
          <w:rStyle w:val="CharSectno"/>
        </w:rPr>
        <w:t>30</w:t>
      </w:r>
      <w:r>
        <w:rPr>
          <w:snapToGrid w:val="0"/>
        </w:rPr>
        <w:t>.</w:t>
      </w:r>
      <w:r>
        <w:rPr>
          <w:snapToGrid w:val="0"/>
        </w:rPr>
        <w:tab/>
        <w:t>Wrong delivery</w:t>
      </w:r>
      <w:bookmarkEnd w:id="91"/>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92" w:name="_Toc470188311"/>
      <w:bookmarkStart w:id="93" w:name="_Toc483481810"/>
      <w:bookmarkStart w:id="94" w:name="_Toc483493676"/>
      <w:bookmarkStart w:id="95" w:name="_Toc483552783"/>
      <w:bookmarkStart w:id="96" w:name="_Toc485378131"/>
      <w:bookmarkStart w:id="97" w:name="_Toc486502490"/>
      <w:bookmarkStart w:id="98" w:name="_Toc486502694"/>
      <w:bookmarkStart w:id="99" w:name="_Toc486502898"/>
      <w:r>
        <w:rPr>
          <w:rStyle w:val="CharDivNo"/>
        </w:rPr>
        <w:t>Division 7</w:t>
      </w:r>
      <w:r>
        <w:rPr>
          <w:snapToGrid w:val="0"/>
        </w:rPr>
        <w:t> — </w:t>
      </w:r>
      <w:r>
        <w:rPr>
          <w:rStyle w:val="CharDivText"/>
        </w:rPr>
        <w:t>Responsibility of Department</w:t>
      </w:r>
      <w:bookmarkEnd w:id="92"/>
      <w:bookmarkEnd w:id="93"/>
      <w:bookmarkEnd w:id="94"/>
      <w:bookmarkEnd w:id="95"/>
      <w:bookmarkEnd w:id="96"/>
      <w:bookmarkEnd w:id="97"/>
      <w:bookmarkEnd w:id="98"/>
      <w:bookmarkEnd w:id="99"/>
      <w:r>
        <w:rPr>
          <w:rStyle w:val="CharDivText"/>
        </w:rPr>
        <w:t xml:space="preserve"> </w:t>
      </w:r>
    </w:p>
    <w:p>
      <w:pPr>
        <w:pStyle w:val="Footnoteheading"/>
      </w:pPr>
      <w:r>
        <w:tab/>
        <w:t xml:space="preserve">[Heading inserted in Gazette of 19 May 1989 p. 1494.] </w:t>
      </w:r>
    </w:p>
    <w:p>
      <w:pPr>
        <w:pStyle w:val="Heading5"/>
        <w:spacing w:before="180"/>
        <w:rPr>
          <w:snapToGrid w:val="0"/>
        </w:rPr>
      </w:pPr>
      <w:bookmarkStart w:id="100" w:name="_Toc486502899"/>
      <w:r>
        <w:rPr>
          <w:rStyle w:val="CharSectno"/>
        </w:rPr>
        <w:t>31</w:t>
      </w:r>
      <w:r>
        <w:rPr>
          <w:snapToGrid w:val="0"/>
        </w:rPr>
        <w:t>.</w:t>
      </w:r>
      <w:r>
        <w:rPr>
          <w:snapToGrid w:val="0"/>
        </w:rPr>
        <w:tab/>
        <w:t>Custody of cargo</w:t>
      </w:r>
      <w:bookmarkEnd w:id="100"/>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spacing w:before="180"/>
        <w:rPr>
          <w:snapToGrid w:val="0"/>
        </w:rPr>
      </w:pPr>
      <w:bookmarkStart w:id="101" w:name="_Toc486502900"/>
      <w:r>
        <w:rPr>
          <w:rStyle w:val="CharSectno"/>
        </w:rPr>
        <w:t>32</w:t>
      </w:r>
      <w:r>
        <w:rPr>
          <w:snapToGrid w:val="0"/>
        </w:rPr>
        <w:t>.</w:t>
      </w:r>
      <w:r>
        <w:rPr>
          <w:snapToGrid w:val="0"/>
        </w:rPr>
        <w:tab/>
        <w:t>Goods without receipts</w:t>
      </w:r>
      <w:bookmarkEnd w:id="101"/>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spacing w:before="180"/>
        <w:rPr>
          <w:snapToGrid w:val="0"/>
        </w:rPr>
      </w:pPr>
      <w:bookmarkStart w:id="102" w:name="_Toc486502901"/>
      <w:r>
        <w:rPr>
          <w:rStyle w:val="CharSectno"/>
        </w:rPr>
        <w:t>33</w:t>
      </w:r>
      <w:r>
        <w:rPr>
          <w:snapToGrid w:val="0"/>
        </w:rPr>
        <w:t>.</w:t>
      </w:r>
      <w:r>
        <w:rPr>
          <w:snapToGrid w:val="0"/>
        </w:rPr>
        <w:tab/>
        <w:t>Goods stacked on jetties</w:t>
      </w:r>
      <w:bookmarkEnd w:id="102"/>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03" w:name="_Toc486502902"/>
      <w:r>
        <w:rPr>
          <w:rStyle w:val="CharSectno"/>
        </w:rPr>
        <w:t>34</w:t>
      </w:r>
      <w:r>
        <w:rPr>
          <w:snapToGrid w:val="0"/>
        </w:rPr>
        <w:t>.</w:t>
      </w:r>
      <w:r>
        <w:rPr>
          <w:snapToGrid w:val="0"/>
        </w:rPr>
        <w:tab/>
        <w:t>Cargo damaged by fire etc.</w:t>
      </w:r>
      <w:bookmarkEnd w:id="103"/>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104" w:name="_Toc486502903"/>
      <w:r>
        <w:rPr>
          <w:rStyle w:val="CharSectno"/>
        </w:rPr>
        <w:t>35</w:t>
      </w:r>
      <w:r>
        <w:rPr>
          <w:snapToGrid w:val="0"/>
        </w:rPr>
        <w:t>.</w:t>
      </w:r>
      <w:r>
        <w:rPr>
          <w:snapToGrid w:val="0"/>
        </w:rPr>
        <w:tab/>
        <w:t>Goods insufficiently packed</w:t>
      </w:r>
      <w:bookmarkEnd w:id="104"/>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105" w:name="_Toc486502904"/>
      <w:r>
        <w:rPr>
          <w:rStyle w:val="CharSectno"/>
        </w:rPr>
        <w:t>36</w:t>
      </w:r>
      <w:r>
        <w:rPr>
          <w:snapToGrid w:val="0"/>
        </w:rPr>
        <w:t>.</w:t>
      </w:r>
      <w:r>
        <w:rPr>
          <w:snapToGrid w:val="0"/>
        </w:rPr>
        <w:tab/>
        <w:t>Claims in respect of cargo</w:t>
      </w:r>
      <w:bookmarkEnd w:id="105"/>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spacing w:before="180"/>
        <w:rPr>
          <w:snapToGrid w:val="0"/>
        </w:rPr>
      </w:pPr>
      <w:bookmarkStart w:id="106" w:name="_Toc470188318"/>
      <w:bookmarkStart w:id="107" w:name="_Toc483481817"/>
      <w:bookmarkStart w:id="108" w:name="_Toc483493683"/>
      <w:bookmarkStart w:id="109" w:name="_Toc483552790"/>
      <w:bookmarkStart w:id="110" w:name="_Toc485378138"/>
      <w:bookmarkStart w:id="111" w:name="_Toc486502497"/>
      <w:bookmarkStart w:id="112" w:name="_Toc486502701"/>
      <w:bookmarkStart w:id="113" w:name="_Toc486502905"/>
      <w:r>
        <w:rPr>
          <w:rStyle w:val="CharDivNo"/>
        </w:rPr>
        <w:t>Division 8</w:t>
      </w:r>
      <w:r>
        <w:rPr>
          <w:snapToGrid w:val="0"/>
        </w:rPr>
        <w:t> — </w:t>
      </w:r>
      <w:r>
        <w:rPr>
          <w:rStyle w:val="CharDivText"/>
        </w:rPr>
        <w:t>Working hours</w:t>
      </w:r>
      <w:bookmarkEnd w:id="106"/>
      <w:bookmarkEnd w:id="107"/>
      <w:bookmarkEnd w:id="108"/>
      <w:bookmarkEnd w:id="109"/>
      <w:bookmarkEnd w:id="110"/>
      <w:bookmarkEnd w:id="111"/>
      <w:bookmarkEnd w:id="112"/>
      <w:bookmarkEnd w:id="113"/>
      <w:r>
        <w:rPr>
          <w:rStyle w:val="CharDivText"/>
        </w:rPr>
        <w:t xml:space="preserve"> </w:t>
      </w:r>
    </w:p>
    <w:p>
      <w:pPr>
        <w:pStyle w:val="Footnoteheading"/>
        <w:keepNext/>
        <w:keepLines/>
      </w:pPr>
      <w:r>
        <w:tab/>
        <w:t xml:space="preserve">[Heading inserted in Gazette 19 May 1989 p. 1494.] </w:t>
      </w:r>
    </w:p>
    <w:p>
      <w:pPr>
        <w:pStyle w:val="Heading5"/>
        <w:spacing w:before="180"/>
        <w:rPr>
          <w:snapToGrid w:val="0"/>
        </w:rPr>
      </w:pPr>
      <w:bookmarkStart w:id="114" w:name="_Toc486502906"/>
      <w:r>
        <w:rPr>
          <w:rStyle w:val="CharSectno"/>
        </w:rPr>
        <w:t>37</w:t>
      </w:r>
      <w:r>
        <w:rPr>
          <w:snapToGrid w:val="0"/>
        </w:rPr>
        <w:t>.</w:t>
      </w:r>
      <w:r>
        <w:rPr>
          <w:snapToGrid w:val="0"/>
        </w:rPr>
        <w:tab/>
        <w:t>Ordinary time</w:t>
      </w:r>
      <w:bookmarkEnd w:id="114"/>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spacing w:before="180"/>
        <w:rPr>
          <w:snapToGrid w:val="0"/>
        </w:rPr>
      </w:pPr>
      <w:bookmarkStart w:id="115" w:name="_Toc486502907"/>
      <w:r>
        <w:rPr>
          <w:rStyle w:val="CharSectno"/>
        </w:rPr>
        <w:t>38</w:t>
      </w:r>
      <w:r>
        <w:rPr>
          <w:snapToGrid w:val="0"/>
        </w:rPr>
        <w:t>.</w:t>
      </w:r>
      <w:r>
        <w:rPr>
          <w:snapToGrid w:val="0"/>
        </w:rPr>
        <w:tab/>
        <w:t>Overtime</w:t>
      </w:r>
      <w:bookmarkEnd w:id="115"/>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spacing w:before="180"/>
        <w:rPr>
          <w:snapToGrid w:val="0"/>
        </w:rPr>
      </w:pPr>
      <w:bookmarkStart w:id="116" w:name="_Toc486502908"/>
      <w:r>
        <w:rPr>
          <w:rStyle w:val="CharSectno"/>
        </w:rPr>
        <w:t>38A</w:t>
      </w:r>
      <w:r>
        <w:rPr>
          <w:snapToGrid w:val="0"/>
        </w:rPr>
        <w:t>.</w:t>
      </w:r>
      <w:r>
        <w:rPr>
          <w:snapToGrid w:val="0"/>
        </w:rPr>
        <w:tab/>
        <w:t>Wages incurred through ships’ delays to be paid for</w:t>
      </w:r>
      <w:bookmarkEnd w:id="116"/>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in Gazette 12 Jul 1957 p. 2271; amended in Gazette 19 May 1989 p. 1495.] </w:t>
      </w:r>
    </w:p>
    <w:p>
      <w:pPr>
        <w:pStyle w:val="Heading5"/>
        <w:rPr>
          <w:snapToGrid w:val="0"/>
        </w:rPr>
      </w:pPr>
      <w:bookmarkStart w:id="117" w:name="_Toc486502909"/>
      <w:r>
        <w:rPr>
          <w:rStyle w:val="CharSectno"/>
        </w:rPr>
        <w:t>39</w:t>
      </w:r>
      <w:r>
        <w:rPr>
          <w:snapToGrid w:val="0"/>
        </w:rPr>
        <w:t>.</w:t>
      </w:r>
      <w:r>
        <w:rPr>
          <w:snapToGrid w:val="0"/>
        </w:rPr>
        <w:tab/>
        <w:t>Master to give notice of desire to work</w:t>
      </w:r>
      <w:bookmarkEnd w:id="117"/>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118" w:name="_Toc470188323"/>
      <w:bookmarkStart w:id="119" w:name="_Toc483481822"/>
      <w:bookmarkStart w:id="120" w:name="_Toc483493688"/>
      <w:bookmarkStart w:id="121" w:name="_Toc483552795"/>
      <w:bookmarkStart w:id="122" w:name="_Toc485378143"/>
      <w:bookmarkStart w:id="123" w:name="_Toc486502502"/>
      <w:bookmarkStart w:id="124" w:name="_Toc486502706"/>
      <w:bookmarkStart w:id="125" w:name="_Toc486502910"/>
      <w:r>
        <w:rPr>
          <w:rStyle w:val="CharDivNo"/>
        </w:rPr>
        <w:t>Division 9</w:t>
      </w:r>
      <w:r>
        <w:rPr>
          <w:snapToGrid w:val="0"/>
        </w:rPr>
        <w:t> — </w:t>
      </w:r>
      <w:r>
        <w:rPr>
          <w:rStyle w:val="CharDivText"/>
        </w:rPr>
        <w:t>Livestock or vehicles on jetties or premises</w:t>
      </w:r>
      <w:bookmarkEnd w:id="118"/>
      <w:bookmarkEnd w:id="119"/>
      <w:bookmarkEnd w:id="120"/>
      <w:bookmarkEnd w:id="121"/>
      <w:bookmarkEnd w:id="122"/>
      <w:bookmarkEnd w:id="123"/>
      <w:bookmarkEnd w:id="124"/>
      <w:bookmarkEnd w:id="125"/>
      <w:r>
        <w:rPr>
          <w:rStyle w:val="CharDivText"/>
        </w:rPr>
        <w:t xml:space="preserve"> </w:t>
      </w:r>
    </w:p>
    <w:p>
      <w:pPr>
        <w:pStyle w:val="Footnoteheading"/>
      </w:pPr>
      <w:r>
        <w:tab/>
        <w:t xml:space="preserve">[Heading inserted in Gazette 19 May 1989 p. 1494.] </w:t>
      </w:r>
    </w:p>
    <w:p>
      <w:pPr>
        <w:pStyle w:val="Heading5"/>
        <w:rPr>
          <w:snapToGrid w:val="0"/>
        </w:rPr>
      </w:pPr>
      <w:bookmarkStart w:id="126" w:name="_Toc486502911"/>
      <w:r>
        <w:rPr>
          <w:rStyle w:val="CharSectno"/>
        </w:rPr>
        <w:t>40</w:t>
      </w:r>
      <w:r>
        <w:rPr>
          <w:snapToGrid w:val="0"/>
        </w:rPr>
        <w:t>.</w:t>
      </w:r>
      <w:r>
        <w:rPr>
          <w:snapToGrid w:val="0"/>
        </w:rPr>
        <w:tab/>
        <w:t>Livestock on jetties or premises</w:t>
      </w:r>
      <w:bookmarkEnd w:id="126"/>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127" w:name="_Toc486502912"/>
      <w:r>
        <w:rPr>
          <w:rStyle w:val="CharSectno"/>
        </w:rPr>
        <w:t>41</w:t>
      </w:r>
      <w:r>
        <w:rPr>
          <w:snapToGrid w:val="0"/>
        </w:rPr>
        <w:t>.</w:t>
      </w:r>
      <w:r>
        <w:rPr>
          <w:snapToGrid w:val="0"/>
        </w:rPr>
        <w:tab/>
        <w:t>Riding vehicles etc. on jetties or premises</w:t>
      </w:r>
      <w:bookmarkEnd w:id="127"/>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128" w:name="_Toc486502913"/>
      <w:r>
        <w:rPr>
          <w:rStyle w:val="CharSectno"/>
        </w:rPr>
        <w:t>41A</w:t>
      </w:r>
      <w:r>
        <w:rPr>
          <w:snapToGrid w:val="0"/>
        </w:rPr>
        <w:t>.</w:t>
      </w:r>
      <w:r>
        <w:rPr>
          <w:snapToGrid w:val="0"/>
        </w:rPr>
        <w:tab/>
        <w:t>Vehicles not to be parked on jetties</w:t>
      </w:r>
      <w:bookmarkEnd w:id="128"/>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in Gazette 17 Mar 1960 p. 779; amended in Gazette 19 May 1989 p. 1495.] </w:t>
      </w:r>
    </w:p>
    <w:p>
      <w:pPr>
        <w:pStyle w:val="Heading5"/>
        <w:rPr>
          <w:snapToGrid w:val="0"/>
        </w:rPr>
      </w:pPr>
      <w:bookmarkStart w:id="129" w:name="_Toc486502914"/>
      <w:r>
        <w:rPr>
          <w:rStyle w:val="CharSectno"/>
        </w:rPr>
        <w:t>41B</w:t>
      </w:r>
      <w:r>
        <w:rPr>
          <w:snapToGrid w:val="0"/>
        </w:rPr>
        <w:t>.</w:t>
      </w:r>
      <w:r>
        <w:rPr>
          <w:snapToGrid w:val="0"/>
        </w:rPr>
        <w:tab/>
        <w:t>Department not responsible for vehicles on jetties</w:t>
      </w:r>
      <w:bookmarkEnd w:id="129"/>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130" w:name="_Toc486502915"/>
      <w:r>
        <w:rPr>
          <w:rStyle w:val="CharSectno"/>
        </w:rPr>
        <w:t>42</w:t>
      </w:r>
      <w:r>
        <w:rPr>
          <w:snapToGrid w:val="0"/>
        </w:rPr>
        <w:t>.</w:t>
      </w:r>
      <w:r>
        <w:rPr>
          <w:snapToGrid w:val="0"/>
        </w:rPr>
        <w:tab/>
        <w:t>Drivers of vehicles to obey instructions</w:t>
      </w:r>
      <w:bookmarkEnd w:id="130"/>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131" w:name="_Toc486502916"/>
      <w:r>
        <w:rPr>
          <w:rStyle w:val="CharSectno"/>
        </w:rPr>
        <w:t>42A</w:t>
      </w:r>
      <w:r>
        <w:t>.</w:t>
      </w:r>
      <w:r>
        <w:tab/>
        <w:t>Charges for vehicular use of jetty</w:t>
      </w:r>
      <w:bookmarkEnd w:id="131"/>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in Gazette 22 Jun 2007 p. 2908</w:t>
      </w:r>
      <w:r>
        <w:noBreakHyphen/>
        <w:t>9; amended in Gazette 25 Jul 2014 p. 2611; 22 Jul 2015 p. 2953.]</w:t>
      </w:r>
    </w:p>
    <w:p>
      <w:pPr>
        <w:pStyle w:val="Heading5"/>
        <w:rPr>
          <w:snapToGrid w:val="0"/>
        </w:rPr>
      </w:pPr>
      <w:bookmarkStart w:id="132" w:name="_Toc486502917"/>
      <w:r>
        <w:rPr>
          <w:rStyle w:val="CharSectno"/>
        </w:rPr>
        <w:t>43</w:t>
      </w:r>
      <w:r>
        <w:rPr>
          <w:snapToGrid w:val="0"/>
        </w:rPr>
        <w:t>.</w:t>
      </w:r>
      <w:r>
        <w:rPr>
          <w:snapToGrid w:val="0"/>
        </w:rPr>
        <w:tab/>
        <w:t>Persons not to be on jetties when livestock is being handled</w:t>
      </w:r>
      <w:bookmarkEnd w:id="132"/>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Next w:val="0"/>
        <w:pageBreakBefore/>
        <w:spacing w:before="0"/>
        <w:rPr>
          <w:snapToGrid w:val="0"/>
        </w:rPr>
      </w:pPr>
      <w:bookmarkStart w:id="133" w:name="_Toc470188331"/>
      <w:bookmarkStart w:id="134" w:name="_Toc483481830"/>
      <w:bookmarkStart w:id="135" w:name="_Toc483493696"/>
      <w:bookmarkStart w:id="136" w:name="_Toc483552803"/>
      <w:bookmarkStart w:id="137" w:name="_Toc485378151"/>
      <w:bookmarkStart w:id="138" w:name="_Toc486502510"/>
      <w:bookmarkStart w:id="139" w:name="_Toc486502714"/>
      <w:bookmarkStart w:id="140" w:name="_Toc486502918"/>
      <w:r>
        <w:rPr>
          <w:rStyle w:val="CharDivNo"/>
        </w:rPr>
        <w:t>Division 10</w:t>
      </w:r>
      <w:r>
        <w:rPr>
          <w:snapToGrid w:val="0"/>
        </w:rPr>
        <w:t> — </w:t>
      </w:r>
      <w:r>
        <w:rPr>
          <w:rStyle w:val="CharDivText"/>
        </w:rPr>
        <w:t>Miscellaneous</w:t>
      </w:r>
      <w:bookmarkEnd w:id="133"/>
      <w:bookmarkEnd w:id="134"/>
      <w:bookmarkEnd w:id="135"/>
      <w:bookmarkEnd w:id="136"/>
      <w:bookmarkEnd w:id="137"/>
      <w:bookmarkEnd w:id="138"/>
      <w:bookmarkEnd w:id="139"/>
      <w:bookmarkEnd w:id="140"/>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41" w:name="_Toc486502919"/>
      <w:r>
        <w:rPr>
          <w:rStyle w:val="CharSectno"/>
        </w:rPr>
        <w:t>44</w:t>
      </w:r>
      <w:r>
        <w:rPr>
          <w:snapToGrid w:val="0"/>
        </w:rPr>
        <w:t>.</w:t>
      </w:r>
      <w:r>
        <w:rPr>
          <w:snapToGrid w:val="0"/>
        </w:rPr>
        <w:tab/>
        <w:t>Bill posting, defacement and obscenity</w:t>
      </w:r>
      <w:bookmarkEnd w:id="141"/>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142" w:name="_Toc486502920"/>
      <w:r>
        <w:rPr>
          <w:rStyle w:val="CharSectno"/>
        </w:rPr>
        <w:t>45</w:t>
      </w:r>
      <w:r>
        <w:rPr>
          <w:snapToGrid w:val="0"/>
        </w:rPr>
        <w:t>.</w:t>
      </w:r>
      <w:r>
        <w:rPr>
          <w:snapToGrid w:val="0"/>
        </w:rPr>
        <w:tab/>
        <w:t>Disorderly persons</w:t>
      </w:r>
      <w:bookmarkEnd w:id="142"/>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143" w:name="_Toc486502921"/>
      <w:r>
        <w:rPr>
          <w:rStyle w:val="CharSectno"/>
        </w:rPr>
        <w:t>46</w:t>
      </w:r>
      <w:r>
        <w:rPr>
          <w:snapToGrid w:val="0"/>
        </w:rPr>
        <w:t>.</w:t>
      </w:r>
      <w:r>
        <w:rPr>
          <w:snapToGrid w:val="0"/>
        </w:rPr>
        <w:tab/>
        <w:t>Fires not to be lit</w:t>
      </w:r>
      <w:bookmarkEnd w:id="143"/>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144" w:name="_Toc486502922"/>
      <w:r>
        <w:rPr>
          <w:rStyle w:val="CharSectno"/>
        </w:rPr>
        <w:t>47</w:t>
      </w:r>
      <w:r>
        <w:rPr>
          <w:snapToGrid w:val="0"/>
        </w:rPr>
        <w:t>.</w:t>
      </w:r>
      <w:r>
        <w:rPr>
          <w:snapToGrid w:val="0"/>
        </w:rPr>
        <w:tab/>
        <w:t>Gates to be shut</w:t>
      </w:r>
      <w:bookmarkEnd w:id="144"/>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145" w:name="_Toc486502923"/>
      <w:r>
        <w:rPr>
          <w:rStyle w:val="CharSectno"/>
        </w:rPr>
        <w:t>48</w:t>
      </w:r>
      <w:r>
        <w:rPr>
          <w:snapToGrid w:val="0"/>
        </w:rPr>
        <w:t>.</w:t>
      </w:r>
      <w:r>
        <w:rPr>
          <w:snapToGrid w:val="0"/>
        </w:rPr>
        <w:tab/>
        <w:t>Interference with lights</w:t>
      </w:r>
      <w:bookmarkEnd w:id="145"/>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146" w:name="_Toc486502924"/>
      <w:r>
        <w:rPr>
          <w:rStyle w:val="CharSectno"/>
        </w:rPr>
        <w:t>49</w:t>
      </w:r>
      <w:r>
        <w:rPr>
          <w:snapToGrid w:val="0"/>
        </w:rPr>
        <w:t>.</w:t>
      </w:r>
      <w:r>
        <w:rPr>
          <w:snapToGrid w:val="0"/>
        </w:rPr>
        <w:tab/>
        <w:t>Interference with or damaging property</w:t>
      </w:r>
      <w:bookmarkEnd w:id="146"/>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147" w:name="_Toc486502925"/>
      <w:r>
        <w:rPr>
          <w:rStyle w:val="CharSectno"/>
        </w:rPr>
        <w:t>50</w:t>
      </w:r>
      <w:r>
        <w:rPr>
          <w:snapToGrid w:val="0"/>
        </w:rPr>
        <w:t>.</w:t>
      </w:r>
      <w:r>
        <w:rPr>
          <w:snapToGrid w:val="0"/>
        </w:rPr>
        <w:tab/>
        <w:t>Lost property</w:t>
      </w:r>
      <w:bookmarkEnd w:id="147"/>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in Gazette 19 May 1985 p. 1495.] </w:t>
      </w:r>
    </w:p>
    <w:p>
      <w:pPr>
        <w:pStyle w:val="Heading5"/>
        <w:rPr>
          <w:snapToGrid w:val="0"/>
        </w:rPr>
      </w:pPr>
      <w:bookmarkStart w:id="148" w:name="_Toc486502926"/>
      <w:r>
        <w:rPr>
          <w:rStyle w:val="CharSectno"/>
        </w:rPr>
        <w:t>51</w:t>
      </w:r>
      <w:r>
        <w:rPr>
          <w:snapToGrid w:val="0"/>
        </w:rPr>
        <w:t>.</w:t>
      </w:r>
      <w:r>
        <w:rPr>
          <w:snapToGrid w:val="0"/>
        </w:rPr>
        <w:tab/>
        <w:t>Obstruction of officers, or premises</w:t>
      </w:r>
      <w:bookmarkEnd w:id="148"/>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149" w:name="_Toc486502927"/>
      <w:r>
        <w:rPr>
          <w:rStyle w:val="CharSectno"/>
        </w:rPr>
        <w:t>52</w:t>
      </w:r>
      <w:r>
        <w:rPr>
          <w:snapToGrid w:val="0"/>
        </w:rPr>
        <w:t>.</w:t>
      </w:r>
      <w:r>
        <w:rPr>
          <w:snapToGrid w:val="0"/>
        </w:rPr>
        <w:tab/>
        <w:t>Obstruction of or damage to jetties or premises</w:t>
      </w:r>
      <w:bookmarkEnd w:id="149"/>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in Gazette 19 May 1989 p. 1495.] </w:t>
      </w:r>
    </w:p>
    <w:p>
      <w:pPr>
        <w:pStyle w:val="Heading5"/>
        <w:rPr>
          <w:snapToGrid w:val="0"/>
        </w:rPr>
      </w:pPr>
      <w:bookmarkStart w:id="150" w:name="_Toc486502928"/>
      <w:r>
        <w:rPr>
          <w:rStyle w:val="CharSectno"/>
        </w:rPr>
        <w:t>53</w:t>
      </w:r>
      <w:r>
        <w:rPr>
          <w:snapToGrid w:val="0"/>
        </w:rPr>
        <w:t>.</w:t>
      </w:r>
      <w:r>
        <w:rPr>
          <w:snapToGrid w:val="0"/>
        </w:rPr>
        <w:tab/>
        <w:t>Rubbish etc. not to be thrown</w:t>
      </w:r>
      <w:bookmarkEnd w:id="150"/>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151" w:name="_Toc486502929"/>
      <w:r>
        <w:rPr>
          <w:rStyle w:val="CharSectno"/>
        </w:rPr>
        <w:t>53A</w:t>
      </w:r>
      <w:r>
        <w:t>.</w:t>
      </w:r>
      <w:r>
        <w:tab/>
        <w:t>Charges for rubbish removal</w:t>
      </w:r>
      <w:bookmarkEnd w:id="151"/>
    </w:p>
    <w:p>
      <w:pPr>
        <w:pStyle w:val="Subsection"/>
      </w:pPr>
      <w:r>
        <w:tab/>
      </w:r>
      <w:r>
        <w:tab/>
        <w:t>The charges (if any) payable for removal of rubbish by the Department are as set out in a Schedule.</w:t>
      </w:r>
    </w:p>
    <w:p>
      <w:pPr>
        <w:pStyle w:val="Footnotesection"/>
      </w:pPr>
      <w:r>
        <w:tab/>
        <w:t>[Regulation 53A inserted in Gazette 22 Jun 2007 p. 2909; amended in Gazette 25 Jul 2014 p. 2611; 22 Jul 2015 p. 2954.]</w:t>
      </w:r>
    </w:p>
    <w:p>
      <w:pPr>
        <w:pStyle w:val="Heading5"/>
        <w:rPr>
          <w:snapToGrid w:val="0"/>
        </w:rPr>
      </w:pPr>
      <w:bookmarkStart w:id="152" w:name="_Toc486502930"/>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152"/>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153" w:name="_Toc486502931"/>
      <w:r>
        <w:rPr>
          <w:rStyle w:val="CharSectno"/>
        </w:rPr>
        <w:t>55</w:t>
      </w:r>
      <w:r>
        <w:rPr>
          <w:snapToGrid w:val="0"/>
        </w:rPr>
        <w:t>.</w:t>
      </w:r>
      <w:r>
        <w:rPr>
          <w:snapToGrid w:val="0"/>
        </w:rPr>
        <w:tab/>
        <w:t>Smoking and loitering</w:t>
      </w:r>
      <w:bookmarkEnd w:id="153"/>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154" w:name="_Toc486502932"/>
      <w:r>
        <w:rPr>
          <w:rStyle w:val="CharSectno"/>
        </w:rPr>
        <w:t>56</w:t>
      </w:r>
      <w:r>
        <w:rPr>
          <w:snapToGrid w:val="0"/>
        </w:rPr>
        <w:t>.</w:t>
      </w:r>
      <w:r>
        <w:rPr>
          <w:snapToGrid w:val="0"/>
        </w:rPr>
        <w:tab/>
        <w:t>Trespassing</w:t>
      </w:r>
      <w:bookmarkEnd w:id="154"/>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155" w:name="_Toc486502933"/>
      <w:r>
        <w:rPr>
          <w:rStyle w:val="CharSectno"/>
        </w:rPr>
        <w:t>67A</w:t>
      </w:r>
      <w:r>
        <w:rPr>
          <w:snapToGrid w:val="0"/>
        </w:rPr>
        <w:t>.</w:t>
      </w:r>
      <w:r>
        <w:rPr>
          <w:snapToGrid w:val="0"/>
        </w:rPr>
        <w:tab/>
        <w:t>Conditions for construction and installation of pipelines</w:t>
      </w:r>
      <w:bookmarkEnd w:id="155"/>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spacing w:before="240"/>
        <w:rPr>
          <w:snapToGrid w:val="0"/>
        </w:rPr>
      </w:pPr>
      <w:bookmarkStart w:id="156" w:name="_Toc486502934"/>
      <w:r>
        <w:rPr>
          <w:rStyle w:val="CharSectno"/>
        </w:rPr>
        <w:t>67B</w:t>
      </w:r>
      <w:r>
        <w:rPr>
          <w:snapToGrid w:val="0"/>
        </w:rPr>
        <w:t>.</w:t>
      </w:r>
      <w:r>
        <w:rPr>
          <w:snapToGrid w:val="0"/>
        </w:rPr>
        <w:tab/>
        <w:t>Maintenance and operation of pipelines</w:t>
      </w:r>
      <w:bookmarkEnd w:id="156"/>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157" w:name="_Toc486502935"/>
      <w:r>
        <w:rPr>
          <w:rStyle w:val="CharSectno"/>
        </w:rPr>
        <w:t>67D</w:t>
      </w:r>
      <w:r>
        <w:rPr>
          <w:snapToGrid w:val="0"/>
        </w:rPr>
        <w:t>.</w:t>
      </w:r>
      <w:r>
        <w:rPr>
          <w:snapToGrid w:val="0"/>
        </w:rPr>
        <w:tab/>
        <w:t>Penalty for failure to remove or amend pipeline</w:t>
      </w:r>
      <w:bookmarkEnd w:id="157"/>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158" w:name="_Toc486502936"/>
      <w:r>
        <w:rPr>
          <w:rStyle w:val="CharSectno"/>
        </w:rPr>
        <w:t>67DA</w:t>
      </w:r>
      <w:r>
        <w:t>.</w:t>
      </w:r>
      <w:r>
        <w:tab/>
        <w:t>Fuelling vessels at service jetties limited</w:t>
      </w:r>
      <w:bookmarkEnd w:id="158"/>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 amended in Gazette 25 Jul 2014 p. 2612.]</w:t>
      </w:r>
    </w:p>
    <w:p>
      <w:pPr>
        <w:pStyle w:val="Heading2"/>
      </w:pPr>
      <w:bookmarkStart w:id="159" w:name="_Toc470188350"/>
      <w:bookmarkStart w:id="160" w:name="_Toc483481849"/>
      <w:bookmarkStart w:id="161" w:name="_Toc483493715"/>
      <w:bookmarkStart w:id="162" w:name="_Toc483552822"/>
      <w:bookmarkStart w:id="163" w:name="_Toc485378170"/>
      <w:bookmarkStart w:id="164" w:name="_Toc486502529"/>
      <w:bookmarkStart w:id="165" w:name="_Toc486502733"/>
      <w:bookmarkStart w:id="166" w:name="_Toc486502937"/>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159"/>
      <w:bookmarkEnd w:id="160"/>
      <w:bookmarkEnd w:id="161"/>
      <w:bookmarkEnd w:id="162"/>
      <w:bookmarkEnd w:id="163"/>
      <w:bookmarkEnd w:id="164"/>
      <w:bookmarkEnd w:id="165"/>
      <w:bookmarkEnd w:id="166"/>
      <w:r>
        <w:rPr>
          <w:rStyle w:val="CharPartText"/>
        </w:rPr>
        <w:t xml:space="preserve"> </w:t>
      </w:r>
    </w:p>
    <w:p>
      <w:pPr>
        <w:pStyle w:val="Footnoteheading"/>
      </w:pPr>
      <w:r>
        <w:tab/>
        <w:t xml:space="preserve">[Heading inserted in Gazette 19 May 1989 p. 1494.] </w:t>
      </w:r>
    </w:p>
    <w:p>
      <w:pPr>
        <w:pStyle w:val="Heading3"/>
        <w:rPr>
          <w:snapToGrid w:val="0"/>
        </w:rPr>
      </w:pPr>
      <w:bookmarkStart w:id="167" w:name="_Toc470188351"/>
      <w:bookmarkStart w:id="168" w:name="_Toc483481850"/>
      <w:bookmarkStart w:id="169" w:name="_Toc483493716"/>
      <w:bookmarkStart w:id="170" w:name="_Toc483552823"/>
      <w:bookmarkStart w:id="171" w:name="_Toc485378171"/>
      <w:bookmarkStart w:id="172" w:name="_Toc486502530"/>
      <w:bookmarkStart w:id="173" w:name="_Toc486502734"/>
      <w:bookmarkStart w:id="174" w:name="_Toc486502938"/>
      <w:r>
        <w:rPr>
          <w:rStyle w:val="CharDivNo"/>
        </w:rPr>
        <w:t>Division 1</w:t>
      </w:r>
      <w:r>
        <w:rPr>
          <w:snapToGrid w:val="0"/>
        </w:rPr>
        <w:t> — </w:t>
      </w:r>
      <w:r>
        <w:rPr>
          <w:rStyle w:val="CharDivText"/>
        </w:rPr>
        <w:t>Application of this Part</w:t>
      </w:r>
      <w:bookmarkEnd w:id="167"/>
      <w:bookmarkEnd w:id="168"/>
      <w:bookmarkEnd w:id="169"/>
      <w:bookmarkEnd w:id="170"/>
      <w:bookmarkEnd w:id="171"/>
      <w:bookmarkEnd w:id="172"/>
      <w:bookmarkEnd w:id="173"/>
      <w:bookmarkEnd w:id="174"/>
      <w:r>
        <w:rPr>
          <w:rStyle w:val="CharDivText"/>
        </w:rPr>
        <w:t xml:space="preserve"> </w:t>
      </w:r>
    </w:p>
    <w:p>
      <w:pPr>
        <w:pStyle w:val="Footnoteheading"/>
      </w:pPr>
      <w:r>
        <w:tab/>
        <w:t xml:space="preserve">[Heading inserted in Gazette 19 May 1989 p. 1494.] </w:t>
      </w:r>
    </w:p>
    <w:p>
      <w:pPr>
        <w:pStyle w:val="Heading5"/>
        <w:rPr>
          <w:snapToGrid w:val="0"/>
        </w:rPr>
      </w:pPr>
      <w:bookmarkStart w:id="175" w:name="_Toc486502939"/>
      <w:r>
        <w:rPr>
          <w:rStyle w:val="CharSectno"/>
        </w:rPr>
        <w:t>67E</w:t>
      </w:r>
      <w:r>
        <w:rPr>
          <w:snapToGrid w:val="0"/>
        </w:rPr>
        <w:t>.</w:t>
      </w:r>
      <w:r>
        <w:rPr>
          <w:snapToGrid w:val="0"/>
        </w:rPr>
        <w:tab/>
        <w:t>Application</w:t>
      </w:r>
      <w:bookmarkEnd w:id="175"/>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176" w:name="_Toc470188353"/>
      <w:bookmarkStart w:id="177" w:name="_Toc483481852"/>
      <w:bookmarkStart w:id="178" w:name="_Toc483493718"/>
      <w:bookmarkStart w:id="179" w:name="_Toc483552825"/>
      <w:bookmarkStart w:id="180" w:name="_Toc485378173"/>
      <w:bookmarkStart w:id="181" w:name="_Toc486502532"/>
      <w:bookmarkStart w:id="182" w:name="_Toc486502736"/>
      <w:bookmarkStart w:id="183" w:name="_Toc486502940"/>
      <w:r>
        <w:rPr>
          <w:rStyle w:val="CharDivNo"/>
        </w:rPr>
        <w:t>Division 2</w:t>
      </w:r>
      <w:r>
        <w:rPr>
          <w:snapToGrid w:val="0"/>
        </w:rPr>
        <w:t> — </w:t>
      </w:r>
      <w:r>
        <w:rPr>
          <w:rStyle w:val="CharDivText"/>
        </w:rPr>
        <w:t>Management and use of jetties</w:t>
      </w:r>
      <w:bookmarkEnd w:id="176"/>
      <w:bookmarkEnd w:id="177"/>
      <w:bookmarkEnd w:id="178"/>
      <w:bookmarkEnd w:id="179"/>
      <w:bookmarkEnd w:id="180"/>
      <w:bookmarkEnd w:id="181"/>
      <w:bookmarkEnd w:id="182"/>
      <w:bookmarkEnd w:id="183"/>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184" w:name="_Toc486502941"/>
      <w:r>
        <w:rPr>
          <w:rStyle w:val="CharSectno"/>
        </w:rPr>
        <w:t>68</w:t>
      </w:r>
      <w:r>
        <w:rPr>
          <w:snapToGrid w:val="0"/>
        </w:rPr>
        <w:t>.</w:t>
      </w:r>
      <w:r>
        <w:rPr>
          <w:snapToGrid w:val="0"/>
        </w:rPr>
        <w:tab/>
        <w:t>Control of jetties</w:t>
      </w:r>
      <w:bookmarkEnd w:id="184"/>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27 Jun 2003 p. 2502.] </w:t>
      </w:r>
    </w:p>
    <w:p>
      <w:pPr>
        <w:pStyle w:val="Heading5"/>
        <w:rPr>
          <w:snapToGrid w:val="0"/>
        </w:rPr>
      </w:pPr>
      <w:bookmarkStart w:id="185" w:name="_Toc486502942"/>
      <w:r>
        <w:rPr>
          <w:rStyle w:val="CharSectno"/>
        </w:rPr>
        <w:t>69</w:t>
      </w:r>
      <w:r>
        <w:rPr>
          <w:snapToGrid w:val="0"/>
        </w:rPr>
        <w:t>.</w:t>
      </w:r>
      <w:r>
        <w:rPr>
          <w:snapToGrid w:val="0"/>
        </w:rPr>
        <w:tab/>
        <w:t>Use of jetties</w:t>
      </w:r>
      <w:bookmarkEnd w:id="185"/>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186" w:name="_Toc486502943"/>
      <w:r>
        <w:rPr>
          <w:rStyle w:val="CharSectno"/>
        </w:rPr>
        <w:t>70</w:t>
      </w:r>
      <w:r>
        <w:rPr>
          <w:snapToGrid w:val="0"/>
        </w:rPr>
        <w:t>.</w:t>
      </w:r>
      <w:r>
        <w:rPr>
          <w:snapToGrid w:val="0"/>
        </w:rPr>
        <w:tab/>
        <w:t>Jetties may be closed</w:t>
      </w:r>
      <w:bookmarkEnd w:id="186"/>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Deleted in Gazette 27 Jun 2003 p. 2502.]</w:t>
      </w:r>
    </w:p>
    <w:p>
      <w:pPr>
        <w:pStyle w:val="Ednotesection"/>
      </w:pPr>
      <w:r>
        <w:t>[</w:t>
      </w:r>
      <w:r>
        <w:rPr>
          <w:b/>
        </w:rPr>
        <w:t>70B.</w:t>
      </w:r>
      <w:r>
        <w:rPr>
          <w:b/>
        </w:rPr>
        <w:tab/>
      </w:r>
      <w:r>
        <w:t>Deleted in Gazette 25 Jun 2004 p. 2270.]</w:t>
      </w:r>
    </w:p>
    <w:p>
      <w:pPr>
        <w:pStyle w:val="Heading3"/>
        <w:rPr>
          <w:snapToGrid w:val="0"/>
        </w:rPr>
      </w:pPr>
      <w:bookmarkStart w:id="187" w:name="_Toc470188357"/>
      <w:bookmarkStart w:id="188" w:name="_Toc483481856"/>
      <w:bookmarkStart w:id="189" w:name="_Toc483493722"/>
      <w:bookmarkStart w:id="190" w:name="_Toc483552829"/>
      <w:bookmarkStart w:id="191" w:name="_Toc485378177"/>
      <w:bookmarkStart w:id="192" w:name="_Toc486502536"/>
      <w:bookmarkStart w:id="193" w:name="_Toc486502740"/>
      <w:bookmarkStart w:id="194" w:name="_Toc486502944"/>
      <w:r>
        <w:rPr>
          <w:rStyle w:val="CharDivNo"/>
        </w:rPr>
        <w:t>Division 3</w:t>
      </w:r>
      <w:r>
        <w:rPr>
          <w:snapToGrid w:val="0"/>
        </w:rPr>
        <w:t> — </w:t>
      </w:r>
      <w:r>
        <w:rPr>
          <w:rStyle w:val="CharDivText"/>
        </w:rPr>
        <w:t>Mooring and berthing of vessels</w:t>
      </w:r>
      <w:bookmarkEnd w:id="187"/>
      <w:bookmarkEnd w:id="188"/>
      <w:bookmarkEnd w:id="189"/>
      <w:bookmarkEnd w:id="190"/>
      <w:bookmarkEnd w:id="191"/>
      <w:bookmarkEnd w:id="192"/>
      <w:bookmarkEnd w:id="193"/>
      <w:bookmarkEnd w:id="194"/>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195" w:name="_Toc486502945"/>
      <w:r>
        <w:rPr>
          <w:rStyle w:val="CharSectno"/>
        </w:rPr>
        <w:t>71</w:t>
      </w:r>
      <w:r>
        <w:rPr>
          <w:snapToGrid w:val="0"/>
        </w:rPr>
        <w:t>.</w:t>
      </w:r>
      <w:r>
        <w:rPr>
          <w:snapToGrid w:val="0"/>
        </w:rPr>
        <w:tab/>
        <w:t>Permit required to moor etc. alongside jetty or buoy</w:t>
      </w:r>
      <w:bookmarkEnd w:id="195"/>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196" w:name="_Toc486502946"/>
      <w:r>
        <w:rPr>
          <w:rStyle w:val="CharSectno"/>
        </w:rPr>
        <w:t>72</w:t>
      </w:r>
      <w:r>
        <w:rPr>
          <w:snapToGrid w:val="0"/>
        </w:rPr>
        <w:t>.</w:t>
      </w:r>
      <w:r>
        <w:rPr>
          <w:snapToGrid w:val="0"/>
        </w:rPr>
        <w:tab/>
        <w:t>Duration of, and charges for, permits</w:t>
      </w:r>
      <w:bookmarkEnd w:id="196"/>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25 Jul 2014 p. 2612.] </w:t>
      </w:r>
    </w:p>
    <w:p>
      <w:pPr>
        <w:pStyle w:val="Heading5"/>
        <w:rPr>
          <w:snapToGrid w:val="0"/>
        </w:rPr>
      </w:pPr>
      <w:bookmarkStart w:id="197" w:name="_Toc486502947"/>
      <w:r>
        <w:rPr>
          <w:rStyle w:val="CharSectno"/>
        </w:rPr>
        <w:t>73</w:t>
      </w:r>
      <w:r>
        <w:rPr>
          <w:snapToGrid w:val="0"/>
        </w:rPr>
        <w:t>.</w:t>
      </w:r>
      <w:r>
        <w:rPr>
          <w:snapToGrid w:val="0"/>
        </w:rPr>
        <w:tab/>
        <w:t>Permit for exclusive use of berth</w:t>
      </w:r>
      <w:bookmarkEnd w:id="197"/>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26 May 2017 p. 2623.] </w:t>
      </w:r>
    </w:p>
    <w:p>
      <w:pPr>
        <w:pStyle w:val="Heading5"/>
        <w:rPr>
          <w:snapToGrid w:val="0"/>
        </w:rPr>
      </w:pPr>
      <w:bookmarkStart w:id="198" w:name="_Toc486502948"/>
      <w:r>
        <w:rPr>
          <w:rStyle w:val="CharSectno"/>
        </w:rPr>
        <w:t>74</w:t>
      </w:r>
      <w:r>
        <w:rPr>
          <w:snapToGrid w:val="0"/>
        </w:rPr>
        <w:t>.</w:t>
      </w:r>
      <w:r>
        <w:rPr>
          <w:snapToGrid w:val="0"/>
        </w:rPr>
        <w:tab/>
        <w:t>Manner of mooring vessels</w:t>
      </w:r>
      <w:bookmarkEnd w:id="198"/>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199" w:name="_Toc486502949"/>
      <w:r>
        <w:rPr>
          <w:rStyle w:val="CharSectno"/>
        </w:rPr>
        <w:t>75</w:t>
      </w:r>
      <w:r>
        <w:rPr>
          <w:snapToGrid w:val="0"/>
        </w:rPr>
        <w:t>.</w:t>
      </w:r>
      <w:r>
        <w:rPr>
          <w:snapToGrid w:val="0"/>
        </w:rPr>
        <w:tab/>
        <w:t>Vessels not to remain at jetties longer than necessary</w:t>
      </w:r>
      <w:bookmarkEnd w:id="199"/>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200" w:name="_Toc486502950"/>
      <w:r>
        <w:rPr>
          <w:rStyle w:val="CharSectno"/>
        </w:rPr>
        <w:t>76</w:t>
      </w:r>
      <w:r>
        <w:rPr>
          <w:snapToGrid w:val="0"/>
        </w:rPr>
        <w:t>.</w:t>
      </w:r>
      <w:r>
        <w:rPr>
          <w:snapToGrid w:val="0"/>
        </w:rPr>
        <w:tab/>
        <w:t>Mooring of rafts and boathouses</w:t>
      </w:r>
      <w:bookmarkEnd w:id="200"/>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in Gazette 15 Jun 1973 p. 2238; 19 May 1989 p. 1495; 24 Aug 2004 p. 3659.] </w:t>
      </w:r>
    </w:p>
    <w:p>
      <w:pPr>
        <w:pStyle w:val="Heading5"/>
        <w:rPr>
          <w:snapToGrid w:val="0"/>
        </w:rPr>
      </w:pPr>
      <w:bookmarkStart w:id="201" w:name="_Toc486502951"/>
      <w:r>
        <w:rPr>
          <w:rStyle w:val="CharSectno"/>
        </w:rPr>
        <w:t>77</w:t>
      </w:r>
      <w:r>
        <w:rPr>
          <w:snapToGrid w:val="0"/>
        </w:rPr>
        <w:t>.</w:t>
      </w:r>
      <w:r>
        <w:rPr>
          <w:snapToGrid w:val="0"/>
        </w:rPr>
        <w:tab/>
        <w:t>Vessels to be in charge of competent person</w:t>
      </w:r>
      <w:bookmarkEnd w:id="201"/>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202" w:name="_Toc486502952"/>
      <w:r>
        <w:rPr>
          <w:rStyle w:val="CharSectno"/>
        </w:rPr>
        <w:t>78</w:t>
      </w:r>
      <w:r>
        <w:rPr>
          <w:snapToGrid w:val="0"/>
        </w:rPr>
        <w:t>.</w:t>
      </w:r>
      <w:r>
        <w:rPr>
          <w:snapToGrid w:val="0"/>
        </w:rPr>
        <w:tab/>
        <w:t>Approaching jetties after sunset</w:t>
      </w:r>
      <w:bookmarkEnd w:id="202"/>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203" w:name="_Toc470188366"/>
      <w:bookmarkStart w:id="204" w:name="_Toc483481865"/>
      <w:bookmarkStart w:id="205" w:name="_Toc483493731"/>
      <w:bookmarkStart w:id="206" w:name="_Toc483552838"/>
      <w:bookmarkStart w:id="207" w:name="_Toc485378186"/>
      <w:bookmarkStart w:id="208" w:name="_Toc486502545"/>
      <w:bookmarkStart w:id="209" w:name="_Toc486502749"/>
      <w:bookmarkStart w:id="210" w:name="_Toc486502953"/>
      <w:r>
        <w:rPr>
          <w:rStyle w:val="CharDivNo"/>
        </w:rPr>
        <w:t>Division 4</w:t>
      </w:r>
      <w:r>
        <w:rPr>
          <w:snapToGrid w:val="0"/>
        </w:rPr>
        <w:t> — </w:t>
      </w:r>
      <w:r>
        <w:rPr>
          <w:rStyle w:val="CharDivText"/>
        </w:rPr>
        <w:t>Loading or discharging cargo</w:t>
      </w:r>
      <w:bookmarkEnd w:id="203"/>
      <w:bookmarkEnd w:id="204"/>
      <w:bookmarkEnd w:id="205"/>
      <w:bookmarkEnd w:id="206"/>
      <w:bookmarkEnd w:id="207"/>
      <w:bookmarkEnd w:id="208"/>
      <w:bookmarkEnd w:id="209"/>
      <w:bookmarkEnd w:id="210"/>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211" w:name="_Toc486502954"/>
      <w:r>
        <w:rPr>
          <w:rStyle w:val="CharSectno"/>
        </w:rPr>
        <w:t>80</w:t>
      </w:r>
      <w:r>
        <w:rPr>
          <w:snapToGrid w:val="0"/>
        </w:rPr>
        <w:t>.</w:t>
      </w:r>
      <w:r>
        <w:rPr>
          <w:snapToGrid w:val="0"/>
        </w:rPr>
        <w:tab/>
        <w:t>Vessels loading or discharging</w:t>
      </w:r>
      <w:bookmarkEnd w:id="211"/>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212" w:name="_Toc486502955"/>
      <w:r>
        <w:rPr>
          <w:rStyle w:val="CharSectno"/>
        </w:rPr>
        <w:t>81</w:t>
      </w:r>
      <w:r>
        <w:rPr>
          <w:snapToGrid w:val="0"/>
        </w:rPr>
        <w:t>.</w:t>
      </w:r>
      <w:r>
        <w:rPr>
          <w:snapToGrid w:val="0"/>
        </w:rPr>
        <w:tab/>
        <w:t>Cargo to be removed</w:t>
      </w:r>
      <w:bookmarkEnd w:id="212"/>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213" w:name="_Toc486502956"/>
      <w:r>
        <w:rPr>
          <w:rStyle w:val="CharSectno"/>
        </w:rPr>
        <w:t>82</w:t>
      </w:r>
      <w:r>
        <w:rPr>
          <w:snapToGrid w:val="0"/>
        </w:rPr>
        <w:t>.</w:t>
      </w:r>
      <w:r>
        <w:rPr>
          <w:snapToGrid w:val="0"/>
        </w:rPr>
        <w:tab/>
        <w:t>Cargo not to remain on jetties overnight</w:t>
      </w:r>
      <w:bookmarkEnd w:id="213"/>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214" w:name="_Toc486502957"/>
      <w:r>
        <w:rPr>
          <w:rStyle w:val="CharSectno"/>
        </w:rPr>
        <w:t>83</w:t>
      </w:r>
      <w:r>
        <w:rPr>
          <w:snapToGrid w:val="0"/>
        </w:rPr>
        <w:t>.</w:t>
      </w:r>
      <w:r>
        <w:rPr>
          <w:snapToGrid w:val="0"/>
        </w:rPr>
        <w:tab/>
        <w:t>Explosives not to be handled without permission</w:t>
      </w:r>
      <w:bookmarkEnd w:id="214"/>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215" w:name="_Toc486502958"/>
      <w:r>
        <w:rPr>
          <w:rStyle w:val="CharSectno"/>
        </w:rPr>
        <w:t>84</w:t>
      </w:r>
      <w:r>
        <w:rPr>
          <w:snapToGrid w:val="0"/>
        </w:rPr>
        <w:t>.</w:t>
      </w:r>
      <w:r>
        <w:rPr>
          <w:snapToGrid w:val="0"/>
        </w:rPr>
        <w:tab/>
        <w:t>Manner of handling cargo</w:t>
      </w:r>
      <w:bookmarkEnd w:id="215"/>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216" w:name="_Toc470188372"/>
      <w:bookmarkStart w:id="217" w:name="_Toc483481871"/>
      <w:bookmarkStart w:id="218" w:name="_Toc483493737"/>
      <w:bookmarkStart w:id="219" w:name="_Toc483552844"/>
      <w:bookmarkStart w:id="220" w:name="_Toc485378192"/>
      <w:bookmarkStart w:id="221" w:name="_Toc486502551"/>
      <w:bookmarkStart w:id="222" w:name="_Toc486502755"/>
      <w:bookmarkStart w:id="223" w:name="_Toc486502959"/>
      <w:r>
        <w:rPr>
          <w:rStyle w:val="CharDivNo"/>
        </w:rPr>
        <w:t>Division 5</w:t>
      </w:r>
      <w:r>
        <w:rPr>
          <w:snapToGrid w:val="0"/>
        </w:rPr>
        <w:t> — </w:t>
      </w:r>
      <w:r>
        <w:rPr>
          <w:rStyle w:val="CharDivText"/>
        </w:rPr>
        <w:t>Navigation of vessels</w:t>
      </w:r>
      <w:bookmarkEnd w:id="216"/>
      <w:bookmarkEnd w:id="217"/>
      <w:bookmarkEnd w:id="218"/>
      <w:bookmarkEnd w:id="219"/>
      <w:bookmarkEnd w:id="220"/>
      <w:bookmarkEnd w:id="221"/>
      <w:bookmarkEnd w:id="222"/>
      <w:bookmarkEnd w:id="223"/>
      <w:r>
        <w:rPr>
          <w:rStyle w:val="CharDivText"/>
        </w:rPr>
        <w:t xml:space="preserve"> </w:t>
      </w:r>
    </w:p>
    <w:p>
      <w:pPr>
        <w:pStyle w:val="Footnoteheading"/>
      </w:pPr>
      <w:r>
        <w:tab/>
        <w:t xml:space="preserve">[Heading inserted in Gazette 19 May 1989 p. 1494.] </w:t>
      </w:r>
    </w:p>
    <w:p>
      <w:pPr>
        <w:pStyle w:val="Heading5"/>
        <w:rPr>
          <w:snapToGrid w:val="0"/>
        </w:rPr>
      </w:pPr>
      <w:bookmarkStart w:id="224" w:name="_Toc486502960"/>
      <w:r>
        <w:rPr>
          <w:rStyle w:val="CharSectno"/>
        </w:rPr>
        <w:t>85</w:t>
      </w:r>
      <w:r>
        <w:rPr>
          <w:snapToGrid w:val="0"/>
        </w:rPr>
        <w:t>.</w:t>
      </w:r>
      <w:r>
        <w:rPr>
          <w:snapToGrid w:val="0"/>
        </w:rPr>
        <w:tab/>
        <w:t>Power vessels approaching jetties</w:t>
      </w:r>
      <w:bookmarkEnd w:id="224"/>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225" w:name="_Toc470188374"/>
      <w:bookmarkStart w:id="226" w:name="_Toc483481873"/>
      <w:bookmarkStart w:id="227" w:name="_Toc483493739"/>
      <w:bookmarkStart w:id="228" w:name="_Toc483552846"/>
      <w:bookmarkStart w:id="229" w:name="_Toc485378194"/>
      <w:bookmarkStart w:id="230" w:name="_Toc486502553"/>
      <w:bookmarkStart w:id="231" w:name="_Toc486502757"/>
      <w:bookmarkStart w:id="232" w:name="_Toc486502961"/>
      <w:r>
        <w:rPr>
          <w:rStyle w:val="CharDivNo"/>
        </w:rPr>
        <w:t>Division 6</w:t>
      </w:r>
      <w:r>
        <w:rPr>
          <w:snapToGrid w:val="0"/>
        </w:rPr>
        <w:t> — </w:t>
      </w:r>
      <w:r>
        <w:rPr>
          <w:rStyle w:val="CharDivText"/>
        </w:rPr>
        <w:t>Miscellaneous</w:t>
      </w:r>
      <w:bookmarkEnd w:id="225"/>
      <w:bookmarkEnd w:id="226"/>
      <w:bookmarkEnd w:id="227"/>
      <w:bookmarkEnd w:id="228"/>
      <w:bookmarkEnd w:id="229"/>
      <w:bookmarkEnd w:id="230"/>
      <w:bookmarkEnd w:id="231"/>
      <w:bookmarkEnd w:id="232"/>
      <w:r>
        <w:rPr>
          <w:rStyle w:val="CharDivText"/>
        </w:rPr>
        <w:t xml:space="preserve"> </w:t>
      </w:r>
    </w:p>
    <w:p>
      <w:pPr>
        <w:pStyle w:val="Footnoteheading"/>
      </w:pPr>
      <w:r>
        <w:tab/>
        <w:t xml:space="preserve">[Heading inserted in Gazette 19 May 1989 p. 1494.] </w:t>
      </w:r>
    </w:p>
    <w:p>
      <w:pPr>
        <w:pStyle w:val="Heading5"/>
        <w:rPr>
          <w:snapToGrid w:val="0"/>
        </w:rPr>
      </w:pPr>
      <w:bookmarkStart w:id="233" w:name="_Toc486502962"/>
      <w:r>
        <w:rPr>
          <w:rStyle w:val="CharSectno"/>
        </w:rPr>
        <w:t>86</w:t>
      </w:r>
      <w:r>
        <w:rPr>
          <w:snapToGrid w:val="0"/>
        </w:rPr>
        <w:t>.</w:t>
      </w:r>
      <w:r>
        <w:rPr>
          <w:snapToGrid w:val="0"/>
        </w:rPr>
        <w:tab/>
        <w:t>Bathing from jetties</w:t>
      </w:r>
      <w:bookmarkEnd w:id="233"/>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234" w:name="_Toc486502963"/>
      <w:r>
        <w:rPr>
          <w:rStyle w:val="CharSectno"/>
        </w:rPr>
        <w:t>87</w:t>
      </w:r>
      <w:r>
        <w:rPr>
          <w:snapToGrid w:val="0"/>
        </w:rPr>
        <w:t>.</w:t>
      </w:r>
      <w:r>
        <w:rPr>
          <w:snapToGrid w:val="0"/>
        </w:rPr>
        <w:tab/>
        <w:t>Damage to jetties</w:t>
      </w:r>
      <w:bookmarkEnd w:id="234"/>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235" w:name="_Toc486502964"/>
      <w:r>
        <w:rPr>
          <w:rStyle w:val="CharSectno"/>
        </w:rPr>
        <w:t>88</w:t>
      </w:r>
      <w:r>
        <w:rPr>
          <w:snapToGrid w:val="0"/>
        </w:rPr>
        <w:t>.</w:t>
      </w:r>
      <w:r>
        <w:rPr>
          <w:snapToGrid w:val="0"/>
        </w:rPr>
        <w:tab/>
        <w:t>Fishing from certain places prohibited</w:t>
      </w:r>
      <w:bookmarkEnd w:id="235"/>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236" w:name="_Toc486502965"/>
      <w:r>
        <w:rPr>
          <w:rStyle w:val="CharSectno"/>
        </w:rPr>
        <w:t>89</w:t>
      </w:r>
      <w:r>
        <w:rPr>
          <w:snapToGrid w:val="0"/>
        </w:rPr>
        <w:t>.</w:t>
      </w:r>
      <w:r>
        <w:rPr>
          <w:snapToGrid w:val="0"/>
        </w:rPr>
        <w:tab/>
        <w:t>Fishing nets on jetties</w:t>
      </w:r>
      <w:bookmarkEnd w:id="236"/>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237" w:name="_Toc486502966"/>
      <w:r>
        <w:rPr>
          <w:rStyle w:val="CharSectno"/>
        </w:rPr>
        <w:t>90</w:t>
      </w:r>
      <w:r>
        <w:rPr>
          <w:snapToGrid w:val="0"/>
        </w:rPr>
        <w:t>.</w:t>
      </w:r>
      <w:r>
        <w:rPr>
          <w:snapToGrid w:val="0"/>
        </w:rPr>
        <w:tab/>
        <w:t>Gangways to be provided</w:t>
      </w:r>
      <w:bookmarkEnd w:id="237"/>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238" w:name="_Toc486502967"/>
      <w:r>
        <w:rPr>
          <w:rStyle w:val="CharSectno"/>
        </w:rPr>
        <w:t>91</w:t>
      </w:r>
      <w:r>
        <w:rPr>
          <w:snapToGrid w:val="0"/>
        </w:rPr>
        <w:t>.</w:t>
      </w:r>
      <w:r>
        <w:rPr>
          <w:snapToGrid w:val="0"/>
        </w:rPr>
        <w:tab/>
        <w:t>Interference with jetties or approaches</w:t>
      </w:r>
      <w:bookmarkEnd w:id="238"/>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239" w:name="_Toc486502968"/>
      <w:r>
        <w:rPr>
          <w:rStyle w:val="CharSectno"/>
        </w:rPr>
        <w:t>92</w:t>
      </w:r>
      <w:r>
        <w:rPr>
          <w:snapToGrid w:val="0"/>
        </w:rPr>
        <w:t>.</w:t>
      </w:r>
      <w:r>
        <w:rPr>
          <w:snapToGrid w:val="0"/>
        </w:rPr>
        <w:tab/>
        <w:t>Lifebuoys on jetties</w:t>
      </w:r>
      <w:bookmarkEnd w:id="239"/>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240" w:name="_Toc486502969"/>
      <w:r>
        <w:rPr>
          <w:rStyle w:val="CharSectno"/>
        </w:rPr>
        <w:t>93</w:t>
      </w:r>
      <w:r>
        <w:rPr>
          <w:snapToGrid w:val="0"/>
        </w:rPr>
        <w:t>.</w:t>
      </w:r>
      <w:r>
        <w:rPr>
          <w:snapToGrid w:val="0"/>
        </w:rPr>
        <w:tab/>
        <w:t>Obstruction of jetties or officers</w:t>
      </w:r>
      <w:bookmarkEnd w:id="240"/>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241" w:name="_Toc486502970"/>
      <w:r>
        <w:rPr>
          <w:rStyle w:val="CharSectno"/>
        </w:rPr>
        <w:t>94</w:t>
      </w:r>
      <w:r>
        <w:rPr>
          <w:snapToGrid w:val="0"/>
        </w:rPr>
        <w:t>.</w:t>
      </w:r>
      <w:r>
        <w:rPr>
          <w:snapToGrid w:val="0"/>
        </w:rPr>
        <w:tab/>
        <w:t>Rubbish not to be thrown in river etc.</w:t>
      </w:r>
      <w:bookmarkEnd w:id="241"/>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242" w:name="_Toc470188384"/>
      <w:bookmarkStart w:id="243" w:name="_Toc483481883"/>
      <w:bookmarkStart w:id="244" w:name="_Toc483493749"/>
      <w:bookmarkStart w:id="245" w:name="_Toc483552856"/>
      <w:bookmarkStart w:id="246" w:name="_Toc485378204"/>
      <w:bookmarkStart w:id="247" w:name="_Toc486502563"/>
      <w:bookmarkStart w:id="248" w:name="_Toc486502767"/>
      <w:bookmarkStart w:id="249" w:name="_Toc486502971"/>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242"/>
      <w:bookmarkEnd w:id="243"/>
      <w:bookmarkEnd w:id="244"/>
      <w:bookmarkEnd w:id="245"/>
      <w:bookmarkEnd w:id="246"/>
      <w:bookmarkEnd w:id="247"/>
      <w:bookmarkEnd w:id="248"/>
      <w:bookmarkEnd w:id="249"/>
      <w:r>
        <w:rPr>
          <w:rStyle w:val="CharPartText"/>
        </w:rPr>
        <w:t xml:space="preserve"> </w:t>
      </w:r>
    </w:p>
    <w:p>
      <w:pPr>
        <w:pStyle w:val="Footnoteheading"/>
      </w:pPr>
      <w:r>
        <w:tab/>
        <w:t>[Heading inserted in Gazette 1 Aug 1990 p. 3633</w:t>
      </w:r>
      <w:r>
        <w:noBreakHyphen/>
        <w:t xml:space="preserve">4.] </w:t>
      </w:r>
    </w:p>
    <w:p>
      <w:pPr>
        <w:pStyle w:val="Heading5"/>
      </w:pPr>
      <w:bookmarkStart w:id="250" w:name="_Toc486502972"/>
      <w:r>
        <w:rPr>
          <w:rStyle w:val="CharSectno"/>
        </w:rPr>
        <w:t>94A</w:t>
      </w:r>
      <w:r>
        <w:t>.</w:t>
      </w:r>
      <w:r>
        <w:tab/>
        <w:t>Charges for pen rentals and services</w:t>
      </w:r>
      <w:bookmarkEnd w:id="250"/>
    </w:p>
    <w:p>
      <w:pPr>
        <w:pStyle w:val="Subsection"/>
      </w:pPr>
      <w:r>
        <w:tab/>
      </w:r>
      <w:r>
        <w:tab/>
        <w:t xml:space="preserve">The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 25 Jul 2014 p. 2612.]</w:t>
      </w:r>
    </w:p>
    <w:p>
      <w:pPr>
        <w:pStyle w:val="Heading5"/>
        <w:rPr>
          <w:snapToGrid w:val="0"/>
        </w:rPr>
      </w:pPr>
      <w:bookmarkStart w:id="251" w:name="_Toc486502973"/>
      <w:r>
        <w:rPr>
          <w:rStyle w:val="CharSectno"/>
        </w:rPr>
        <w:t>94B</w:t>
      </w:r>
      <w:r>
        <w:rPr>
          <w:snapToGrid w:val="0"/>
        </w:rPr>
        <w:t>.</w:t>
      </w:r>
      <w:r>
        <w:rPr>
          <w:snapToGrid w:val="0"/>
        </w:rPr>
        <w:tab/>
        <w:t>Charges for pile mooring</w:t>
      </w:r>
      <w:bookmarkEnd w:id="251"/>
    </w:p>
    <w:p>
      <w:pPr>
        <w:pStyle w:val="Subsection"/>
        <w:rPr>
          <w:snapToGrid w:val="0"/>
        </w:rPr>
      </w:pPr>
      <w:r>
        <w:rPr>
          <w:snapToGrid w:val="0"/>
        </w:rPr>
        <w:tab/>
      </w:r>
      <w:r>
        <w:rPr>
          <w:snapToGrid w:val="0"/>
        </w:rPr>
        <w:tab/>
        <w:t xml:space="preserve">The </w:t>
      </w:r>
      <w:r>
        <w:t xml:space="preserve">charges </w:t>
      </w:r>
      <w:r>
        <w:rPr>
          <w:snapToGrid w:val="0"/>
        </w:rPr>
        <w:t xml:space="preserve">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25 Jul 2014 p. 2612.] </w:t>
      </w:r>
    </w:p>
    <w:p>
      <w:pPr>
        <w:pStyle w:val="Heading5"/>
        <w:rPr>
          <w:snapToGrid w:val="0"/>
        </w:rPr>
      </w:pPr>
      <w:bookmarkStart w:id="252" w:name="_Toc486502974"/>
      <w:r>
        <w:rPr>
          <w:rStyle w:val="CharSectno"/>
        </w:rPr>
        <w:t>94C</w:t>
      </w:r>
      <w:r>
        <w:rPr>
          <w:snapToGrid w:val="0"/>
        </w:rPr>
        <w:t>.</w:t>
      </w:r>
      <w:r>
        <w:rPr>
          <w:snapToGrid w:val="0"/>
        </w:rPr>
        <w:tab/>
        <w:t>Dues or charges for berthing or mooring on casual basis</w:t>
      </w:r>
      <w:bookmarkEnd w:id="252"/>
    </w:p>
    <w:p>
      <w:pPr>
        <w:pStyle w:val="Subsection"/>
        <w:rPr>
          <w:snapToGrid w:val="0"/>
        </w:rPr>
      </w:pPr>
      <w:r>
        <w:rPr>
          <w:snapToGrid w:val="0"/>
        </w:rPr>
        <w:tab/>
      </w:r>
      <w:r>
        <w:rPr>
          <w:snapToGrid w:val="0"/>
        </w:rPr>
        <w:tab/>
        <w:t xml:space="preserve">Where no other </w:t>
      </w:r>
      <w:r>
        <w:t xml:space="preserve">due or charge </w:t>
      </w:r>
      <w:r>
        <w:rPr>
          <w:snapToGrid w:val="0"/>
        </w:rPr>
        <w:t xml:space="preserve">is prescribed for berthing or mooring at a wharf or public jetty, the </w:t>
      </w:r>
      <w:r>
        <w:t xml:space="preserve">due or charge </w:t>
      </w:r>
      <w:r>
        <w:rPr>
          <w:snapToGrid w:val="0"/>
        </w:rPr>
        <w:t xml:space="preserve">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25 Jul 2014 p. 2613.] </w:t>
      </w:r>
    </w:p>
    <w:p>
      <w:pPr>
        <w:pStyle w:val="Heading5"/>
      </w:pPr>
      <w:bookmarkStart w:id="253" w:name="_Toc486502975"/>
      <w:r>
        <w:rPr>
          <w:rStyle w:val="CharSectno"/>
        </w:rPr>
        <w:t>94D</w:t>
      </w:r>
      <w:r>
        <w:t>.</w:t>
      </w:r>
      <w:r>
        <w:tab/>
        <w:t>Waiving charges in emergencies</w:t>
      </w:r>
      <w:bookmarkEnd w:id="253"/>
    </w:p>
    <w:p>
      <w:pPr>
        <w:pStyle w:val="Subsection"/>
      </w:pPr>
      <w:r>
        <w:tab/>
      </w:r>
      <w:r>
        <w:tab/>
        <w:t>The chief executive officer of the Department may waive a charge payable under this Division for the use of an alongside berth at a service jetty by a vessel in need of emergency repair.</w:t>
      </w:r>
    </w:p>
    <w:p>
      <w:pPr>
        <w:pStyle w:val="Footnotesection"/>
      </w:pPr>
      <w:r>
        <w:tab/>
        <w:t>[Regulation 94D inserted in Gazette 22 Jun 2007 p. 2910; amended in Gazette 25 Jul 2014 p. 2613.]</w:t>
      </w:r>
    </w:p>
    <w:p>
      <w:pPr>
        <w:pStyle w:val="Heading5"/>
      </w:pPr>
      <w:bookmarkStart w:id="254" w:name="_Toc486502976"/>
      <w:r>
        <w:rPr>
          <w:rStyle w:val="CharSectno"/>
        </w:rPr>
        <w:t>94E</w:t>
      </w:r>
      <w:r>
        <w:t>.</w:t>
      </w:r>
      <w:r>
        <w:tab/>
        <w:t>Controlling short term use</w:t>
      </w:r>
      <w:bookmarkEnd w:id="254"/>
    </w:p>
    <w:p>
      <w:pPr>
        <w:pStyle w:val="Subsection"/>
      </w:pPr>
      <w:r>
        <w:tab/>
      </w:r>
      <w:r>
        <w:tab/>
        <w:t>Where several vessels have applied for short term access to a service wharf or jetty, an officer of the Department may direct that, in particular circumstances, a particular type of vessel, or a specified type of short term use, has precedence.</w:t>
      </w:r>
    </w:p>
    <w:p>
      <w:pPr>
        <w:pStyle w:val="Footnotesection"/>
      </w:pPr>
      <w:r>
        <w:tab/>
        <w:t>[Regulation 94E inserted in Gazette 22 Jul 2015 p. 2954.]</w:t>
      </w:r>
    </w:p>
    <w:p>
      <w:pPr>
        <w:pStyle w:val="Heading2"/>
      </w:pPr>
      <w:bookmarkStart w:id="255" w:name="_Toc470188390"/>
      <w:bookmarkStart w:id="256" w:name="_Toc483481889"/>
      <w:bookmarkStart w:id="257" w:name="_Toc483493755"/>
      <w:bookmarkStart w:id="258" w:name="_Toc483552862"/>
      <w:bookmarkStart w:id="259" w:name="_Toc485378210"/>
      <w:bookmarkStart w:id="260" w:name="_Toc486502569"/>
      <w:bookmarkStart w:id="261" w:name="_Toc486502773"/>
      <w:bookmarkStart w:id="262" w:name="_Toc486502977"/>
      <w:r>
        <w:rPr>
          <w:rStyle w:val="CharPartNo"/>
        </w:rPr>
        <w:t>Part 3</w:t>
      </w:r>
      <w:r>
        <w:t> — </w:t>
      </w:r>
      <w:r>
        <w:rPr>
          <w:rStyle w:val="CharPartText"/>
        </w:rPr>
        <w:t>Special provisions applying at particular ports</w:t>
      </w:r>
      <w:bookmarkEnd w:id="255"/>
      <w:bookmarkEnd w:id="256"/>
      <w:bookmarkEnd w:id="257"/>
      <w:bookmarkEnd w:id="258"/>
      <w:bookmarkEnd w:id="259"/>
      <w:bookmarkEnd w:id="260"/>
      <w:bookmarkEnd w:id="261"/>
      <w:bookmarkEnd w:id="262"/>
      <w:r>
        <w:rPr>
          <w:rStyle w:val="CharPartText"/>
        </w:rPr>
        <w:t xml:space="preserve"> </w:t>
      </w:r>
    </w:p>
    <w:p>
      <w:pPr>
        <w:pStyle w:val="Footnoteheading"/>
      </w:pPr>
      <w:r>
        <w:tab/>
        <w:t xml:space="preserve">[Heading inserted in Gazette 19 May 1989 p. 1494.] </w:t>
      </w:r>
    </w:p>
    <w:p>
      <w:pPr>
        <w:pStyle w:val="Heading3"/>
        <w:rPr>
          <w:snapToGrid w:val="0"/>
        </w:rPr>
      </w:pPr>
      <w:bookmarkStart w:id="263" w:name="_Toc470188391"/>
      <w:bookmarkStart w:id="264" w:name="_Toc483481890"/>
      <w:bookmarkStart w:id="265" w:name="_Toc483493756"/>
      <w:bookmarkStart w:id="266" w:name="_Toc483552863"/>
      <w:bookmarkStart w:id="267" w:name="_Toc485378211"/>
      <w:bookmarkStart w:id="268" w:name="_Toc486502570"/>
      <w:bookmarkStart w:id="269" w:name="_Toc486502774"/>
      <w:bookmarkStart w:id="270" w:name="_Toc486502978"/>
      <w:r>
        <w:rPr>
          <w:rStyle w:val="CharDivNo"/>
        </w:rPr>
        <w:t>Division 1</w:t>
      </w:r>
      <w:r>
        <w:rPr>
          <w:snapToGrid w:val="0"/>
        </w:rPr>
        <w:t> — </w:t>
      </w:r>
      <w:r>
        <w:rPr>
          <w:rStyle w:val="CharDivText"/>
        </w:rPr>
        <w:t>Use of slipways</w:t>
      </w:r>
      <w:bookmarkEnd w:id="263"/>
      <w:bookmarkEnd w:id="264"/>
      <w:bookmarkEnd w:id="265"/>
      <w:bookmarkEnd w:id="266"/>
      <w:bookmarkEnd w:id="267"/>
      <w:bookmarkEnd w:id="268"/>
      <w:bookmarkEnd w:id="269"/>
      <w:bookmarkEnd w:id="270"/>
      <w:r>
        <w:rPr>
          <w:rStyle w:val="CharDivText"/>
        </w:rPr>
        <w:t xml:space="preserve"> </w:t>
      </w:r>
    </w:p>
    <w:p>
      <w:pPr>
        <w:pStyle w:val="Footnoteheading"/>
      </w:pPr>
      <w:r>
        <w:tab/>
        <w:t xml:space="preserve">[Heading inserted in Gazette 19 May 1989 p. 1494.] </w:t>
      </w:r>
    </w:p>
    <w:p>
      <w:pPr>
        <w:pStyle w:val="Heading5"/>
      </w:pPr>
      <w:bookmarkStart w:id="271" w:name="_Toc486502979"/>
      <w:r>
        <w:rPr>
          <w:rStyle w:val="CharSectno"/>
        </w:rPr>
        <w:t>95</w:t>
      </w:r>
      <w:r>
        <w:t>.</w:t>
      </w:r>
      <w:r>
        <w:tab/>
        <w:t>Management and control of departmental slipways</w:t>
      </w:r>
      <w:bookmarkEnd w:id="271"/>
    </w:p>
    <w:p>
      <w:pPr>
        <w:pStyle w:val="Subsection"/>
      </w:pPr>
      <w:r>
        <w:tab/>
        <w:t>(1)</w:t>
      </w:r>
      <w:r>
        <w:tab/>
        <w:t>Part 3 Division 1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in Gazette 20 Jun 2000 p. 3044; amended in Gazette 4 Nov 2014 p. 4204.]</w:t>
      </w:r>
    </w:p>
    <w:p>
      <w:pPr>
        <w:pStyle w:val="Heading5"/>
      </w:pPr>
      <w:bookmarkStart w:id="272" w:name="_Toc486502980"/>
      <w:r>
        <w:rPr>
          <w:rStyle w:val="CharSectno"/>
        </w:rPr>
        <w:t>95A</w:t>
      </w:r>
      <w:r>
        <w:t>.</w:t>
      </w:r>
      <w:r>
        <w:tab/>
        <w:t>Use of slipway</w:t>
      </w:r>
      <w:bookmarkEnd w:id="272"/>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3 Form 3.</w:t>
      </w:r>
    </w:p>
    <w:p>
      <w:pPr>
        <w:pStyle w:val="Footnotesection"/>
      </w:pPr>
      <w:r>
        <w:tab/>
        <w:t>[Regulation 95A inserted in Gazette 4 Nov 2014 p. 4204.]</w:t>
      </w:r>
    </w:p>
    <w:p>
      <w:pPr>
        <w:pStyle w:val="Heading5"/>
        <w:rPr>
          <w:snapToGrid w:val="0"/>
        </w:rPr>
      </w:pPr>
      <w:bookmarkStart w:id="273" w:name="_Toc486502981"/>
      <w:r>
        <w:rPr>
          <w:rStyle w:val="CharSectno"/>
        </w:rPr>
        <w:t>96</w:t>
      </w:r>
      <w:r>
        <w:rPr>
          <w:snapToGrid w:val="0"/>
        </w:rPr>
        <w:t>.</w:t>
      </w:r>
      <w:r>
        <w:rPr>
          <w:snapToGrid w:val="0"/>
        </w:rPr>
        <w:tab/>
        <w:t>Charges for use of slipway</w:t>
      </w:r>
      <w:bookmarkEnd w:id="273"/>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274" w:name="_Toc486502982"/>
      <w:r>
        <w:rPr>
          <w:rStyle w:val="CharSectno"/>
        </w:rPr>
        <w:t>97</w:t>
      </w:r>
      <w:r>
        <w:rPr>
          <w:snapToGrid w:val="0"/>
        </w:rPr>
        <w:t>.</w:t>
      </w:r>
      <w:r>
        <w:rPr>
          <w:snapToGrid w:val="0"/>
        </w:rPr>
        <w:tab/>
        <w:t>Government vessels may take precedence</w:t>
      </w:r>
      <w:bookmarkEnd w:id="274"/>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275" w:name="_Toc486502983"/>
      <w:r>
        <w:rPr>
          <w:rStyle w:val="CharSectno"/>
        </w:rPr>
        <w:t>98</w:t>
      </w:r>
      <w:r>
        <w:rPr>
          <w:snapToGrid w:val="0"/>
        </w:rPr>
        <w:t>.</w:t>
      </w:r>
      <w:r>
        <w:rPr>
          <w:snapToGrid w:val="0"/>
        </w:rPr>
        <w:tab/>
        <w:t>Vessels may forfeit their turn</w:t>
      </w:r>
      <w:bookmarkEnd w:id="275"/>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276" w:name="_Toc486502984"/>
      <w:r>
        <w:rPr>
          <w:rStyle w:val="CharSectno"/>
        </w:rPr>
        <w:t>99</w:t>
      </w:r>
      <w:r>
        <w:rPr>
          <w:snapToGrid w:val="0"/>
        </w:rPr>
        <w:t>.</w:t>
      </w:r>
      <w:r>
        <w:rPr>
          <w:snapToGrid w:val="0"/>
        </w:rPr>
        <w:tab/>
        <w:t>Department will not undertake repairs etc.</w:t>
      </w:r>
      <w:bookmarkEnd w:id="276"/>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277" w:name="_Toc486502985"/>
      <w:r>
        <w:rPr>
          <w:rStyle w:val="CharSectno"/>
        </w:rPr>
        <w:t>100</w:t>
      </w:r>
      <w:r>
        <w:rPr>
          <w:snapToGrid w:val="0"/>
        </w:rPr>
        <w:t>.</w:t>
      </w:r>
      <w:r>
        <w:rPr>
          <w:snapToGrid w:val="0"/>
        </w:rPr>
        <w:tab/>
        <w:t>Department not responsible for damage to vessel when in use of slip</w:t>
      </w:r>
      <w:bookmarkEnd w:id="277"/>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spacing w:before="180"/>
        <w:rPr>
          <w:snapToGrid w:val="0"/>
        </w:rPr>
      </w:pPr>
      <w:bookmarkStart w:id="278" w:name="_Toc486502986"/>
      <w:r>
        <w:rPr>
          <w:rStyle w:val="CharSectno"/>
        </w:rPr>
        <w:t>101</w:t>
      </w:r>
      <w:r>
        <w:rPr>
          <w:snapToGrid w:val="0"/>
        </w:rPr>
        <w:t>.</w:t>
      </w:r>
      <w:r>
        <w:rPr>
          <w:snapToGrid w:val="0"/>
        </w:rPr>
        <w:tab/>
        <w:t>Duties of owner or master using slipway</w:t>
      </w:r>
      <w:bookmarkEnd w:id="278"/>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4 Nov 2014 p. 4205.] </w:t>
      </w:r>
    </w:p>
    <w:p>
      <w:pPr>
        <w:pStyle w:val="Heading5"/>
        <w:spacing w:before="180"/>
        <w:rPr>
          <w:snapToGrid w:val="0"/>
        </w:rPr>
      </w:pPr>
      <w:bookmarkStart w:id="279" w:name="_Toc486502987"/>
      <w:r>
        <w:rPr>
          <w:rStyle w:val="CharSectno"/>
        </w:rPr>
        <w:t>101A</w:t>
      </w:r>
      <w:r>
        <w:rPr>
          <w:snapToGrid w:val="0"/>
        </w:rPr>
        <w:t>.</w:t>
      </w:r>
      <w:r>
        <w:rPr>
          <w:snapToGrid w:val="0"/>
        </w:rPr>
        <w:tab/>
        <w:t>Slipping of more than one vessel at a time</w:t>
      </w:r>
      <w:bookmarkEnd w:id="279"/>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4 Nov 2014 p. 4205.] </w:t>
      </w:r>
    </w:p>
    <w:p>
      <w:pPr>
        <w:pStyle w:val="Heading5"/>
        <w:keepNext w:val="0"/>
        <w:keepLines w:val="0"/>
        <w:spacing w:before="180"/>
        <w:rPr>
          <w:snapToGrid w:val="0"/>
        </w:rPr>
      </w:pPr>
      <w:bookmarkStart w:id="280" w:name="_Toc486502988"/>
      <w:r>
        <w:rPr>
          <w:rStyle w:val="CharSectno"/>
        </w:rPr>
        <w:t>101B</w:t>
      </w:r>
      <w:r>
        <w:rPr>
          <w:snapToGrid w:val="0"/>
        </w:rPr>
        <w:t>.</w:t>
      </w:r>
      <w:r>
        <w:rPr>
          <w:snapToGrid w:val="0"/>
        </w:rPr>
        <w:tab/>
        <w:t>Dispute procedure</w:t>
      </w:r>
      <w:bookmarkEnd w:id="280"/>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281" w:name="_Toc470188402"/>
      <w:bookmarkStart w:id="282" w:name="_Toc483481901"/>
      <w:bookmarkStart w:id="283" w:name="_Toc483493767"/>
      <w:bookmarkStart w:id="284" w:name="_Toc483552874"/>
      <w:bookmarkStart w:id="285" w:name="_Toc485378222"/>
      <w:bookmarkStart w:id="286" w:name="_Toc486502581"/>
      <w:bookmarkStart w:id="287" w:name="_Toc486502785"/>
      <w:bookmarkStart w:id="288" w:name="_Toc486502989"/>
      <w:r>
        <w:rPr>
          <w:rStyle w:val="CharDivNo"/>
        </w:rPr>
        <w:t>Division 2</w:t>
      </w:r>
      <w:r>
        <w:rPr>
          <w:snapToGrid w:val="0"/>
        </w:rPr>
        <w:t> — </w:t>
      </w:r>
      <w:r>
        <w:rPr>
          <w:rStyle w:val="CharDivText"/>
        </w:rPr>
        <w:t>Use of mooring springs</w:t>
      </w:r>
      <w:bookmarkEnd w:id="281"/>
      <w:bookmarkEnd w:id="282"/>
      <w:bookmarkEnd w:id="283"/>
      <w:bookmarkEnd w:id="284"/>
      <w:bookmarkEnd w:id="285"/>
      <w:bookmarkEnd w:id="286"/>
      <w:bookmarkEnd w:id="287"/>
      <w:bookmarkEnd w:id="288"/>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289" w:name="_Toc486502990"/>
      <w:r>
        <w:rPr>
          <w:rStyle w:val="CharSectno"/>
        </w:rPr>
        <w:t>105F</w:t>
      </w:r>
      <w:r>
        <w:rPr>
          <w:snapToGrid w:val="0"/>
        </w:rPr>
        <w:t>.</w:t>
      </w:r>
      <w:r>
        <w:rPr>
          <w:snapToGrid w:val="0"/>
        </w:rPr>
        <w:tab/>
        <w:t>Approaching bollard or jetty to which mooring spring or rope fastened</w:t>
      </w:r>
      <w:bookmarkEnd w:id="289"/>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290" w:name="_Toc470188404"/>
      <w:bookmarkStart w:id="291" w:name="_Toc483481903"/>
      <w:bookmarkStart w:id="292" w:name="_Toc483493769"/>
      <w:bookmarkStart w:id="293" w:name="_Toc483552876"/>
      <w:bookmarkStart w:id="294" w:name="_Toc485378224"/>
      <w:bookmarkStart w:id="295" w:name="_Toc486502583"/>
      <w:bookmarkStart w:id="296" w:name="_Toc486502787"/>
      <w:bookmarkStart w:id="297" w:name="_Toc486502991"/>
      <w:r>
        <w:rPr>
          <w:rStyle w:val="CharDivNo"/>
        </w:rPr>
        <w:t>Division 4</w:t>
      </w:r>
      <w:r>
        <w:rPr>
          <w:snapToGrid w:val="0"/>
        </w:rPr>
        <w:t> — </w:t>
      </w:r>
      <w:r>
        <w:rPr>
          <w:rStyle w:val="CharDivText"/>
        </w:rPr>
        <w:t>Use of weighbridges at Wyndham</w:t>
      </w:r>
      <w:bookmarkEnd w:id="290"/>
      <w:bookmarkEnd w:id="291"/>
      <w:bookmarkEnd w:id="292"/>
      <w:bookmarkEnd w:id="293"/>
      <w:bookmarkEnd w:id="294"/>
      <w:bookmarkEnd w:id="295"/>
      <w:bookmarkEnd w:id="296"/>
      <w:bookmarkEnd w:id="297"/>
    </w:p>
    <w:p>
      <w:pPr>
        <w:pStyle w:val="Footnoteheading"/>
      </w:pPr>
      <w:r>
        <w:tab/>
        <w:t xml:space="preserve">[Heading inserted in Gazette 19 May 1989 p. 1494; amended in Gazette 20 Jun 2000 p. 3044.] </w:t>
      </w:r>
    </w:p>
    <w:p>
      <w:pPr>
        <w:pStyle w:val="Heading5"/>
        <w:rPr>
          <w:snapToGrid w:val="0"/>
        </w:rPr>
      </w:pPr>
      <w:bookmarkStart w:id="298" w:name="_Toc486502992"/>
      <w:r>
        <w:rPr>
          <w:rStyle w:val="CharSectno"/>
        </w:rPr>
        <w:t>105I</w:t>
      </w:r>
      <w:r>
        <w:rPr>
          <w:snapToGrid w:val="0"/>
        </w:rPr>
        <w:t>.</w:t>
      </w:r>
      <w:r>
        <w:rPr>
          <w:snapToGrid w:val="0"/>
        </w:rPr>
        <w:tab/>
        <w:t>Weighbridge charges</w:t>
      </w:r>
      <w:bookmarkEnd w:id="298"/>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Ednotedivision"/>
      </w:pPr>
      <w:r>
        <w:t>[Division 5 (r. 105J) deleted in Gazette 30 Jun 1992 p. 2893.]</w:t>
      </w:r>
    </w:p>
    <w:p>
      <w:pPr>
        <w:pStyle w:val="Heading2"/>
      </w:pPr>
      <w:bookmarkStart w:id="299" w:name="_Toc470188406"/>
      <w:bookmarkStart w:id="300" w:name="_Toc483481905"/>
      <w:bookmarkStart w:id="301" w:name="_Toc483493771"/>
      <w:bookmarkStart w:id="302" w:name="_Toc483552878"/>
      <w:bookmarkStart w:id="303" w:name="_Toc485378226"/>
      <w:bookmarkStart w:id="304" w:name="_Toc486502585"/>
      <w:bookmarkStart w:id="305" w:name="_Toc486502789"/>
      <w:bookmarkStart w:id="306" w:name="_Toc486502993"/>
      <w:r>
        <w:rPr>
          <w:rStyle w:val="CharPartNo"/>
        </w:rPr>
        <w:t>Part 4</w:t>
      </w:r>
      <w:r>
        <w:rPr>
          <w:rStyle w:val="CharDivNo"/>
        </w:rPr>
        <w:t> </w:t>
      </w:r>
      <w:r>
        <w:t>—</w:t>
      </w:r>
      <w:r>
        <w:rPr>
          <w:rStyle w:val="CharDivText"/>
        </w:rPr>
        <w:t> </w:t>
      </w:r>
      <w:r>
        <w:rPr>
          <w:rStyle w:val="CharPartText"/>
        </w:rPr>
        <w:t>Breach of regulations and penalties</w:t>
      </w:r>
      <w:bookmarkEnd w:id="299"/>
      <w:bookmarkEnd w:id="300"/>
      <w:bookmarkEnd w:id="301"/>
      <w:bookmarkEnd w:id="302"/>
      <w:bookmarkEnd w:id="303"/>
      <w:bookmarkEnd w:id="304"/>
      <w:bookmarkEnd w:id="305"/>
      <w:bookmarkEnd w:id="306"/>
    </w:p>
    <w:p>
      <w:pPr>
        <w:pStyle w:val="Footnoteheading"/>
      </w:pPr>
      <w:r>
        <w:tab/>
        <w:t xml:space="preserve">[Heading inserted in Gazette 19 May 1989 p. 1494.] </w:t>
      </w:r>
    </w:p>
    <w:p>
      <w:pPr>
        <w:pStyle w:val="Heading5"/>
        <w:rPr>
          <w:snapToGrid w:val="0"/>
        </w:rPr>
      </w:pPr>
      <w:bookmarkStart w:id="307" w:name="_Toc486502994"/>
      <w:r>
        <w:rPr>
          <w:rStyle w:val="CharSectno"/>
        </w:rPr>
        <w:t>106</w:t>
      </w:r>
      <w:r>
        <w:rPr>
          <w:snapToGrid w:val="0"/>
        </w:rPr>
        <w:t>.</w:t>
      </w:r>
      <w:r>
        <w:rPr>
          <w:snapToGrid w:val="0"/>
        </w:rPr>
        <w:tab/>
        <w:t>Powers of officer of Department</w:t>
      </w:r>
      <w:bookmarkEnd w:id="307"/>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308" w:name="_Toc486502995"/>
      <w:r>
        <w:rPr>
          <w:rStyle w:val="CharSectno"/>
        </w:rPr>
        <w:t>107</w:t>
      </w:r>
      <w:r>
        <w:rPr>
          <w:snapToGrid w:val="0"/>
        </w:rPr>
        <w:t>.</w:t>
      </w:r>
      <w:r>
        <w:rPr>
          <w:snapToGrid w:val="0"/>
        </w:rPr>
        <w:tab/>
        <w:t>Recovery of expenses incurred by breaches of regulations</w:t>
      </w:r>
      <w:bookmarkEnd w:id="308"/>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309" w:name="_Toc486502996"/>
      <w:r>
        <w:rPr>
          <w:rStyle w:val="CharSectno"/>
        </w:rPr>
        <w:t>107A</w:t>
      </w:r>
      <w:r>
        <w:rPr>
          <w:snapToGrid w:val="0"/>
        </w:rPr>
        <w:t>.</w:t>
      </w:r>
      <w:r>
        <w:rPr>
          <w:snapToGrid w:val="0"/>
        </w:rPr>
        <w:tab/>
        <w:t>Police have authority to enforce regulations</w:t>
      </w:r>
      <w:bookmarkEnd w:id="309"/>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310" w:name="_Toc486502997"/>
      <w:r>
        <w:rPr>
          <w:rStyle w:val="CharSectno"/>
        </w:rPr>
        <w:t>108</w:t>
      </w:r>
      <w:r>
        <w:rPr>
          <w:snapToGrid w:val="0"/>
        </w:rPr>
        <w:t>.</w:t>
      </w:r>
      <w:r>
        <w:rPr>
          <w:snapToGrid w:val="0"/>
        </w:rPr>
        <w:tab/>
        <w:t>Penalty for offences</w:t>
      </w:r>
      <w:bookmarkEnd w:id="310"/>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by Act No. 113 of 1965 s. 8(1); amended in Gazette 17 Sep 1976 p. 3463; 19 May 1989 p. 1496.] </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311" w:name="_Toc470188411"/>
      <w:bookmarkStart w:id="312" w:name="_Toc483481910"/>
      <w:bookmarkStart w:id="313" w:name="_Toc483493776"/>
      <w:bookmarkStart w:id="314" w:name="_Toc483552883"/>
      <w:bookmarkStart w:id="315" w:name="_Toc485378231"/>
      <w:bookmarkStart w:id="316" w:name="_Toc486502590"/>
      <w:bookmarkStart w:id="317" w:name="_Toc486502794"/>
      <w:bookmarkStart w:id="318" w:name="_Toc486502998"/>
      <w:r>
        <w:rPr>
          <w:rStyle w:val="CharSchNo"/>
        </w:rPr>
        <w:t>Schedule 1</w:t>
      </w:r>
      <w:r>
        <w:t> — </w:t>
      </w:r>
      <w:r>
        <w:rPr>
          <w:rStyle w:val="CharSchText"/>
        </w:rPr>
        <w:t>Dues and charges generally</w:t>
      </w:r>
      <w:bookmarkEnd w:id="311"/>
      <w:bookmarkEnd w:id="312"/>
      <w:bookmarkEnd w:id="313"/>
      <w:bookmarkEnd w:id="314"/>
      <w:bookmarkEnd w:id="315"/>
      <w:bookmarkEnd w:id="316"/>
      <w:bookmarkEnd w:id="317"/>
      <w:bookmarkEnd w:id="318"/>
    </w:p>
    <w:p>
      <w:pPr>
        <w:pStyle w:val="yShoulderClause"/>
      </w:pPr>
      <w:r>
        <w:t>[r. 6, 10A, 11, 25, 42A, 53A, 94A, 94B, 94C, 96 and 105I]</w:t>
      </w:r>
    </w:p>
    <w:p>
      <w:pPr>
        <w:pStyle w:val="yFootnoteheading"/>
      </w:pPr>
      <w:r>
        <w:tab/>
        <w:t>[Heading inserted in Gazette 22 Jul 2015 p. 2954.]</w:t>
      </w:r>
    </w:p>
    <w:p>
      <w:pPr>
        <w:pStyle w:val="yHeading3"/>
        <w:rPr>
          <w:b w:val="0"/>
        </w:rPr>
      </w:pPr>
      <w:bookmarkStart w:id="319" w:name="_Toc470188412"/>
      <w:bookmarkStart w:id="320" w:name="_Toc483481911"/>
      <w:bookmarkStart w:id="321" w:name="_Toc483493777"/>
      <w:bookmarkStart w:id="322" w:name="_Toc483552884"/>
      <w:bookmarkStart w:id="323" w:name="_Toc485378232"/>
      <w:bookmarkStart w:id="324" w:name="_Toc486502591"/>
      <w:bookmarkStart w:id="325" w:name="_Toc486502795"/>
      <w:bookmarkStart w:id="326" w:name="_Toc486502999"/>
      <w:r>
        <w:rPr>
          <w:rStyle w:val="CharSDivNo"/>
        </w:rPr>
        <w:t>Division 1A</w:t>
      </w:r>
      <w:r>
        <w:rPr>
          <w:b w:val="0"/>
        </w:rPr>
        <w:t> — </w:t>
      </w:r>
      <w:r>
        <w:rPr>
          <w:rStyle w:val="CharSDivText"/>
        </w:rPr>
        <w:t>Standard rates</w:t>
      </w:r>
      <w:bookmarkEnd w:id="319"/>
      <w:bookmarkEnd w:id="320"/>
      <w:bookmarkEnd w:id="321"/>
      <w:bookmarkEnd w:id="322"/>
      <w:bookmarkEnd w:id="323"/>
      <w:bookmarkEnd w:id="324"/>
      <w:bookmarkEnd w:id="325"/>
      <w:bookmarkEnd w:id="326"/>
    </w:p>
    <w:p>
      <w:pPr>
        <w:pStyle w:val="yFootnoteheading"/>
        <w:rPr>
          <w:rStyle w:val="CharSDivNo"/>
        </w:rPr>
      </w:pPr>
      <w:r>
        <w:tab/>
        <w:t>[Heading inserted in Gazette 22 Jul 2015 p. 2954.]</w:t>
      </w:r>
    </w:p>
    <w:p>
      <w:pPr>
        <w:pStyle w:val="yHeading5"/>
      </w:pPr>
      <w:bookmarkStart w:id="327" w:name="_Toc486503000"/>
      <w:r>
        <w:rPr>
          <w:rStyle w:val="CharSClsNo"/>
        </w:rPr>
        <w:t>1A</w:t>
      </w:r>
      <w:r>
        <w:t>.</w:t>
      </w:r>
      <w:r>
        <w:tab/>
        <w:t>Standard rates for this Schedule</w:t>
      </w:r>
      <w:bookmarkEnd w:id="327"/>
    </w:p>
    <w:p>
      <w:pPr>
        <w:pStyle w:val="ySubsection"/>
      </w:pPr>
      <w:r>
        <w:tab/>
      </w:r>
      <w:r>
        <w:tab/>
        <w:t xml:space="preserve">In this Schedule, the following rates are standard rates — </w:t>
      </w:r>
    </w:p>
    <w:p>
      <w:pPr>
        <w:pStyle w:val="ySubsection"/>
        <w:rPr>
          <w:b/>
        </w:rPr>
      </w:pPr>
      <w:r>
        <w:rPr>
          <w:b/>
        </w:rPr>
        <w:tab/>
      </w:r>
      <w:r>
        <w:rPr>
          <w:b/>
        </w:rPr>
        <w:tab/>
        <w:t xml:space="preserve">Rate 1: a casual daily rate of </w:t>
      </w:r>
      <w:r>
        <w:rPr>
          <w:b/>
          <w:szCs w:val="22"/>
        </w:rPr>
        <w:t>$7.45</w:t>
      </w:r>
      <w:r>
        <w:rPr>
          <w:b/>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 xml:space="preserve">Rate 2: a casual daily rate of </w:t>
      </w:r>
      <w:r>
        <w:rPr>
          <w:b/>
          <w:szCs w:val="22"/>
        </w:rPr>
        <w:t>$52.40</w:t>
      </w:r>
    </w:p>
    <w:p>
      <w:pPr>
        <w:pStyle w:val="ySubsection"/>
      </w:pPr>
      <w:r>
        <w:tab/>
      </w:r>
      <w:r>
        <w:tab/>
        <w:t>Typically used to calculate the standard daily rate for casual use of a pen or alongside berth for a recreational vessel.</w:t>
      </w:r>
    </w:p>
    <w:p>
      <w:pPr>
        <w:pStyle w:val="ySubsection"/>
        <w:rPr>
          <w:b/>
        </w:rPr>
      </w:pPr>
      <w:r>
        <w:rPr>
          <w:b/>
        </w:rPr>
        <w:tab/>
      </w:r>
      <w:r>
        <w:rPr>
          <w:b/>
        </w:rPr>
        <w:tab/>
        <w:t xml:space="preserve">Rate 3: an annual rate of </w:t>
      </w:r>
      <w:r>
        <w:rPr>
          <w:b/>
          <w:szCs w:val="22"/>
        </w:rPr>
        <w:t>$84.00</w:t>
      </w:r>
      <w:r>
        <w:rPr>
          <w:b/>
        </w:rPr>
        <w:t xml:space="preserve"> per metre of the vessel’s length</w:t>
      </w:r>
    </w:p>
    <w:p>
      <w:pPr>
        <w:pStyle w:val="ySubsection"/>
      </w:pPr>
      <w:r>
        <w:tab/>
      </w:r>
      <w:r>
        <w:tab/>
        <w:t>Typically used to calculate the standard annual rate for short term use of a service wharf or jetty for a vessel (other than service vessels at certain places).</w:t>
      </w:r>
    </w:p>
    <w:p>
      <w:pPr>
        <w:pStyle w:val="yFootnotesection"/>
      </w:pPr>
      <w:r>
        <w:tab/>
        <w:t>[Clause 1A inserted in Gazette 22 Jul 2015 p. 2954</w:t>
      </w:r>
      <w:r>
        <w:noBreakHyphen/>
        <w:t>5; amended in Gazette 15 Apr 2016 p. 1173; 26 May 2017 p. 2625.]</w:t>
      </w:r>
    </w:p>
    <w:p>
      <w:pPr>
        <w:pStyle w:val="yHeading5"/>
      </w:pPr>
      <w:bookmarkStart w:id="328" w:name="_Toc486503001"/>
      <w:r>
        <w:rPr>
          <w:rStyle w:val="CharSClsNo"/>
        </w:rPr>
        <w:t>1B</w:t>
      </w:r>
      <w:r>
        <w:t>.</w:t>
      </w:r>
      <w:r>
        <w:tab/>
        <w:t>Transferability of annual payments</w:t>
      </w:r>
      <w:bookmarkEnd w:id="328"/>
    </w:p>
    <w:p>
      <w:pPr>
        <w:pStyle w:val="ySubsection"/>
      </w:pPr>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1B inserted in Gazette 22 Jul 2015 p. 2955.]</w:t>
      </w:r>
    </w:p>
    <w:p>
      <w:pPr>
        <w:pStyle w:val="yHeading5"/>
      </w:pPr>
      <w:bookmarkStart w:id="329" w:name="_Toc486503002"/>
      <w:r>
        <w:rPr>
          <w:rStyle w:val="CharSClsNo"/>
        </w:rPr>
        <w:t>1C</w:t>
      </w:r>
      <w:r>
        <w:t>.</w:t>
      </w:r>
      <w:r>
        <w:tab/>
        <w:t>Service wharf or jetty entitlements</w:t>
      </w:r>
      <w:bookmarkEnd w:id="329"/>
    </w:p>
    <w:p>
      <w:pPr>
        <w:pStyle w:val="ySubsection"/>
        <w:spacing w:before="180"/>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1C inserted in Gazette 22 Jul 2015 p. 2955.]</w:t>
      </w:r>
    </w:p>
    <w:p>
      <w:pPr>
        <w:pStyle w:val="yHeading5"/>
      </w:pPr>
      <w:bookmarkStart w:id="330" w:name="_Toc486503003"/>
      <w:r>
        <w:rPr>
          <w:rStyle w:val="CharSClsNo"/>
        </w:rPr>
        <w:t>1D</w:t>
      </w:r>
      <w:r>
        <w:t>.</w:t>
      </w:r>
      <w:r>
        <w:tab/>
        <w:t>Active loading and unloading</w:t>
      </w:r>
      <w:bookmarkEnd w:id="330"/>
    </w:p>
    <w:p>
      <w:pPr>
        <w:pStyle w:val="ySubsection"/>
      </w:pPr>
      <w:r>
        <w:tab/>
      </w:r>
      <w:r>
        <w:tab/>
        <w:t xml:space="preserve">A fishing vessel for which there has been paid an amount in accordance with clause 1B or 1C may remain at a service wharf or jetty for longer than the one hour allowed under those clauses,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1D inserted in Gazette 5 Apr 2016 p. 1022.]</w:t>
      </w:r>
    </w:p>
    <w:p>
      <w:pPr>
        <w:pStyle w:val="yHeading5"/>
      </w:pPr>
      <w:bookmarkStart w:id="331" w:name="_Toc486503004"/>
      <w:r>
        <w:rPr>
          <w:rStyle w:val="CharSClsNo"/>
        </w:rPr>
        <w:t>1E</w:t>
      </w:r>
      <w:r>
        <w:t>.</w:t>
      </w:r>
      <w:r>
        <w:tab/>
        <w:t>Wyndham excluded</w:t>
      </w:r>
      <w:bookmarkEnd w:id="331"/>
    </w:p>
    <w:p>
      <w:pPr>
        <w:pStyle w:val="ySubsection"/>
      </w:pPr>
      <w:r>
        <w:tab/>
      </w:r>
      <w:r>
        <w:tab/>
        <w:t>Clauses 1A, 1B, 1C and 1D do not apply to a vessel in the Port of Wyndham.</w:t>
      </w:r>
    </w:p>
    <w:p>
      <w:pPr>
        <w:pStyle w:val="yFootnotesection"/>
      </w:pPr>
      <w:r>
        <w:tab/>
        <w:t>[Clause 1E inserted in Gazette 5 Apr 2016 p. 1022.]</w:t>
      </w:r>
    </w:p>
    <w:p>
      <w:pPr>
        <w:pStyle w:val="yHeading3"/>
      </w:pPr>
      <w:bookmarkStart w:id="332" w:name="_Toc470188418"/>
      <w:bookmarkStart w:id="333" w:name="_Toc483481917"/>
      <w:bookmarkStart w:id="334" w:name="_Toc483493783"/>
      <w:bookmarkStart w:id="335" w:name="_Toc483552890"/>
      <w:bookmarkStart w:id="336" w:name="_Toc485378238"/>
      <w:bookmarkStart w:id="337" w:name="_Toc486502597"/>
      <w:bookmarkStart w:id="338" w:name="_Toc486502801"/>
      <w:bookmarkStart w:id="339" w:name="_Toc486503005"/>
      <w:r>
        <w:rPr>
          <w:rStyle w:val="CharSDivNo"/>
        </w:rPr>
        <w:t>Division 1</w:t>
      </w:r>
      <w:r>
        <w:rPr>
          <w:b w:val="0"/>
        </w:rPr>
        <w:t> — </w:t>
      </w:r>
      <w:r>
        <w:rPr>
          <w:rStyle w:val="CharSDivText"/>
        </w:rPr>
        <w:t>Specified places</w:t>
      </w:r>
      <w:bookmarkEnd w:id="332"/>
      <w:bookmarkEnd w:id="333"/>
      <w:bookmarkEnd w:id="334"/>
      <w:bookmarkEnd w:id="335"/>
      <w:bookmarkEnd w:id="336"/>
      <w:bookmarkEnd w:id="337"/>
      <w:bookmarkEnd w:id="338"/>
      <w:bookmarkEnd w:id="339"/>
    </w:p>
    <w:p>
      <w:pPr>
        <w:pStyle w:val="yFootnoteheading"/>
      </w:pPr>
      <w:r>
        <w:tab/>
        <w:t>[Heading inserted in Gazette 22 Jul 2015 p. 2955.]</w:t>
      </w:r>
    </w:p>
    <w:p>
      <w:pPr>
        <w:pStyle w:val="yHeading5"/>
        <w:spacing w:before="240"/>
      </w:pPr>
      <w:bookmarkStart w:id="340" w:name="_Toc486503006"/>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340"/>
    </w:p>
    <w:p>
      <w:pPr>
        <w:pStyle w:val="ySubsection"/>
        <w:spacing w:before="180"/>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spacing w:before="180"/>
      </w:pPr>
      <w:r>
        <w:tab/>
        <w:t>(2)</w:t>
      </w:r>
      <w:r>
        <w:tab/>
        <w:t>The dues and charges to be paid under these regulations are set out in Table 1.1.</w:t>
      </w:r>
    </w:p>
    <w:p>
      <w:pPr>
        <w:pStyle w:val="yTHeadingNAm"/>
        <w:spacing w:before="180" w:after="80"/>
      </w:pPr>
      <w:r>
        <w:t>Table 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Borders>
              <w:top w:val="single" w:sz="4" w:space="0" w:color="auto"/>
            </w:tcBorders>
          </w:tcPr>
          <w:p>
            <w:pPr>
              <w:pStyle w:val="yTableNAm"/>
            </w:pPr>
            <w:r>
              <w:t>1.</w:t>
            </w:r>
          </w:p>
        </w:tc>
        <w:tc>
          <w:tcPr>
            <w:tcW w:w="4146" w:type="dxa"/>
            <w:tcBorders>
              <w:top w:val="single" w:sz="4" w:space="0" w:color="auto"/>
            </w:tcBorders>
          </w:tcPr>
          <w:p>
            <w:pPr>
              <w:pStyle w:val="yTableNAm"/>
            </w:pPr>
            <w:r>
              <w:t>For the use, other than casual daily use, of a pen, an amount calculated per metre of the pen’s length using the annual rate of</w:t>
            </w:r>
          </w:p>
        </w:tc>
        <w:tc>
          <w:tcPr>
            <w:tcW w:w="1276" w:type="dxa"/>
            <w:tcBorders>
              <w:top w:val="single" w:sz="4" w:space="0" w:color="auto"/>
            </w:tcBorders>
          </w:tcPr>
          <w:p>
            <w:pPr>
              <w:pStyle w:val="yTableNAm"/>
              <w:jc w:val="center"/>
            </w:pPr>
            <w:r>
              <w:br/>
            </w:r>
            <w:r>
              <w:br/>
            </w:r>
            <w:r>
              <w:rPr>
                <w:szCs w:val="22"/>
              </w:rPr>
              <w:t>428.00</w:t>
            </w:r>
            <w:r>
              <w:rPr>
                <w:szCs w:val="22"/>
              </w:rPr>
              <w:br/>
            </w:r>
          </w:p>
        </w:tc>
      </w:tr>
      <w:tr>
        <w:trPr>
          <w:cantSplit/>
        </w:trPr>
        <w:tc>
          <w:tcPr>
            <w:tcW w:w="714"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428.00</w:t>
            </w:r>
            <w:r>
              <w:rPr>
                <w:szCs w:val="22"/>
              </w:rPr>
              <w:br/>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r>
              <w:br/>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keepNext/>
            </w:pPr>
            <w:r>
              <w:t>4.</w:t>
            </w:r>
          </w:p>
        </w:tc>
        <w:tc>
          <w:tcPr>
            <w:tcW w:w="4146" w:type="dxa"/>
            <w:tcBorders>
              <w:bottom w:val="single" w:sz="4" w:space="0" w:color="auto"/>
            </w:tcBorders>
          </w:tcPr>
          <w:p>
            <w:pPr>
              <w:pStyle w:val="yTableNAm"/>
              <w:keepNext/>
            </w:pPr>
            <w:r>
              <w:t>For the short term use of a service jetty by a vessel, an amount calculated using standard Rate 3</w:t>
            </w:r>
          </w:p>
        </w:tc>
        <w:tc>
          <w:tcPr>
            <w:tcW w:w="1276" w:type="dxa"/>
            <w:tcBorders>
              <w:bottom w:val="single" w:sz="4" w:space="0" w:color="auto"/>
            </w:tcBorders>
          </w:tcPr>
          <w:p>
            <w:pPr>
              <w:pStyle w:val="yTableNAm"/>
              <w:keepNext/>
              <w:jc w:val="center"/>
            </w:pPr>
          </w:p>
        </w:tc>
      </w:tr>
    </w:tbl>
    <w:p>
      <w:pPr>
        <w:pStyle w:val="yFootnotesection"/>
      </w:pPr>
      <w:r>
        <w:tab/>
        <w:t>[Clause 1 inserted in Gazette 22 Jul 2015 p. 2955</w:t>
      </w:r>
      <w:r>
        <w:noBreakHyphen/>
        <w:t>6; amended in Gazette 15 Apr 2016 p. 1173-4; 26 May 2017 p. 2625.]</w:t>
      </w:r>
    </w:p>
    <w:p>
      <w:pPr>
        <w:pStyle w:val="yHeading5"/>
        <w:spacing w:before="240"/>
      </w:pPr>
      <w:bookmarkStart w:id="341" w:name="_Toc486503007"/>
      <w:r>
        <w:rPr>
          <w:rStyle w:val="CharSClsNo"/>
        </w:rPr>
        <w:t>2</w:t>
      </w:r>
      <w:r>
        <w:t>.</w:t>
      </w:r>
      <w:r>
        <w:tab/>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41"/>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2.1.</w:t>
      </w:r>
    </w:p>
    <w:p>
      <w:pPr>
        <w:pStyle w:val="yTHeadingNAm"/>
        <w:spacing w:after="80"/>
        <w:ind w:left="992"/>
      </w:pPr>
      <w:r>
        <w:t>Table 2.1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225.00</w:t>
            </w:r>
            <w:r>
              <w:rPr>
                <w:szCs w:val="22"/>
              </w:rPr>
              <w:br/>
            </w:r>
          </w:p>
        </w:tc>
      </w:tr>
      <w:tr>
        <w:trPr>
          <w:cantSplit/>
        </w:trPr>
        <w:tc>
          <w:tcPr>
            <w:tcW w:w="728"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270.00</w:t>
            </w:r>
            <w:r>
              <w:rPr>
                <w:szCs w:val="22"/>
              </w:rPr>
              <w:br/>
            </w:r>
          </w:p>
        </w:tc>
      </w:tr>
      <w:tr>
        <w:trPr>
          <w:cantSplit/>
        </w:trPr>
        <w:tc>
          <w:tcPr>
            <w:tcW w:w="728"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 inserted in Gazette 22 Jul 2015 p. 2956</w:t>
      </w:r>
      <w:r>
        <w:noBreakHyphen/>
        <w:t>7; amended in Gazette 15 Apr 2016 p. 1174; 26 May 2017 p. 2625.]</w:t>
      </w:r>
    </w:p>
    <w:p>
      <w:pPr>
        <w:pStyle w:val="yHeading5"/>
      </w:pPr>
      <w:bookmarkStart w:id="342" w:name="_Toc486503008"/>
      <w:r>
        <w:rPr>
          <w:rStyle w:val="CharSClsNo"/>
        </w:rPr>
        <w:t>3</w:t>
      </w:r>
      <w:r>
        <w:t>.</w:t>
      </w:r>
      <w:r>
        <w:tab/>
        <w:t>Augusta Boat Harbour</w:t>
      </w:r>
      <w:bookmarkEnd w:id="342"/>
    </w:p>
    <w:p>
      <w:pPr>
        <w:pStyle w:val="ySubsection"/>
      </w:pPr>
      <w:r>
        <w:tab/>
        <w:t>(1)</w:t>
      </w:r>
      <w:r>
        <w:tab/>
        <w:t>This clause applies to the Augusta Boat Harbour.</w:t>
      </w:r>
    </w:p>
    <w:p>
      <w:pPr>
        <w:pStyle w:val="ySubsection"/>
      </w:pPr>
      <w:r>
        <w:tab/>
        <w:t>(2)</w:t>
      </w:r>
      <w:r>
        <w:tab/>
        <w:t>The dues and charges to be paid under these regulations are set out in Table 3.1.</w:t>
      </w:r>
    </w:p>
    <w:p>
      <w:pPr>
        <w:pStyle w:val="yTHeadingNAm"/>
        <w:spacing w:before="180" w:after="80"/>
        <w:ind w:left="992"/>
      </w:pPr>
      <w:r>
        <w:t>Table 3.1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428.00</w:t>
            </w:r>
            <w:r>
              <w:rPr>
                <w:szCs w:val="22"/>
              </w:rPr>
              <w:br/>
            </w:r>
          </w:p>
        </w:tc>
      </w:tr>
      <w:tr>
        <w:trPr>
          <w:cantSplit/>
        </w:trPr>
        <w:tc>
          <w:tcPr>
            <w:tcW w:w="700"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428.00</w:t>
            </w:r>
            <w:r>
              <w:rPr>
                <w:szCs w:val="22"/>
              </w:rPr>
              <w:br/>
            </w:r>
          </w:p>
        </w:tc>
      </w:tr>
      <w:tr>
        <w:trPr>
          <w:cantSplit/>
        </w:trPr>
        <w:tc>
          <w:tcPr>
            <w:tcW w:w="700"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3 inserted in Gazette 22 Jul 2015 p. 2957</w:t>
      </w:r>
      <w:r>
        <w:noBreakHyphen/>
        <w:t>8; amended in Gazette 15 Apr 2016 p. 1174; 26 May 2017 p. 2625.]</w:t>
      </w:r>
    </w:p>
    <w:p>
      <w:pPr>
        <w:pStyle w:val="yHeading5"/>
        <w:spacing w:before="240"/>
      </w:pPr>
      <w:bookmarkStart w:id="343" w:name="_Toc486503009"/>
      <w:r>
        <w:rPr>
          <w:rStyle w:val="CharSClsNo"/>
        </w:rPr>
        <w:t>4</w:t>
      </w:r>
      <w:r>
        <w:t>.</w:t>
      </w:r>
      <w:r>
        <w:tab/>
        <w:t>Augusta (Ellis Street) Maritime Facility</w:t>
      </w:r>
      <w:bookmarkEnd w:id="343"/>
    </w:p>
    <w:p>
      <w:pPr>
        <w:pStyle w:val="ySubsection"/>
      </w:pPr>
      <w:r>
        <w:tab/>
        <w:t>(1)</w:t>
      </w:r>
      <w:r>
        <w:tab/>
        <w:t>This clause applies to the Augusta (Ellis Street) Maritime Facility.</w:t>
      </w:r>
    </w:p>
    <w:p>
      <w:pPr>
        <w:pStyle w:val="ySubsection"/>
      </w:pPr>
      <w:r>
        <w:tab/>
        <w:t>(2)</w:t>
      </w:r>
      <w:r>
        <w:tab/>
        <w:t>The dues and charges to be paid under these regulations are set out in Table 4.1.</w:t>
      </w:r>
    </w:p>
    <w:p>
      <w:pPr>
        <w:pStyle w:val="yTHeadingNAm"/>
        <w:ind w:left="993"/>
      </w:pPr>
      <w:r>
        <w:t>Table 4.1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270.00</w:t>
            </w:r>
            <w:r>
              <w:rPr>
                <w:szCs w:val="22"/>
              </w:rPr>
              <w:br/>
            </w:r>
          </w:p>
        </w:tc>
      </w:tr>
      <w:tr>
        <w:trPr>
          <w:cantSplit/>
        </w:trPr>
        <w:tc>
          <w:tcPr>
            <w:tcW w:w="700" w:type="dxa"/>
          </w:tcPr>
          <w:p>
            <w:pPr>
              <w:pStyle w:val="yTableNAm"/>
            </w:pPr>
            <w:r>
              <w:t>2.</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4 inserted in Gazette 22 Jul 2015 p. 2958; amended in Gazette 15 Apr 2016 p. 1174; 26 May 2017 p. 2625.]</w:t>
      </w:r>
    </w:p>
    <w:p>
      <w:pPr>
        <w:pStyle w:val="yHeading5"/>
      </w:pPr>
      <w:bookmarkStart w:id="344" w:name="_Toc486503010"/>
      <w:r>
        <w:rPr>
          <w:rStyle w:val="CharSClsNo"/>
        </w:rPr>
        <w:t>5</w:t>
      </w:r>
      <w:r>
        <w:t>.</w:t>
      </w:r>
      <w:r>
        <w:tab/>
      </w:r>
      <w:smartTag w:uri="urn:schemas-microsoft-com:office:smarttags" w:element="place">
        <w:smartTag w:uri="urn:schemas-microsoft-com:office:smarttags" w:element="PlaceName">
          <w:r>
            <w:t>Bremer</w:t>
          </w:r>
        </w:smartTag>
        <w:r>
          <w:t xml:space="preserve"> Bay</w:t>
        </w:r>
      </w:smartTag>
      <w:bookmarkEnd w:id="344"/>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berthing dues to be paid under these regulations are set out in Table 5.1.</w:t>
      </w:r>
    </w:p>
    <w:p>
      <w:pPr>
        <w:pStyle w:val="yTHeadingNAm"/>
        <w:ind w:left="993"/>
      </w:pPr>
      <w:r>
        <w:t>Table 5.1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686"/>
        <w:gridCol w:w="4174"/>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Pr>
          <w:p>
            <w:pPr>
              <w:pStyle w:val="yTableNAm"/>
            </w:pPr>
            <w:r>
              <w:t>1.</w:t>
            </w:r>
          </w:p>
        </w:tc>
        <w:tc>
          <w:tcPr>
            <w:tcW w:w="4174" w:type="dxa"/>
          </w:tcPr>
          <w:p>
            <w:pPr>
              <w:pStyle w:val="yTableNAm"/>
            </w:pPr>
            <w:r>
              <w:t xml:space="preserve">For the casual daily use of an alongside berth — </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86" w:type="dxa"/>
            <w:tcBorders>
              <w:bottom w:val="single" w:sz="4" w:space="0" w:color="auto"/>
            </w:tcBorders>
          </w:tcPr>
          <w:p>
            <w:pPr>
              <w:pStyle w:val="yTableNAm"/>
            </w:pPr>
            <w:r>
              <w:t>2.</w:t>
            </w:r>
          </w:p>
        </w:tc>
        <w:tc>
          <w:tcPr>
            <w:tcW w:w="4174" w:type="dxa"/>
            <w:tcBorders>
              <w:bottom w:val="single" w:sz="4" w:space="0" w:color="auto"/>
            </w:tcBorders>
          </w:tcPr>
          <w:p>
            <w:pPr>
              <w:pStyle w:val="yTableNAm"/>
            </w:pPr>
            <w:r>
              <w:t>For the short term use of a service wharf or jetty by a vessel for which a swing mooring fee has not been paid,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5 inserted in Gazette 22 Jul 2015 p. 2959.]</w:t>
      </w:r>
    </w:p>
    <w:p>
      <w:pPr>
        <w:pStyle w:val="yHeading5"/>
        <w:spacing w:before="180"/>
      </w:pPr>
      <w:bookmarkStart w:id="345" w:name="_Toc486503011"/>
      <w:r>
        <w:rPr>
          <w:rStyle w:val="CharSClsNo"/>
        </w:rPr>
        <w:t>6</w:t>
      </w:r>
      <w:r>
        <w:t>.</w:t>
      </w:r>
      <w:r>
        <w:tab/>
        <w:t xml:space="preserve">Bunbury, </w:t>
      </w:r>
      <w:smartTag w:uri="urn:schemas-microsoft-com:office:smarttags" w:element="PlaceName">
        <w:r>
          <w:t>Casuarina</w:t>
        </w:r>
      </w:smartTag>
      <w:r>
        <w:t xml:space="preserve"> </w:t>
      </w:r>
      <w:smartTag w:uri="urn:schemas-microsoft-com:office:smarttags" w:element="PlaceName">
        <w:r>
          <w:t>Boat</w:t>
        </w:r>
      </w:smartTag>
      <w:r>
        <w:t xml:space="preserve"> Harbour</w:t>
      </w:r>
      <w:bookmarkEnd w:id="345"/>
    </w:p>
    <w:p>
      <w:pPr>
        <w:pStyle w:val="ySubsection"/>
        <w:spacing w:before="120"/>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spacing w:before="120"/>
      </w:pPr>
      <w:r>
        <w:tab/>
        <w:t>(2)</w:t>
      </w:r>
      <w:r>
        <w:tab/>
        <w:t>The dues and charges to be paid under these regulations are set out in Table 6.1.</w:t>
      </w:r>
    </w:p>
    <w:p>
      <w:pPr>
        <w:pStyle w:val="yTHeadingNAm"/>
        <w:spacing w:before="100"/>
        <w:ind w:left="992"/>
      </w:pPr>
      <w:r>
        <w:t>Table 6.1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00"/>
        <w:gridCol w:w="4174"/>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349.00</w:t>
            </w:r>
            <w:r>
              <w:rPr>
                <w:szCs w:val="22"/>
              </w:rPr>
              <w:br/>
            </w:r>
          </w:p>
        </w:tc>
      </w:tr>
      <w:tr>
        <w:trPr>
          <w:cantSplit/>
        </w:trPr>
        <w:tc>
          <w:tcPr>
            <w:tcW w:w="700"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349.00</w:t>
            </w:r>
            <w:r>
              <w:rPr>
                <w:szCs w:val="22"/>
              </w:rPr>
              <w:br/>
            </w:r>
          </w:p>
        </w:tc>
      </w:tr>
      <w:tr>
        <w:trPr>
          <w:cantSplit/>
        </w:trPr>
        <w:tc>
          <w:tcPr>
            <w:tcW w:w="700" w:type="dxa"/>
          </w:tcPr>
          <w:p>
            <w:pPr>
              <w:pStyle w:val="yTableNAm"/>
            </w:pPr>
            <w:r>
              <w:t>3.</w:t>
            </w:r>
          </w:p>
        </w:tc>
        <w:tc>
          <w:tcPr>
            <w:tcW w:w="4174"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74"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5.</w:t>
            </w:r>
          </w:p>
        </w:tc>
        <w:tc>
          <w:tcPr>
            <w:tcW w:w="4174"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6 inserted in Gazette 22 Jul 2015 p. 2959</w:t>
      </w:r>
      <w:r>
        <w:noBreakHyphen/>
        <w:t>60; amended in Gazette 15 Apr 2016 p. 1174; 26 May 2017 p. 2625.]</w:t>
      </w:r>
    </w:p>
    <w:p>
      <w:pPr>
        <w:pStyle w:val="yHeading5"/>
      </w:pPr>
      <w:bookmarkStart w:id="346" w:name="_Toc486503012"/>
      <w:r>
        <w:rPr>
          <w:rStyle w:val="CharSClsNo"/>
        </w:rPr>
        <w:t>7</w:t>
      </w:r>
      <w:r>
        <w:t>.</w:t>
      </w:r>
      <w: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46"/>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7.1.</w:t>
      </w:r>
    </w:p>
    <w:p>
      <w:pPr>
        <w:pStyle w:val="yTHeadingNAm"/>
        <w:ind w:left="993"/>
      </w:pPr>
      <w:r>
        <w:t>Table 7.1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r>
            <w:r>
              <w:rPr>
                <w:szCs w:val="22"/>
              </w:rPr>
              <w:t>259.00</w:t>
            </w:r>
            <w:r>
              <w:rPr>
                <w:szCs w:val="22"/>
              </w:rPr>
              <w:br/>
            </w:r>
          </w:p>
        </w:tc>
      </w:tr>
      <w:tr>
        <w:trPr>
          <w:cantSplit/>
        </w:trPr>
        <w:tc>
          <w:tcPr>
            <w:tcW w:w="700" w:type="dxa"/>
          </w:tcPr>
          <w:p>
            <w:pPr>
              <w:pStyle w:val="yTableNAm"/>
            </w:pPr>
            <w:r>
              <w:t>2.</w:t>
            </w:r>
          </w:p>
        </w:tc>
        <w:tc>
          <w:tcPr>
            <w:tcW w:w="4160"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r>
            <w:r>
              <w:rPr>
                <w:szCs w:val="22"/>
              </w:rPr>
              <w:t>236.00</w:t>
            </w:r>
            <w:r>
              <w:rPr>
                <w:szCs w:val="22"/>
              </w:rPr>
              <w:br/>
            </w:r>
          </w:p>
        </w:tc>
      </w:tr>
      <w:tr>
        <w:trPr>
          <w:cantSplit/>
        </w:trPr>
        <w:tc>
          <w:tcPr>
            <w:tcW w:w="700" w:type="dxa"/>
          </w:tcPr>
          <w:p>
            <w:pPr>
              <w:pStyle w:val="yTableNAm"/>
            </w:pPr>
            <w:r>
              <w:t>3.</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310.00</w:t>
            </w:r>
            <w:r>
              <w:rPr>
                <w:szCs w:val="22"/>
              </w:rPr>
              <w:br/>
            </w:r>
          </w:p>
        </w:tc>
      </w:tr>
      <w:tr>
        <w:trPr>
          <w:cantSplit/>
        </w:trPr>
        <w:tc>
          <w:tcPr>
            <w:tcW w:w="700" w:type="dxa"/>
          </w:tcPr>
          <w:p>
            <w:pPr>
              <w:pStyle w:val="yTableNAm"/>
            </w:pPr>
            <w:r>
              <w:t>4.</w:t>
            </w:r>
          </w:p>
        </w:tc>
        <w:tc>
          <w:tcPr>
            <w:tcW w:w="4160" w:type="dxa"/>
          </w:tcPr>
          <w:p>
            <w:pPr>
              <w:pStyle w:val="yTableNAm"/>
            </w:pPr>
            <w:r>
              <w:t>For the use of the T</w:t>
            </w:r>
            <w:r>
              <w:noBreakHyphen/>
              <w:t>jetty, T</w:t>
            </w:r>
            <w:r>
              <w:noBreakHyphen/>
              <w:t>jetty pen and land</w:t>
            </w:r>
            <w:r>
              <w:noBreakHyphen/>
              <w:t>backed wharf by a commercial vessel, an amount calculated per metre of the vessel’s length using the annual rate of</w:t>
            </w:r>
          </w:p>
        </w:tc>
        <w:tc>
          <w:tcPr>
            <w:tcW w:w="1276" w:type="dxa"/>
          </w:tcPr>
          <w:p>
            <w:pPr>
              <w:pStyle w:val="yTableNAm"/>
              <w:jc w:val="center"/>
            </w:pPr>
            <w:r>
              <w:br/>
            </w:r>
            <w:r>
              <w:br/>
            </w:r>
            <w:r>
              <w:br/>
            </w:r>
            <w:r>
              <w:rPr>
                <w:szCs w:val="22"/>
              </w:rPr>
              <w:t>310.00</w:t>
            </w:r>
            <w:r>
              <w:rPr>
                <w:szCs w:val="22"/>
              </w:rPr>
              <w:br/>
            </w:r>
          </w:p>
        </w:tc>
      </w:tr>
      <w:tr>
        <w:trPr>
          <w:cantSplit/>
        </w:trPr>
        <w:tc>
          <w:tcPr>
            <w:tcW w:w="700" w:type="dxa"/>
          </w:tcPr>
          <w:p>
            <w:pPr>
              <w:pStyle w:val="yTableNAm"/>
            </w:pPr>
            <w:r>
              <w:t>5.</w:t>
            </w:r>
          </w:p>
        </w:tc>
        <w:tc>
          <w:tcPr>
            <w:tcW w:w="4160" w:type="dxa"/>
          </w:tcPr>
          <w:p>
            <w:pPr>
              <w:pStyle w:val="yTableNAm"/>
            </w:pPr>
            <w:r>
              <w:t>For the casual daily use of the T</w:t>
            </w:r>
            <w:r>
              <w:noBreakHyphen/>
              <w:t>jetty, T</w:t>
            </w:r>
            <w:r>
              <w:noBreakHyphen/>
              <w:t>jetty pen and land</w:t>
            </w:r>
            <w:r>
              <w:noBreakHyphen/>
              <w:t>backed wharf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casual daily use of the snapper jetty, attached partly serviced pen and low level landing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7.</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00" w:type="dxa"/>
          </w:tcPr>
          <w:p>
            <w:pPr>
              <w:pStyle w:val="yTableNAm"/>
            </w:pPr>
            <w:r>
              <w:t>8.</w:t>
            </w:r>
          </w:p>
        </w:tc>
        <w:tc>
          <w:tcPr>
            <w:tcW w:w="4160" w:type="dxa"/>
          </w:tcPr>
          <w:p>
            <w:pPr>
              <w:pStyle w:val="yTableNAm"/>
            </w:pPr>
            <w:r>
              <w:t>For the casual daily use of any pen not described in item 5 or 6 or pile mooring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9.</w:t>
            </w:r>
          </w:p>
        </w:tc>
        <w:tc>
          <w:tcPr>
            <w:tcW w:w="4160" w:type="dxa"/>
          </w:tcPr>
          <w:p>
            <w:pPr>
              <w:pStyle w:val="yTableNAm"/>
            </w:pPr>
            <w:r>
              <w:t>For the casual daily use of any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10.</w:t>
            </w:r>
          </w:p>
        </w:tc>
        <w:tc>
          <w:tcPr>
            <w:tcW w:w="4160" w:type="dxa"/>
            <w:tcBorders>
              <w:bottom w:val="single" w:sz="4" w:space="0" w:color="auto"/>
            </w:tcBorders>
          </w:tcPr>
          <w:p>
            <w:pPr>
              <w:pStyle w:val="yTableNAm"/>
            </w:pPr>
            <w:r>
              <w:t>For the use of a pile mooring, an amount calculated per metre of the vessel’s length using the annual rate of</w:t>
            </w:r>
          </w:p>
        </w:tc>
        <w:tc>
          <w:tcPr>
            <w:tcW w:w="1276" w:type="dxa"/>
            <w:tcBorders>
              <w:bottom w:val="single" w:sz="4" w:space="0" w:color="auto"/>
            </w:tcBorders>
          </w:tcPr>
          <w:p>
            <w:pPr>
              <w:pStyle w:val="yTableNAm"/>
              <w:jc w:val="center"/>
            </w:pPr>
            <w:r>
              <w:br/>
            </w:r>
            <w:r>
              <w:br/>
            </w:r>
            <w:r>
              <w:rPr>
                <w:szCs w:val="22"/>
              </w:rPr>
              <w:t>146.00</w:t>
            </w:r>
            <w:r>
              <w:rPr>
                <w:szCs w:val="22"/>
              </w:rPr>
              <w:br/>
            </w:r>
          </w:p>
        </w:tc>
      </w:tr>
    </w:tbl>
    <w:p>
      <w:pPr>
        <w:pStyle w:val="yFootnotesection"/>
      </w:pPr>
      <w:r>
        <w:tab/>
        <w:t>[Clause 7 inserted in Gazette 22 Jul 2015 p. 2960</w:t>
      </w:r>
      <w:r>
        <w:noBreakHyphen/>
        <w:t>1; amended in Gazette 5 Apr 2016 p. 1023; 15 Apr 2016 p. 1174; 26 May 2017 p. 2625.]</w:t>
      </w:r>
    </w:p>
    <w:p>
      <w:pPr>
        <w:pStyle w:val="yHeading5"/>
      </w:pPr>
      <w:bookmarkStart w:id="347" w:name="_Toc486503013"/>
      <w:r>
        <w:rPr>
          <w:rStyle w:val="CharSClsNo"/>
        </w:rPr>
        <w:t>8</w:t>
      </w:r>
      <w:r>
        <w:t>.</w:t>
      </w:r>
      <w:r>
        <w:tab/>
        <w:t>Cervantes</w:t>
      </w:r>
      <w:bookmarkEnd w:id="347"/>
    </w:p>
    <w:p>
      <w:pPr>
        <w:pStyle w:val="ySubsection"/>
      </w:pPr>
      <w:r>
        <w:tab/>
        <w:t>(1)</w:t>
      </w:r>
      <w:r>
        <w:tab/>
        <w:t>This clause applies to Cervantes.</w:t>
      </w:r>
    </w:p>
    <w:p>
      <w:pPr>
        <w:pStyle w:val="ySubsection"/>
      </w:pPr>
      <w:r>
        <w:tab/>
        <w:t>(2)</w:t>
      </w:r>
      <w:r>
        <w:tab/>
        <w:t>The berthing dues to be paid under these regulations are set out in Table 8.1.</w:t>
      </w:r>
    </w:p>
    <w:p>
      <w:pPr>
        <w:pStyle w:val="yTHeadingNAm"/>
        <w:ind w:left="993"/>
      </w:pPr>
      <w:r>
        <w:t>Table 8.1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keepNext/>
            </w:pPr>
            <w:r>
              <w:rPr>
                <w:b/>
              </w:rPr>
              <w:t>Item</w:t>
            </w:r>
          </w:p>
        </w:tc>
        <w:tc>
          <w:tcPr>
            <w:tcW w:w="4160"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00" w:type="dxa"/>
          </w:tcPr>
          <w:p>
            <w:pPr>
              <w:pStyle w:val="yTableNAm"/>
            </w:pPr>
            <w:r>
              <w:t>1.</w:t>
            </w:r>
          </w:p>
        </w:tc>
        <w:tc>
          <w:tcPr>
            <w:tcW w:w="4160" w:type="dxa"/>
          </w:tcPr>
          <w:p>
            <w:pPr>
              <w:pStyle w:val="yTableNAm"/>
            </w:pPr>
            <w:r>
              <w:t>For the short term use of a service wharf or jetty by a vessel, an amount calculated using standard Rate 3</w:t>
            </w:r>
          </w:p>
        </w:tc>
        <w:tc>
          <w:tcPr>
            <w:tcW w:w="1276" w:type="dxa"/>
            <w:vAlign w:val="bottom"/>
          </w:tcPr>
          <w:p>
            <w:pPr>
              <w:pStyle w:val="yTableNAm"/>
              <w:jc w:val="center"/>
            </w:pPr>
          </w:p>
        </w:tc>
      </w:tr>
      <w:tr>
        <w:trPr>
          <w:cantSplit/>
        </w:trPr>
        <w:tc>
          <w:tcPr>
            <w:tcW w:w="700" w:type="dxa"/>
          </w:tcPr>
          <w:p>
            <w:pPr>
              <w:pStyle w:val="yTableNAm"/>
            </w:pPr>
            <w:r>
              <w:t>2.</w:t>
            </w:r>
          </w:p>
        </w:tc>
        <w:tc>
          <w:tcPr>
            <w:tcW w:w="4160" w:type="dxa"/>
          </w:tcPr>
          <w:p>
            <w:pPr>
              <w:pStyle w:val="yTableNAm"/>
            </w:pPr>
            <w:r>
              <w:t xml:space="preserve">For the </w:t>
            </w:r>
            <w:r>
              <w:rPr>
                <w:szCs w:val="22"/>
              </w:rPr>
              <w:t>casual daily</w:t>
            </w:r>
            <w:r>
              <w:t xml:space="preserve"> use of an alongside berth by a commercial vessel,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 xml:space="preserve">For the </w:t>
            </w:r>
            <w:r>
              <w:rPr>
                <w:szCs w:val="22"/>
              </w:rPr>
              <w:t>casual daily</w:t>
            </w:r>
            <w:r>
              <w:t xml:space="preserve"> use of an alongside berth by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8 inserted in Gazette 22 Jul 2015 p. 2961</w:t>
      </w:r>
      <w:r>
        <w:noBreakHyphen/>
        <w:t>2; amended in Gazette 23 Dec 2016 p. 5913.]</w:t>
      </w:r>
    </w:p>
    <w:p>
      <w:pPr>
        <w:pStyle w:val="yHeading5"/>
      </w:pPr>
      <w:bookmarkStart w:id="348" w:name="_Toc486503014"/>
      <w:r>
        <w:rPr>
          <w:rStyle w:val="CharSClsNo"/>
        </w:rPr>
        <w:t>9</w:t>
      </w:r>
      <w:r>
        <w:t>.</w:t>
      </w:r>
      <w:r>
        <w:tab/>
        <w:t>Coral Bay Maritime Facility</w:t>
      </w:r>
      <w:bookmarkEnd w:id="348"/>
    </w:p>
    <w:p>
      <w:pPr>
        <w:pStyle w:val="ySubsection"/>
      </w:pPr>
      <w:r>
        <w:tab/>
        <w:t>(1)</w:t>
      </w:r>
      <w:r>
        <w:tab/>
        <w:t>This clause applies to the Coral Bay Maritime Facility.</w:t>
      </w:r>
    </w:p>
    <w:p>
      <w:pPr>
        <w:pStyle w:val="ySubsection"/>
      </w:pPr>
      <w:r>
        <w:tab/>
        <w:t>(2)</w:t>
      </w:r>
      <w:r>
        <w:tab/>
        <w:t>The berthing dues to be paid under these regulations are set out in Table 9.1.</w:t>
      </w:r>
    </w:p>
    <w:p>
      <w:pPr>
        <w:pStyle w:val="yTHeadingNAm"/>
        <w:ind w:left="993"/>
      </w:pPr>
      <w:r>
        <w:t>Table 9.1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 xml:space="preserve">For the use by a vessel of an alongside berth — </w:t>
            </w:r>
          </w:p>
        </w:tc>
        <w:tc>
          <w:tcPr>
            <w:tcW w:w="1276" w:type="dxa"/>
          </w:tcPr>
          <w:p>
            <w:pPr>
              <w:pStyle w:val="yTableNAm"/>
              <w:jc w:val="center"/>
            </w:pPr>
            <w:r>
              <w:br/>
            </w:r>
          </w:p>
        </w:tc>
      </w:tr>
      <w:tr>
        <w:trPr>
          <w:cantSplit/>
        </w:trPr>
        <w:tc>
          <w:tcPr>
            <w:tcW w:w="700" w:type="dxa"/>
          </w:tcPr>
          <w:p>
            <w:pPr>
              <w:pStyle w:val="zyTableNAm"/>
            </w:pPr>
          </w:p>
        </w:tc>
        <w:tc>
          <w:tcPr>
            <w:tcW w:w="4160" w:type="dxa"/>
          </w:tcPr>
          <w:p>
            <w:pPr>
              <w:pStyle w:val="yTableNAm"/>
              <w:tabs>
                <w:tab w:val="clear" w:pos="567"/>
              </w:tabs>
              <w:ind w:left="226" w:hanging="226"/>
            </w:pPr>
            <w:r>
              <w:t>•</w:t>
            </w:r>
            <w:r>
              <w:tab/>
              <w:t>for short term use, an amount calculated using standard Rate 3</w:t>
            </w:r>
          </w:p>
        </w:tc>
        <w:tc>
          <w:tcPr>
            <w:tcW w:w="1276" w:type="dxa"/>
            <w:vAlign w:val="bottom"/>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for casual daily use,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casual daily use of any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9 inserted in Gazette 22 Jul 2015 p. 2962.]</w:t>
      </w:r>
    </w:p>
    <w:p>
      <w:pPr>
        <w:pStyle w:val="yHeading5"/>
      </w:pPr>
      <w:bookmarkStart w:id="349" w:name="_Toc486503015"/>
      <w:r>
        <w:rPr>
          <w:rStyle w:val="CharSClsNo"/>
        </w:rPr>
        <w:t>10</w:t>
      </w:r>
      <w:r>
        <w:t>.</w:t>
      </w:r>
      <w:r>
        <w:tab/>
        <w:t>Denham Maritime Facility</w:t>
      </w:r>
      <w:bookmarkEnd w:id="349"/>
    </w:p>
    <w:p>
      <w:pPr>
        <w:pStyle w:val="ySubsection"/>
      </w:pPr>
      <w:r>
        <w:tab/>
        <w:t>(1)</w:t>
      </w:r>
      <w:r>
        <w:tab/>
        <w:t>This clause applies to the Denham Maritime Facility.</w:t>
      </w:r>
    </w:p>
    <w:p>
      <w:pPr>
        <w:pStyle w:val="ySubsection"/>
      </w:pPr>
      <w:r>
        <w:tab/>
        <w:t>(2)</w:t>
      </w:r>
      <w:r>
        <w:tab/>
        <w:t>The dues and charges to be paid under these regulations are set out in Table 10.1.</w:t>
      </w:r>
    </w:p>
    <w:p>
      <w:pPr>
        <w:pStyle w:val="yTHeadingNAm"/>
        <w:ind w:left="993"/>
      </w:pPr>
      <w:r>
        <w:t>Table 10.1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293.00</w:t>
            </w:r>
            <w:r>
              <w:rPr>
                <w:szCs w:val="22"/>
              </w:rPr>
              <w:br/>
            </w:r>
          </w:p>
        </w:tc>
      </w:tr>
      <w:tr>
        <w:trPr>
          <w:cantSplit/>
        </w:trPr>
        <w:tc>
          <w:tcPr>
            <w:tcW w:w="728" w:type="dxa"/>
          </w:tcPr>
          <w:p>
            <w:pPr>
              <w:pStyle w:val="yTableNAm"/>
            </w:pPr>
            <w:r>
              <w:t>2.</w:t>
            </w:r>
          </w:p>
        </w:tc>
        <w:tc>
          <w:tcPr>
            <w:tcW w:w="4146"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28" w:type="dxa"/>
          </w:tcPr>
          <w:p>
            <w:pPr>
              <w:pStyle w:val="yTableNAm"/>
            </w:pPr>
            <w:r>
              <w:t>3.</w:t>
            </w:r>
          </w:p>
        </w:tc>
        <w:tc>
          <w:tcPr>
            <w:tcW w:w="4146"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10 inserted in Gazette 22 Jul 2015 p. 2962</w:t>
      </w:r>
      <w:r>
        <w:noBreakHyphen/>
        <w:t>3; amended in Gazette 15 Apr 2016 p. 1174; 26 May 2017 p. 2626.]</w:t>
      </w:r>
    </w:p>
    <w:p>
      <w:pPr>
        <w:pStyle w:val="yHeading5"/>
      </w:pPr>
      <w:bookmarkStart w:id="350" w:name="_Toc486503016"/>
      <w:r>
        <w:rPr>
          <w:rStyle w:val="CharSClsNo"/>
        </w:rPr>
        <w:t>11</w:t>
      </w:r>
      <w:r>
        <w:t>.</w:t>
      </w:r>
      <w:r>
        <w:tab/>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350"/>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dues and charges to be paid under these regulations are set out in Table 11.1.</w:t>
      </w:r>
    </w:p>
    <w:p>
      <w:pPr>
        <w:pStyle w:val="yTHeadingNAm"/>
        <w:ind w:left="993"/>
      </w:pPr>
      <w:r>
        <w:t>Table 11.1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r>
            <w:r>
              <w:rPr>
                <w:szCs w:val="22"/>
              </w:rPr>
              <w:t>315.00</w:t>
            </w:r>
            <w:r>
              <w:rPr>
                <w:szCs w:val="22"/>
              </w:rPr>
              <w:br/>
            </w:r>
          </w:p>
        </w:tc>
      </w:tr>
      <w:tr>
        <w:trPr>
          <w:cantSplit/>
        </w:trPr>
        <w:tc>
          <w:tcPr>
            <w:tcW w:w="714" w:type="dxa"/>
          </w:tcPr>
          <w:p>
            <w:pPr>
              <w:pStyle w:val="yTableNAm"/>
            </w:pPr>
            <w:r>
              <w:t>2.</w:t>
            </w:r>
          </w:p>
        </w:tc>
        <w:tc>
          <w:tcPr>
            <w:tcW w:w="4146"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r>
            <w:r>
              <w:rPr>
                <w:szCs w:val="22"/>
              </w:rPr>
              <w:t>219.00</w:t>
            </w:r>
            <w:r>
              <w:rPr>
                <w:szCs w:val="22"/>
              </w:rPr>
              <w:br/>
            </w:r>
          </w:p>
        </w:tc>
      </w:tr>
      <w:tr>
        <w:trPr>
          <w:cantSplit/>
        </w:trPr>
        <w:tc>
          <w:tcPr>
            <w:tcW w:w="714" w:type="dxa"/>
          </w:tcPr>
          <w:p>
            <w:pPr>
              <w:pStyle w:val="yTableNAm"/>
            </w:pPr>
            <w:r>
              <w:t>3.</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315.00</w:t>
            </w:r>
            <w:r>
              <w:rPr>
                <w:szCs w:val="22"/>
              </w:rPr>
              <w:br/>
            </w:r>
          </w:p>
        </w:tc>
      </w:tr>
      <w:tr>
        <w:trPr>
          <w:cantSplit/>
        </w:trPr>
        <w:tc>
          <w:tcPr>
            <w:tcW w:w="714" w:type="dxa"/>
          </w:tcPr>
          <w:p>
            <w:pPr>
              <w:pStyle w:val="yTableNAm"/>
            </w:pPr>
            <w:r>
              <w:t>4.</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5.</w:t>
            </w:r>
          </w:p>
        </w:tc>
        <w:tc>
          <w:tcPr>
            <w:tcW w:w="4146" w:type="dxa"/>
          </w:tcPr>
          <w:p>
            <w:pPr>
              <w:pStyle w:val="yTableNAm"/>
            </w:pPr>
            <w:r>
              <w:t>For the short term use of a service wharf or jetty, an amount calculated using standard Rate 3</w:t>
            </w:r>
          </w:p>
        </w:tc>
        <w:tc>
          <w:tcPr>
            <w:tcW w:w="1276" w:type="dxa"/>
            <w:vAlign w:val="bottom"/>
          </w:tcPr>
          <w:p>
            <w:pPr>
              <w:pStyle w:val="yTableNAm"/>
              <w:jc w:val="center"/>
            </w:pPr>
          </w:p>
        </w:tc>
      </w:tr>
      <w:tr>
        <w:trPr>
          <w:cantSplit/>
        </w:trPr>
        <w:tc>
          <w:tcPr>
            <w:tcW w:w="714" w:type="dxa"/>
            <w:tcBorders>
              <w:bottom w:val="single" w:sz="4" w:space="0" w:color="auto"/>
            </w:tcBorders>
          </w:tcPr>
          <w:p>
            <w:pPr>
              <w:pStyle w:val="yTableNAm"/>
            </w:pPr>
            <w:r>
              <w:t>6.</w:t>
            </w:r>
          </w:p>
        </w:tc>
        <w:tc>
          <w:tcPr>
            <w:tcW w:w="4146" w:type="dxa"/>
            <w:tcBorders>
              <w:bottom w:val="single" w:sz="4" w:space="0" w:color="auto"/>
            </w:tcBorders>
          </w:tcPr>
          <w:p>
            <w:pPr>
              <w:pStyle w:val="yTableNAm"/>
            </w:pPr>
            <w:r>
              <w:t>For the use of a jetty or hardstand controlled by the Department to lift a vessel to or from the harbour, an amount per lift of</w:t>
            </w:r>
          </w:p>
        </w:tc>
        <w:tc>
          <w:tcPr>
            <w:tcW w:w="1276" w:type="dxa"/>
            <w:tcBorders>
              <w:bottom w:val="single" w:sz="4" w:space="0" w:color="auto"/>
            </w:tcBorders>
            <w:vAlign w:val="bottom"/>
          </w:tcPr>
          <w:p>
            <w:pPr>
              <w:pStyle w:val="yTableNAm"/>
              <w:jc w:val="center"/>
            </w:pPr>
            <w:r>
              <w:rPr>
                <w:szCs w:val="22"/>
              </w:rPr>
              <w:t>270.00</w:t>
            </w:r>
            <w:r>
              <w:rPr>
                <w:szCs w:val="22"/>
              </w:rPr>
              <w:br/>
            </w:r>
          </w:p>
        </w:tc>
      </w:tr>
    </w:tbl>
    <w:p>
      <w:pPr>
        <w:pStyle w:val="yFootnotesection"/>
      </w:pPr>
      <w:r>
        <w:tab/>
        <w:t>[Clause 11 inserted in Gazette 22 Jul 2015 p. 2963</w:t>
      </w:r>
      <w:r>
        <w:noBreakHyphen/>
        <w:t>4; amended in Gazette 15 Apr 2016 p. 1174-5; 26 May 2017 p. 2626.]</w:t>
      </w:r>
    </w:p>
    <w:p>
      <w:pPr>
        <w:pStyle w:val="yHeading5"/>
      </w:pPr>
      <w:bookmarkStart w:id="351" w:name="_Toc486503017"/>
      <w:r>
        <w:rPr>
          <w:rStyle w:val="CharSClsNo"/>
        </w:rPr>
        <w:t>12</w:t>
      </w:r>
      <w:r>
        <w:t>.</w:t>
      </w:r>
      <w:r>
        <w:tab/>
        <w:t>Exmouth</w:t>
      </w:r>
      <w:bookmarkEnd w:id="351"/>
    </w:p>
    <w:p>
      <w:pPr>
        <w:pStyle w:val="ySubsection"/>
      </w:pPr>
      <w:r>
        <w:tab/>
        <w:t>(1)</w:t>
      </w:r>
      <w:r>
        <w:tab/>
        <w:t>This clause applies to Exmouth.</w:t>
      </w:r>
    </w:p>
    <w:p>
      <w:pPr>
        <w:pStyle w:val="ySubsection"/>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Pr>
      <w:r>
        <w:tab/>
        <w:t>(3)</w:t>
      </w:r>
      <w:r>
        <w:tab/>
        <w:t>The dues and charges to be paid under these regulations are set out in Table 12.1.</w:t>
      </w:r>
    </w:p>
    <w:p>
      <w:pPr>
        <w:pStyle w:val="yTHeadingNAm"/>
        <w:ind w:left="993"/>
      </w:pPr>
      <w:r>
        <w:t>Table 12.1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46" w:type="dxa"/>
          </w:tcPr>
          <w:p>
            <w:pPr>
              <w:pStyle w:val="yTableNAm"/>
            </w:pPr>
            <w:r>
              <w:t xml:space="preserve">For the use, other than casual daily use, of a pen (not in the Pen B </w:t>
            </w:r>
            <w:r>
              <w:rPr>
                <w:szCs w:val="22"/>
              </w:rPr>
              <w:t>or Pen D</w:t>
            </w:r>
            <w:r>
              <w:t xml:space="preserve"> system)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br/>
            </w:r>
            <w:r>
              <w:rPr>
                <w:szCs w:val="22"/>
              </w:rPr>
              <w:t>445.00</w:t>
            </w:r>
            <w:r>
              <w:rPr>
                <w:szCs w:val="22"/>
              </w:rPr>
              <w:br/>
            </w:r>
          </w:p>
        </w:tc>
      </w:tr>
      <w:tr>
        <w:trPr>
          <w:cantSplit/>
        </w:trPr>
        <w:tc>
          <w:tcPr>
            <w:tcW w:w="714" w:type="dxa"/>
          </w:tcPr>
          <w:p>
            <w:pPr>
              <w:pStyle w:val="yTableNAm"/>
            </w:pPr>
            <w:r>
              <w:t>2.</w:t>
            </w:r>
          </w:p>
        </w:tc>
        <w:tc>
          <w:tcPr>
            <w:tcW w:w="4146" w:type="dxa"/>
          </w:tcPr>
          <w:p>
            <w:pPr>
              <w:pStyle w:val="yTableNAm"/>
            </w:pPr>
            <w:r>
              <w:t xml:space="preserve">For the use, other than casual daily use, of a pen (not in the Pen B </w:t>
            </w:r>
            <w:r>
              <w:rPr>
                <w:szCs w:val="22"/>
              </w:rPr>
              <w:t>or Pen D</w:t>
            </w:r>
            <w:r>
              <w:t xml:space="preserve"> system) by a service vessel, an amount calculated per metre of the pen’s length using the annual rate of</w:t>
            </w:r>
          </w:p>
        </w:tc>
        <w:tc>
          <w:tcPr>
            <w:tcW w:w="1276" w:type="dxa"/>
          </w:tcPr>
          <w:p>
            <w:pPr>
              <w:pStyle w:val="yTableNAm"/>
              <w:jc w:val="center"/>
            </w:pPr>
            <w:r>
              <w:br/>
            </w:r>
            <w:r>
              <w:br/>
            </w:r>
            <w:r>
              <w:br/>
            </w:r>
            <w:r>
              <w:rPr>
                <w:szCs w:val="22"/>
              </w:rPr>
              <w:t>591.00</w:t>
            </w:r>
            <w:r>
              <w:rPr>
                <w:szCs w:val="22"/>
              </w:rPr>
              <w:br/>
            </w:r>
          </w:p>
        </w:tc>
      </w:tr>
      <w:tr>
        <w:trPr>
          <w:cantSplit/>
        </w:trPr>
        <w:tc>
          <w:tcPr>
            <w:tcW w:w="714" w:type="dxa"/>
          </w:tcPr>
          <w:p>
            <w:pPr>
              <w:pStyle w:val="yTableNAm"/>
            </w:pPr>
            <w:r>
              <w:t>3.</w:t>
            </w:r>
          </w:p>
        </w:tc>
        <w:tc>
          <w:tcPr>
            <w:tcW w:w="4146" w:type="dxa"/>
          </w:tcPr>
          <w:p>
            <w:pPr>
              <w:pStyle w:val="yTableNAm"/>
            </w:pPr>
            <w:r>
              <w:t>For the use, other than casual daily use, of an alongside berth (not in the Pen B system)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445.00</w:t>
            </w:r>
            <w:r>
              <w:rPr>
                <w:szCs w:val="22"/>
              </w:rPr>
              <w:br/>
            </w:r>
          </w:p>
        </w:tc>
      </w:tr>
      <w:tr>
        <w:trPr>
          <w:cantSplit/>
        </w:trPr>
        <w:tc>
          <w:tcPr>
            <w:tcW w:w="714" w:type="dxa"/>
          </w:tcPr>
          <w:p>
            <w:pPr>
              <w:pStyle w:val="yTableNAm"/>
            </w:pPr>
            <w:r>
              <w:t>4.</w:t>
            </w:r>
          </w:p>
        </w:tc>
        <w:tc>
          <w:tcPr>
            <w:tcW w:w="4146" w:type="dxa"/>
          </w:tcPr>
          <w:p>
            <w:pPr>
              <w:pStyle w:val="yTableNAm"/>
            </w:pPr>
            <w:r>
              <w:t>For the use, other than casual daily use, of an alongside berth (not in the Pen B system) by a service vessel, an amount calculated per metre of the vessel’s length using the annual rate of</w:t>
            </w:r>
          </w:p>
        </w:tc>
        <w:tc>
          <w:tcPr>
            <w:tcW w:w="1276" w:type="dxa"/>
          </w:tcPr>
          <w:p>
            <w:pPr>
              <w:pStyle w:val="yTableNAm"/>
              <w:jc w:val="center"/>
            </w:pPr>
            <w:r>
              <w:br/>
            </w:r>
            <w:r>
              <w:br/>
            </w:r>
            <w:r>
              <w:br/>
            </w:r>
            <w:r>
              <w:br/>
            </w:r>
            <w:r>
              <w:rPr>
                <w:szCs w:val="22"/>
              </w:rPr>
              <w:t>591.00</w:t>
            </w:r>
            <w:r>
              <w:rPr>
                <w:szCs w:val="22"/>
              </w:rPr>
              <w:br/>
            </w:r>
          </w:p>
        </w:tc>
      </w:tr>
      <w:tr>
        <w:trPr>
          <w:cantSplit/>
        </w:trPr>
        <w:tc>
          <w:tcPr>
            <w:tcW w:w="714" w:type="dxa"/>
          </w:tcPr>
          <w:p>
            <w:pPr>
              <w:pStyle w:val="yTableNAm"/>
            </w:pPr>
            <w:r>
              <w:t>5.</w:t>
            </w:r>
          </w:p>
        </w:tc>
        <w:tc>
          <w:tcPr>
            <w:tcW w:w="4146" w:type="dxa"/>
          </w:tcPr>
          <w:p>
            <w:pPr>
              <w:pStyle w:val="yTableNAm"/>
            </w:pPr>
            <w:r>
              <w:t>For the use, other than casual daily use, of a pen (in the Pen B system) no longer than 20 m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br/>
            </w:r>
            <w:r>
              <w:rPr>
                <w:szCs w:val="22"/>
              </w:rPr>
              <w:t>631.00</w:t>
            </w:r>
            <w:r>
              <w:rPr>
                <w:szCs w:val="22"/>
              </w:rPr>
              <w:br/>
            </w:r>
          </w:p>
        </w:tc>
      </w:tr>
      <w:tr>
        <w:trPr>
          <w:cantSplit/>
        </w:trPr>
        <w:tc>
          <w:tcPr>
            <w:tcW w:w="714" w:type="dxa"/>
          </w:tcPr>
          <w:p>
            <w:pPr>
              <w:pStyle w:val="yTableNAm"/>
            </w:pPr>
            <w:r>
              <w:t>6.</w:t>
            </w:r>
          </w:p>
        </w:tc>
        <w:tc>
          <w:tcPr>
            <w:tcW w:w="4146" w:type="dxa"/>
          </w:tcPr>
          <w:p>
            <w:pPr>
              <w:pStyle w:val="yTableNAm"/>
            </w:pPr>
            <w:r>
              <w:t>For the use, other than casual daily use, of a pen (in the Pen B system) no longer than 20 m by a service vessel, an amount calculated per metre of the pen’s length using the annual rate of</w:t>
            </w:r>
          </w:p>
        </w:tc>
        <w:tc>
          <w:tcPr>
            <w:tcW w:w="1276" w:type="dxa"/>
          </w:tcPr>
          <w:p>
            <w:pPr>
              <w:pStyle w:val="yTableNAm"/>
              <w:jc w:val="center"/>
            </w:pPr>
            <w:r>
              <w:br/>
            </w:r>
            <w:r>
              <w:br/>
            </w:r>
            <w:r>
              <w:br/>
            </w:r>
            <w:r>
              <w:br/>
            </w:r>
            <w:r>
              <w:rPr>
                <w:szCs w:val="22"/>
              </w:rPr>
              <w:t>856.00</w:t>
            </w:r>
            <w:r>
              <w:rPr>
                <w:szCs w:val="22"/>
              </w:rPr>
              <w:br/>
            </w:r>
          </w:p>
        </w:tc>
      </w:tr>
      <w:tr>
        <w:trPr>
          <w:cantSplit/>
        </w:trPr>
        <w:tc>
          <w:tcPr>
            <w:tcW w:w="714" w:type="dxa"/>
          </w:tcPr>
          <w:p>
            <w:pPr>
              <w:pStyle w:val="yTableNAm"/>
            </w:pPr>
            <w:r>
              <w:t>7.</w:t>
            </w:r>
          </w:p>
        </w:tc>
        <w:tc>
          <w:tcPr>
            <w:tcW w:w="4146" w:type="dxa"/>
          </w:tcPr>
          <w:p>
            <w:pPr>
              <w:pStyle w:val="yTableNAm"/>
            </w:pPr>
            <w:r>
              <w:t xml:space="preserve">For the use, other than casual daily use, of a pen (in the Pen B </w:t>
            </w:r>
            <w:r>
              <w:rPr>
                <w:szCs w:val="22"/>
              </w:rPr>
              <w:t>or Pen D</w:t>
            </w:r>
            <w:r>
              <w:t xml:space="preserve"> system) longer than 20 m by a vessel, an amount calculated per metre of the pen’s length using the annual rate of</w:t>
            </w:r>
          </w:p>
        </w:tc>
        <w:tc>
          <w:tcPr>
            <w:tcW w:w="1276" w:type="dxa"/>
          </w:tcPr>
          <w:p>
            <w:pPr>
              <w:pStyle w:val="yTableNAm"/>
              <w:jc w:val="center"/>
            </w:pPr>
            <w:r>
              <w:br/>
            </w:r>
            <w:r>
              <w:br/>
            </w:r>
            <w:r>
              <w:br/>
            </w:r>
            <w:r>
              <w:rPr>
                <w:szCs w:val="22"/>
              </w:rPr>
              <w:t>1 076.00</w:t>
            </w:r>
            <w:r>
              <w:rPr>
                <w:szCs w:val="22"/>
              </w:rPr>
              <w:br/>
            </w:r>
          </w:p>
        </w:tc>
      </w:tr>
      <w:tr>
        <w:trPr>
          <w:cantSplit/>
        </w:trPr>
        <w:tc>
          <w:tcPr>
            <w:tcW w:w="714" w:type="dxa"/>
          </w:tcPr>
          <w:p>
            <w:pPr>
              <w:pStyle w:val="yTableNAm"/>
            </w:pPr>
            <w:r>
              <w:t>8.</w:t>
            </w:r>
          </w:p>
        </w:tc>
        <w:tc>
          <w:tcPr>
            <w:tcW w:w="4146" w:type="dxa"/>
          </w:tcPr>
          <w:p>
            <w:pPr>
              <w:pStyle w:val="yTableNAm"/>
            </w:pPr>
            <w:r>
              <w:t>For the use, other than casual daily use, of an alongside berth (in the Pen B system)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631.00</w:t>
            </w:r>
            <w:r>
              <w:rPr>
                <w:szCs w:val="22"/>
              </w:rPr>
              <w:br/>
            </w:r>
          </w:p>
        </w:tc>
      </w:tr>
      <w:tr>
        <w:trPr>
          <w:cantSplit/>
        </w:trPr>
        <w:tc>
          <w:tcPr>
            <w:tcW w:w="714" w:type="dxa"/>
          </w:tcPr>
          <w:p>
            <w:pPr>
              <w:pStyle w:val="yTableNAm"/>
            </w:pPr>
            <w:r>
              <w:t>9.</w:t>
            </w:r>
          </w:p>
        </w:tc>
        <w:tc>
          <w:tcPr>
            <w:tcW w:w="4146" w:type="dxa"/>
          </w:tcPr>
          <w:p>
            <w:pPr>
              <w:pStyle w:val="yTableNAm"/>
            </w:pPr>
            <w:r>
              <w:t>For the use, other than casual daily use, of an alongside berth (in the Pen B system) by a service vessel, an amount calculated per metre of the vessel’s length using the annual rate of</w:t>
            </w:r>
          </w:p>
        </w:tc>
        <w:tc>
          <w:tcPr>
            <w:tcW w:w="1276" w:type="dxa"/>
          </w:tcPr>
          <w:p>
            <w:pPr>
              <w:pStyle w:val="yTableNAm"/>
              <w:jc w:val="center"/>
            </w:pPr>
            <w:r>
              <w:br/>
            </w:r>
            <w:r>
              <w:br/>
            </w:r>
            <w:r>
              <w:br/>
            </w:r>
            <w:r>
              <w:br/>
            </w:r>
            <w:r>
              <w:rPr>
                <w:szCs w:val="22"/>
              </w:rPr>
              <w:t>856.00</w:t>
            </w:r>
          </w:p>
        </w:tc>
      </w:tr>
      <w:tr>
        <w:trPr>
          <w:cantSplit/>
        </w:trPr>
        <w:tc>
          <w:tcPr>
            <w:tcW w:w="4860" w:type="dxa"/>
            <w:gridSpan w:val="2"/>
          </w:tcPr>
          <w:p>
            <w:pPr>
              <w:pStyle w:val="yTableNAm"/>
              <w:tabs>
                <w:tab w:val="left" w:pos="712"/>
              </w:tabs>
              <w:rPr>
                <w:i/>
              </w:rPr>
            </w:pPr>
            <w:r>
              <w:rPr>
                <w:i/>
              </w:rPr>
              <w:t>[10, 11.</w:t>
            </w:r>
            <w:r>
              <w:rPr>
                <w:i/>
              </w:rPr>
              <w:tab/>
              <w:t>deleted]</w:t>
            </w:r>
          </w:p>
        </w:tc>
        <w:tc>
          <w:tcPr>
            <w:tcW w:w="1276" w:type="dxa"/>
          </w:tcPr>
          <w:p>
            <w:pPr>
              <w:pStyle w:val="yTableNAm"/>
              <w:jc w:val="center"/>
            </w:pPr>
          </w:p>
        </w:tc>
      </w:tr>
      <w:tr>
        <w:trPr>
          <w:cantSplit/>
        </w:trPr>
        <w:tc>
          <w:tcPr>
            <w:tcW w:w="714" w:type="dxa"/>
          </w:tcPr>
          <w:p>
            <w:pPr>
              <w:pStyle w:val="yTableNAm"/>
            </w:pPr>
            <w:r>
              <w:t>12.</w:t>
            </w:r>
          </w:p>
        </w:tc>
        <w:tc>
          <w:tcPr>
            <w:tcW w:w="4146" w:type="dxa"/>
          </w:tcPr>
          <w:p>
            <w:pPr>
              <w:pStyle w:val="yTableNAm"/>
            </w:pPr>
            <w:r>
              <w:t xml:space="preserve">For the casual daily use of a </w:t>
            </w:r>
            <w:r>
              <w:rPr>
                <w:szCs w:val="22"/>
              </w:rPr>
              <w:t>pen or alongside berth</w:t>
            </w:r>
            <w:r>
              <w:t xml:space="preserve"> 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13.</w:t>
            </w:r>
          </w:p>
        </w:tc>
        <w:tc>
          <w:tcPr>
            <w:tcW w:w="4146" w:type="dxa"/>
          </w:tcPr>
          <w:p>
            <w:pPr>
              <w:pStyle w:val="yTableNAm"/>
            </w:pPr>
            <w:r>
              <w:t xml:space="preserve">For the casual daily use of a </w:t>
            </w:r>
            <w:r>
              <w:rPr>
                <w:szCs w:val="22"/>
              </w:rPr>
              <w:t>pen or alongside berth</w:t>
            </w:r>
            <w:r>
              <w:t xml:space="preserve"> by a tourism vessel or fishing vessel (but not a service vessel), an amount calculated using standard Rate 1</w:t>
            </w:r>
          </w:p>
        </w:tc>
        <w:tc>
          <w:tcPr>
            <w:tcW w:w="1276" w:type="dxa"/>
          </w:tcPr>
          <w:p>
            <w:pPr>
              <w:pStyle w:val="yTableNAm"/>
              <w:jc w:val="center"/>
            </w:pPr>
          </w:p>
        </w:tc>
      </w:tr>
      <w:tr>
        <w:trPr>
          <w:cantSplit/>
        </w:trPr>
        <w:tc>
          <w:tcPr>
            <w:tcW w:w="714" w:type="dxa"/>
          </w:tcPr>
          <w:p>
            <w:pPr>
              <w:pStyle w:val="yTableNAm"/>
            </w:pPr>
            <w:r>
              <w:t>14.</w:t>
            </w:r>
          </w:p>
        </w:tc>
        <w:tc>
          <w:tcPr>
            <w:tcW w:w="4146" w:type="dxa"/>
          </w:tcPr>
          <w:p>
            <w:pPr>
              <w:pStyle w:val="yTableNAm"/>
            </w:pPr>
            <w:r>
              <w:t>For the short term use of an alongside berth on the service wharf by a vessel (other than a service vessel), an amount calculated using standard Rate 3</w:t>
            </w:r>
          </w:p>
        </w:tc>
        <w:tc>
          <w:tcPr>
            <w:tcW w:w="1276" w:type="dxa"/>
          </w:tcPr>
          <w:p>
            <w:pPr>
              <w:pStyle w:val="yTableNAm"/>
              <w:jc w:val="center"/>
            </w:pPr>
          </w:p>
        </w:tc>
      </w:tr>
      <w:tr>
        <w:trPr>
          <w:cantSplit/>
        </w:trPr>
        <w:tc>
          <w:tcPr>
            <w:tcW w:w="714" w:type="dxa"/>
          </w:tcPr>
          <w:p>
            <w:pPr>
              <w:pStyle w:val="yTableNAm"/>
            </w:pPr>
            <w:r>
              <w:t>15.</w:t>
            </w:r>
          </w:p>
        </w:tc>
        <w:tc>
          <w:tcPr>
            <w:tcW w:w="4146" w:type="dxa"/>
          </w:tcPr>
          <w:p>
            <w:pPr>
              <w:pStyle w:val="yTableNAm"/>
            </w:pPr>
            <w:r>
              <w:t xml:space="preserve">For the casual daily use of a </w:t>
            </w:r>
            <w:r>
              <w:rPr>
                <w:szCs w:val="22"/>
              </w:rPr>
              <w:t>pen or alongside berth other than the service wharf</w:t>
            </w:r>
            <w:r>
              <w:t xml:space="preserve"> by a service vessel, an amount calculated per metre of the vessel’s length at the daily rate of</w:t>
            </w:r>
          </w:p>
        </w:tc>
        <w:tc>
          <w:tcPr>
            <w:tcW w:w="1276" w:type="dxa"/>
          </w:tcPr>
          <w:p>
            <w:pPr>
              <w:pStyle w:val="yTableNAm"/>
              <w:jc w:val="center"/>
            </w:pPr>
            <w:r>
              <w:br/>
            </w:r>
            <w:r>
              <w:br/>
            </w:r>
            <w:r>
              <w:br/>
            </w:r>
            <w:r>
              <w:br/>
            </w:r>
            <w:r>
              <w:rPr>
                <w:szCs w:val="22"/>
              </w:rPr>
              <w:t>11.40</w:t>
            </w:r>
            <w:r>
              <w:rPr>
                <w:szCs w:val="22"/>
              </w:rPr>
              <w:br/>
            </w:r>
          </w:p>
        </w:tc>
      </w:tr>
      <w:tr>
        <w:trPr>
          <w:cantSplit/>
        </w:trPr>
        <w:tc>
          <w:tcPr>
            <w:tcW w:w="714" w:type="dxa"/>
          </w:tcPr>
          <w:p>
            <w:pPr>
              <w:pStyle w:val="yTableNAm"/>
            </w:pPr>
            <w:r>
              <w:t>16.</w:t>
            </w:r>
          </w:p>
        </w:tc>
        <w:tc>
          <w:tcPr>
            <w:tcW w:w="4146" w:type="dxa"/>
          </w:tcPr>
          <w:p>
            <w:pPr>
              <w:pStyle w:val="yTableNAm"/>
            </w:pPr>
            <w:r>
              <w:t>For the use of a service wharf, other than while refuelling, by a service vessel, an amount calculated per metre of the vessel’s length at the 12</w:t>
            </w:r>
            <w:r>
              <w:noBreakHyphen/>
              <w:t>hourly rate of</w:t>
            </w:r>
          </w:p>
        </w:tc>
        <w:tc>
          <w:tcPr>
            <w:tcW w:w="1276" w:type="dxa"/>
          </w:tcPr>
          <w:p>
            <w:pPr>
              <w:pStyle w:val="yTableNAm"/>
              <w:jc w:val="center"/>
            </w:pPr>
            <w:r>
              <w:br/>
            </w:r>
            <w:r>
              <w:br/>
            </w:r>
            <w:r>
              <w:br/>
            </w:r>
            <w:r>
              <w:rPr>
                <w:szCs w:val="22"/>
              </w:rPr>
              <w:t>17.60</w:t>
            </w:r>
            <w:r>
              <w:rPr>
                <w:szCs w:val="22"/>
              </w:rPr>
              <w:br/>
            </w:r>
          </w:p>
        </w:tc>
      </w:tr>
      <w:tr>
        <w:trPr>
          <w:cantSplit/>
        </w:trPr>
        <w:tc>
          <w:tcPr>
            <w:tcW w:w="714" w:type="dxa"/>
            <w:tcBorders>
              <w:bottom w:val="single" w:sz="4" w:space="0" w:color="auto"/>
            </w:tcBorders>
          </w:tcPr>
          <w:p>
            <w:pPr>
              <w:pStyle w:val="yTableNAm"/>
            </w:pPr>
            <w:r>
              <w:t>17.</w:t>
            </w:r>
          </w:p>
        </w:tc>
        <w:tc>
          <w:tcPr>
            <w:tcW w:w="4146"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r>
            <w:r>
              <w:rPr>
                <w:szCs w:val="22"/>
              </w:rPr>
              <w:t>1.75</w:t>
            </w:r>
            <w:r>
              <w:rPr>
                <w:szCs w:val="22"/>
              </w:rPr>
              <w:br/>
            </w:r>
          </w:p>
        </w:tc>
      </w:tr>
    </w:tbl>
    <w:p>
      <w:pPr>
        <w:pStyle w:val="yFootnotesection"/>
      </w:pPr>
      <w:r>
        <w:tab/>
        <w:t>[Clause 12 inserted in Gazette 22 Jul 2015 p. 2964</w:t>
      </w:r>
      <w:r>
        <w:noBreakHyphen/>
        <w:t>7; amended in Gazette 5 Apr 2016 p. 1023; 15 Apr 2016 p. 1175; 23 Dec 2016 p. 5913; 26 May 2017 p. 2623 and 2626.]</w:t>
      </w:r>
    </w:p>
    <w:p>
      <w:pPr>
        <w:pStyle w:val="yHeading5"/>
      </w:pPr>
      <w:bookmarkStart w:id="352" w:name="_Toc486503018"/>
      <w:r>
        <w:rPr>
          <w:rStyle w:val="CharSClsNo"/>
        </w:rPr>
        <w:t>13</w:t>
      </w:r>
      <w:r>
        <w:t>.</w:t>
      </w:r>
      <w: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52"/>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13.1.</w:t>
      </w:r>
    </w:p>
    <w:p>
      <w:pPr>
        <w:pStyle w:val="yTHeadingNAm"/>
        <w:ind w:left="993"/>
      </w:pPr>
      <w:r>
        <w:t>Table 13.1 (Pen or berth rental)</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4860" w:type="dxa"/>
            <w:gridSpan w:val="2"/>
          </w:tcPr>
          <w:p>
            <w:pPr>
              <w:pStyle w:val="yTableNAm"/>
              <w:tabs>
                <w:tab w:val="clear" w:pos="567"/>
              </w:tabs>
              <w:ind w:left="226" w:hanging="226"/>
            </w:pPr>
            <w:r>
              <w:rPr>
                <w:i/>
              </w:rPr>
              <w:t>[1.</w:t>
            </w:r>
            <w:r>
              <w:rPr>
                <w:i/>
              </w:rPr>
              <w:tab/>
              <w:t>deleted]</w:t>
            </w:r>
          </w:p>
        </w:tc>
        <w:tc>
          <w:tcPr>
            <w:tcW w:w="1276" w:type="dxa"/>
          </w:tcPr>
          <w:p>
            <w:pPr>
              <w:pStyle w:val="yTableNAm"/>
              <w:jc w:val="center"/>
            </w:pPr>
          </w:p>
        </w:tc>
      </w:tr>
      <w:tr>
        <w:trPr>
          <w:cantSplit/>
        </w:trPr>
        <w:tc>
          <w:tcPr>
            <w:tcW w:w="714" w:type="dxa"/>
          </w:tcPr>
          <w:p>
            <w:pPr>
              <w:pStyle w:val="yTableNAm"/>
            </w:pPr>
            <w:r>
              <w:t>2.</w:t>
            </w:r>
          </w:p>
        </w:tc>
        <w:tc>
          <w:tcPr>
            <w:tcW w:w="4146" w:type="dxa"/>
          </w:tcPr>
          <w:p>
            <w:pPr>
              <w:pStyle w:val="yTableNAm"/>
            </w:pPr>
            <w:r>
              <w:t xml:space="preserve">For the use, other than casual daily use, of a pen (not within </w:t>
            </w:r>
            <w:r>
              <w:rPr>
                <w:szCs w:val="22"/>
              </w:rPr>
              <w:t xml:space="preserve">Jetty 1A, Jetty 2 </w:t>
            </w:r>
            <w:r>
              <w:t xml:space="preserve">and Jetty 2A) without a walkway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pen’s length using the annual rate of</w:t>
            </w:r>
          </w:p>
        </w:tc>
        <w:tc>
          <w:tcPr>
            <w:tcW w:w="1276" w:type="dxa"/>
          </w:tcPr>
          <w:p>
            <w:pPr>
              <w:pStyle w:val="yTableNAm"/>
              <w:jc w:val="center"/>
            </w:pPr>
            <w:r>
              <w:br/>
            </w:r>
            <w:r>
              <w:br/>
            </w:r>
            <w:r>
              <w:rPr>
                <w:szCs w:val="22"/>
              </w:rPr>
              <w:t>327.00</w:t>
            </w:r>
            <w:r>
              <w:rPr>
                <w:szCs w:val="22"/>
              </w:rPr>
              <w:br/>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pen’s length using the annual rate of</w:t>
            </w:r>
          </w:p>
        </w:tc>
        <w:tc>
          <w:tcPr>
            <w:tcW w:w="1276" w:type="dxa"/>
          </w:tcPr>
          <w:p>
            <w:pPr>
              <w:pStyle w:val="yTableNAm"/>
              <w:jc w:val="center"/>
            </w:pPr>
            <w:r>
              <w:br/>
            </w:r>
            <w:r>
              <w:br/>
            </w:r>
            <w:r>
              <w:rPr>
                <w:szCs w:val="22"/>
              </w:rPr>
              <w:t>439.00</w:t>
            </w:r>
            <w:r>
              <w:rPr>
                <w:szCs w:val="22"/>
              </w:rPr>
              <w:br/>
            </w:r>
          </w:p>
        </w:tc>
      </w:tr>
      <w:tr>
        <w:trPr>
          <w:cantSplit/>
        </w:trPr>
        <w:tc>
          <w:tcPr>
            <w:tcW w:w="714" w:type="dxa"/>
          </w:tcPr>
          <w:p>
            <w:pPr>
              <w:pStyle w:val="yTableNAm"/>
            </w:pPr>
            <w:r>
              <w:t>3.</w:t>
            </w:r>
          </w:p>
        </w:tc>
        <w:tc>
          <w:tcPr>
            <w:tcW w:w="4146" w:type="dxa"/>
          </w:tcPr>
          <w:p>
            <w:pPr>
              <w:pStyle w:val="yTableNAm"/>
            </w:pPr>
            <w:r>
              <w:t xml:space="preserve">For the use, other than casual daily use, of an alongside berth (not within </w:t>
            </w:r>
            <w:r>
              <w:rPr>
                <w:szCs w:val="22"/>
              </w:rPr>
              <w:t xml:space="preserve">Jetty 1A, Jetty 2 </w:t>
            </w:r>
            <w:r>
              <w:t xml:space="preserve">and Jetty 2A)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vessel’s length using the annual rate of</w:t>
            </w:r>
          </w:p>
        </w:tc>
        <w:tc>
          <w:tcPr>
            <w:tcW w:w="1276" w:type="dxa"/>
          </w:tcPr>
          <w:p>
            <w:pPr>
              <w:pStyle w:val="yTableNAm"/>
              <w:jc w:val="center"/>
            </w:pPr>
            <w:r>
              <w:br/>
            </w:r>
            <w:r>
              <w:br/>
            </w:r>
            <w:r>
              <w:rPr>
                <w:szCs w:val="22"/>
              </w:rPr>
              <w:t>355.00</w:t>
            </w:r>
            <w:r>
              <w:rPr>
                <w:szCs w:val="22"/>
              </w:rPr>
              <w:br/>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vessel’s length using the annual rate of</w:t>
            </w:r>
          </w:p>
        </w:tc>
        <w:tc>
          <w:tcPr>
            <w:tcW w:w="1276" w:type="dxa"/>
          </w:tcPr>
          <w:p>
            <w:pPr>
              <w:pStyle w:val="yTableNAm"/>
              <w:jc w:val="center"/>
            </w:pPr>
            <w:r>
              <w:br/>
            </w:r>
            <w:r>
              <w:br/>
            </w:r>
            <w:r>
              <w:rPr>
                <w:szCs w:val="22"/>
              </w:rPr>
              <w:t>473.00</w:t>
            </w:r>
            <w:r>
              <w:rPr>
                <w:szCs w:val="22"/>
              </w:rPr>
              <w:br/>
            </w:r>
          </w:p>
        </w:tc>
      </w:tr>
      <w:tr>
        <w:trPr>
          <w:cantSplit/>
        </w:trPr>
        <w:tc>
          <w:tcPr>
            <w:tcW w:w="714" w:type="dxa"/>
          </w:tcPr>
          <w:p>
            <w:pPr>
              <w:pStyle w:val="yTableNAm"/>
            </w:pPr>
            <w:r>
              <w:t>4.</w:t>
            </w:r>
          </w:p>
        </w:tc>
        <w:tc>
          <w:tcPr>
            <w:tcW w:w="4146" w:type="dxa"/>
          </w:tcPr>
          <w:p>
            <w:pPr>
              <w:pStyle w:val="yTableNAm"/>
            </w:pPr>
            <w:r>
              <w:t xml:space="preserve">For the use, other than casual daily use, of a pen (within </w:t>
            </w:r>
            <w:r>
              <w:rPr>
                <w:szCs w:val="22"/>
              </w:rPr>
              <w:t>Jetty 1A, Jetty 2</w:t>
            </w:r>
            <w:r>
              <w:t xml:space="preserve"> and Jetty 2A) by a vessel, an amount calculated per metre of the pen’s length using the annual rate of</w:t>
            </w:r>
          </w:p>
        </w:tc>
        <w:tc>
          <w:tcPr>
            <w:tcW w:w="1276" w:type="dxa"/>
          </w:tcPr>
          <w:p>
            <w:pPr>
              <w:pStyle w:val="yTableNAm"/>
              <w:jc w:val="center"/>
            </w:pPr>
            <w:r>
              <w:br/>
            </w:r>
            <w:r>
              <w:br/>
            </w:r>
            <w:r>
              <w:br/>
            </w:r>
            <w:r>
              <w:br/>
            </w:r>
            <w:r>
              <w:rPr>
                <w:szCs w:val="22"/>
              </w:rPr>
              <w:t>710.00</w:t>
            </w:r>
            <w:r>
              <w:rPr>
                <w:szCs w:val="22"/>
              </w:rPr>
              <w:br/>
            </w:r>
          </w:p>
        </w:tc>
      </w:tr>
      <w:tr>
        <w:trPr>
          <w:cantSplit/>
        </w:trPr>
        <w:tc>
          <w:tcPr>
            <w:tcW w:w="714" w:type="dxa"/>
          </w:tcPr>
          <w:p>
            <w:pPr>
              <w:pStyle w:val="yTableNAm"/>
            </w:pPr>
            <w:r>
              <w:t>5.</w:t>
            </w:r>
          </w:p>
        </w:tc>
        <w:tc>
          <w:tcPr>
            <w:tcW w:w="4146" w:type="dxa"/>
          </w:tcPr>
          <w:p>
            <w:pPr>
              <w:pStyle w:val="yTableNAm"/>
            </w:pPr>
            <w:r>
              <w:t xml:space="preserve">For the use, other than casual daily use, of an alongside berth (within </w:t>
            </w:r>
            <w:r>
              <w:rPr>
                <w:szCs w:val="22"/>
              </w:rPr>
              <w:t>Jetty 1A, Jetty 2</w:t>
            </w:r>
            <w:r>
              <w:t xml:space="preserve"> and Jetty 2A) by a vessel, an amount calculated per metre of the vessel’s length using the annual rate of</w:t>
            </w:r>
          </w:p>
        </w:tc>
        <w:tc>
          <w:tcPr>
            <w:tcW w:w="1276" w:type="dxa"/>
          </w:tcPr>
          <w:p>
            <w:pPr>
              <w:pStyle w:val="yTableNAm"/>
              <w:jc w:val="center"/>
            </w:pPr>
            <w:r>
              <w:br/>
            </w:r>
            <w:r>
              <w:br/>
            </w:r>
            <w:r>
              <w:br/>
            </w:r>
            <w:r>
              <w:br/>
            </w:r>
            <w:r>
              <w:rPr>
                <w:szCs w:val="22"/>
              </w:rPr>
              <w:t>710.00</w:t>
            </w:r>
            <w:r>
              <w:rPr>
                <w:szCs w:val="22"/>
              </w:rPr>
              <w:br/>
            </w:r>
          </w:p>
        </w:tc>
      </w:tr>
      <w:tr>
        <w:trPr>
          <w:cantSplit/>
        </w:trPr>
        <w:tc>
          <w:tcPr>
            <w:tcW w:w="714" w:type="dxa"/>
          </w:tcPr>
          <w:p>
            <w:pPr>
              <w:pStyle w:val="yTableNAm"/>
            </w:pPr>
            <w:r>
              <w:t>6.</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7.</w:t>
            </w:r>
          </w:p>
        </w:tc>
        <w:tc>
          <w:tcPr>
            <w:tcW w:w="4146"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vAlign w:val="bottom"/>
          </w:tcPr>
          <w:p>
            <w:pPr>
              <w:pStyle w:val="yTableNAm"/>
              <w:jc w:val="center"/>
            </w:pPr>
          </w:p>
        </w:tc>
      </w:tr>
    </w:tbl>
    <w:p>
      <w:pPr>
        <w:pStyle w:val="yFootnotesection"/>
      </w:pPr>
      <w:r>
        <w:tab/>
        <w:t>[Clause 13 inserted in Gazette 22 Jul 2015 p. 2967</w:t>
      </w:r>
      <w:r>
        <w:noBreakHyphen/>
        <w:t>9; amended in Gazette 15 Apr 2016 p. 1175-6; 26 May 2017 p. 2623 and 2627.]</w:t>
      </w:r>
    </w:p>
    <w:p>
      <w:pPr>
        <w:pStyle w:val="yHeading5"/>
      </w:pPr>
      <w:bookmarkStart w:id="353" w:name="_Toc486503019"/>
      <w:r>
        <w:rPr>
          <w:rStyle w:val="CharSClsNo"/>
        </w:rPr>
        <w:t>14</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53"/>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dues and charges to be paid under these regulations are set out in Table 14.1.</w:t>
      </w:r>
    </w:p>
    <w:p>
      <w:pPr>
        <w:pStyle w:val="yTHeadingNAm"/>
        <w:ind w:left="993"/>
      </w:pPr>
      <w:r>
        <w:t>Table 14.1 (Pen or berth rental)</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by a vessel, an amount calculated per metre of the pen’s length using the annual rate of</w:t>
            </w:r>
          </w:p>
        </w:tc>
        <w:tc>
          <w:tcPr>
            <w:tcW w:w="1276" w:type="dxa"/>
          </w:tcPr>
          <w:p>
            <w:pPr>
              <w:pStyle w:val="yTableNAm"/>
              <w:jc w:val="center"/>
            </w:pPr>
            <w:r>
              <w:br/>
            </w:r>
            <w:r>
              <w:br/>
            </w:r>
            <w:r>
              <w:br/>
            </w:r>
            <w:r>
              <w:rPr>
                <w:szCs w:val="22"/>
              </w:rPr>
              <w:t>567.00</w:t>
            </w:r>
            <w:r>
              <w:rPr>
                <w:szCs w:val="22"/>
              </w:rPr>
              <w:br/>
            </w:r>
          </w:p>
        </w:tc>
      </w:tr>
      <w:tr>
        <w:trPr>
          <w:cantSplit/>
        </w:trPr>
        <w:tc>
          <w:tcPr>
            <w:tcW w:w="714" w:type="dxa"/>
          </w:tcPr>
          <w:p>
            <w:pPr>
              <w:pStyle w:val="yTableNAm"/>
            </w:pPr>
            <w:r>
              <w:t>2.</w:t>
            </w:r>
          </w:p>
        </w:tc>
        <w:tc>
          <w:tcPr>
            <w:tcW w:w="4146" w:type="dxa"/>
          </w:tcPr>
          <w:p>
            <w:pPr>
              <w:pStyle w:val="yTableNAm"/>
            </w:pPr>
            <w:r>
              <w:t>For the use, other than casual daily use, of an alongside berth by a vessel, an amount calculated per metre of the vessel’s length using the annual rate of</w:t>
            </w:r>
          </w:p>
        </w:tc>
        <w:tc>
          <w:tcPr>
            <w:tcW w:w="1276" w:type="dxa"/>
          </w:tcPr>
          <w:p>
            <w:pPr>
              <w:pStyle w:val="yTableNAm"/>
              <w:jc w:val="center"/>
            </w:pPr>
            <w:r>
              <w:br/>
            </w:r>
            <w:r>
              <w:br/>
            </w:r>
            <w:r>
              <w:br/>
            </w:r>
            <w:r>
              <w:rPr>
                <w:szCs w:val="22"/>
              </w:rPr>
              <w:t>567.00</w:t>
            </w:r>
            <w:r>
              <w:rPr>
                <w:szCs w:val="22"/>
              </w:rPr>
              <w:br/>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14 inserted in Gazette 22 Jul 2015 p. 2969</w:t>
      </w:r>
      <w:r>
        <w:noBreakHyphen/>
        <w:t>70; amended in Gazette 15 Apr 2016 p. 1176; 26 May 2017 p. 2627.]</w:t>
      </w:r>
    </w:p>
    <w:p>
      <w:pPr>
        <w:pStyle w:val="yHeading5"/>
      </w:pPr>
      <w:bookmarkStart w:id="354" w:name="_Toc486503020"/>
      <w:r>
        <w:rPr>
          <w:rStyle w:val="CharSClsNo"/>
        </w:rPr>
        <w:t>15</w:t>
      </w:r>
      <w:r>
        <w:t>.</w:t>
      </w:r>
      <w:r>
        <w:tab/>
        <w:t>Green Head</w:t>
      </w:r>
      <w:bookmarkEnd w:id="354"/>
    </w:p>
    <w:p>
      <w:pPr>
        <w:pStyle w:val="ySubsection"/>
      </w:pPr>
      <w:r>
        <w:tab/>
        <w:t>(1)</w:t>
      </w:r>
      <w:r>
        <w:tab/>
        <w:t>This clause applies to Green Head.</w:t>
      </w:r>
    </w:p>
    <w:p>
      <w:pPr>
        <w:pStyle w:val="ySubsection"/>
      </w:pPr>
      <w:r>
        <w:tab/>
        <w:t>(2)</w:t>
      </w:r>
      <w:r>
        <w:tab/>
        <w:t>The berthing dues to be paid under these regulations are set out in Table 15.1.</w:t>
      </w:r>
    </w:p>
    <w:p>
      <w:pPr>
        <w:pStyle w:val="yTHeadingNAm"/>
        <w:ind w:left="993"/>
      </w:pPr>
      <w:r>
        <w:t>Table 15.1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14"/>
        <w:gridCol w:w="4160"/>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short term use of the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15 inserted in Gazette 22 Jul 2015 p. 2970; amended in Gazette 5 Apr 2016 p. 1023.]</w:t>
      </w:r>
    </w:p>
    <w:p>
      <w:pPr>
        <w:pStyle w:val="yHeading5"/>
      </w:pPr>
      <w:bookmarkStart w:id="355" w:name="_Toc486503021"/>
      <w:r>
        <w:rPr>
          <w:rStyle w:val="CharSClsNo"/>
        </w:rPr>
        <w:t>16</w:t>
      </w:r>
      <w:r>
        <w:t>.</w:t>
      </w:r>
      <w:r>
        <w:tab/>
        <w:t>Hopetoun</w:t>
      </w:r>
      <w:bookmarkEnd w:id="355"/>
    </w:p>
    <w:p>
      <w:pPr>
        <w:pStyle w:val="ySubsection"/>
      </w:pPr>
      <w:r>
        <w:tab/>
        <w:t>(1)</w:t>
      </w:r>
      <w:r>
        <w:tab/>
        <w:t>This clause applies to Hopetoun.</w:t>
      </w:r>
    </w:p>
    <w:p>
      <w:pPr>
        <w:pStyle w:val="ySubsection"/>
      </w:pPr>
      <w:r>
        <w:tab/>
        <w:t>(2)</w:t>
      </w:r>
      <w:r>
        <w:tab/>
        <w:t>The berthing dues to be paid under these regulations are set out in Table 16.1.</w:t>
      </w:r>
    </w:p>
    <w:p>
      <w:pPr>
        <w:pStyle w:val="yTHeadingNAm"/>
        <w:ind w:left="993"/>
      </w:pPr>
      <w:r>
        <w:t>Table 16.1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14"/>
        <w:gridCol w:w="4174"/>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74" w:type="dxa"/>
          </w:tcPr>
          <w:p>
            <w:pPr>
              <w:pStyle w:val="yTableNAm"/>
            </w:pPr>
            <w:r>
              <w:t>For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74"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16 inserted in Gazette 22 Jul 2015 p. 2970</w:t>
      </w:r>
      <w:r>
        <w:noBreakHyphen/>
        <w:t>1.]</w:t>
      </w:r>
    </w:p>
    <w:p>
      <w:pPr>
        <w:pStyle w:val="yHeading5"/>
      </w:pPr>
      <w:bookmarkStart w:id="356" w:name="_Toc486503022"/>
      <w:r>
        <w:rPr>
          <w:rStyle w:val="CharSClsNo"/>
        </w:rPr>
        <w:t>17</w:t>
      </w:r>
      <w:r>
        <w:t>.</w:t>
      </w:r>
      <w:r>
        <w:tab/>
        <w:t>Jurien Boat Harbour</w:t>
      </w:r>
      <w:bookmarkEnd w:id="356"/>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17.1.</w:t>
      </w:r>
    </w:p>
    <w:p>
      <w:pPr>
        <w:pStyle w:val="yTHeadingNAm"/>
        <w:ind w:left="993"/>
      </w:pPr>
      <w:r>
        <w:t>Table 17.1 (Pen use and alongside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28"/>
        <w:gridCol w:w="4160"/>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417.00</w:t>
            </w:r>
          </w:p>
        </w:tc>
      </w:tr>
      <w:tr>
        <w:trPr>
          <w:cantSplit/>
        </w:trPr>
        <w:tc>
          <w:tcPr>
            <w:tcW w:w="728"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451.00</w:t>
            </w:r>
            <w:r>
              <w:rPr>
                <w:szCs w:val="22"/>
              </w:rPr>
              <w:br/>
            </w:r>
          </w:p>
        </w:tc>
      </w:tr>
      <w:tr>
        <w:trPr>
          <w:cantSplit/>
        </w:trPr>
        <w:tc>
          <w:tcPr>
            <w:tcW w:w="728"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17 inserted in Gazette 22 Jul 2015 p. 2971</w:t>
      </w:r>
      <w:r>
        <w:noBreakHyphen/>
        <w:t>2; amended in Gazette 15 Apr 2016 p. 1176; 26 May 2017 p. 2627.]</w:t>
      </w:r>
    </w:p>
    <w:p>
      <w:pPr>
        <w:pStyle w:val="yHeading5"/>
      </w:pPr>
      <w:bookmarkStart w:id="357" w:name="_Toc486503023"/>
      <w:r>
        <w:rPr>
          <w:rStyle w:val="CharSClsNo"/>
        </w:rPr>
        <w:t>18</w:t>
      </w:r>
      <w:r>
        <w:t>.</w:t>
      </w:r>
      <w:r>
        <w:tab/>
        <w:t>Kalbarri Boat Harbour</w:t>
      </w:r>
      <w:bookmarkEnd w:id="357"/>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18.1.</w:t>
      </w:r>
    </w:p>
    <w:p>
      <w:pPr>
        <w:pStyle w:val="yTHeadingNAm"/>
        <w:ind w:left="993"/>
      </w:pPr>
      <w:r>
        <w:t>Table 18.1 (Pen use and alongside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28"/>
        <w:gridCol w:w="4174"/>
        <w:gridCol w:w="1276"/>
      </w:tblGrid>
      <w:tr>
        <w:trPr>
          <w:cantSplit/>
          <w:tblHeader/>
        </w:trPr>
        <w:tc>
          <w:tcPr>
            <w:tcW w:w="728" w:type="dxa"/>
            <w:tcBorders>
              <w:top w:val="single" w:sz="4" w:space="0" w:color="auto"/>
              <w:bottom w:val="single" w:sz="4" w:space="0" w:color="auto"/>
            </w:tcBorders>
          </w:tcPr>
          <w:p>
            <w:pPr>
              <w:pStyle w:val="yTableNAm"/>
              <w:keepNext/>
            </w:pPr>
            <w:r>
              <w:rPr>
                <w:b/>
              </w:rPr>
              <w:t>Item</w:t>
            </w:r>
          </w:p>
        </w:tc>
        <w:tc>
          <w:tcPr>
            <w:tcW w:w="4174"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28"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287.00</w:t>
            </w:r>
            <w:r>
              <w:rPr>
                <w:szCs w:val="22"/>
              </w:rPr>
              <w:br/>
            </w:r>
          </w:p>
        </w:tc>
      </w:tr>
      <w:tr>
        <w:trPr>
          <w:cantSplit/>
        </w:trPr>
        <w:tc>
          <w:tcPr>
            <w:tcW w:w="728"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287.00</w:t>
            </w:r>
            <w:r>
              <w:rPr>
                <w:szCs w:val="22"/>
              </w:rPr>
              <w:br/>
            </w:r>
          </w:p>
        </w:tc>
      </w:tr>
      <w:tr>
        <w:trPr>
          <w:cantSplit/>
        </w:trPr>
        <w:tc>
          <w:tcPr>
            <w:tcW w:w="728" w:type="dxa"/>
          </w:tcPr>
          <w:p>
            <w:pPr>
              <w:pStyle w:val="yTableNAm"/>
            </w:pPr>
            <w:r>
              <w:t>3.</w:t>
            </w:r>
          </w:p>
        </w:tc>
        <w:tc>
          <w:tcPr>
            <w:tcW w:w="4174"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18 inserted in Gazette 22 Jul 2015 p. 2972; amended in Gazette 15 Apr 2016 p. 1176; 26 May 2017 p. 2627.]</w:t>
      </w:r>
    </w:p>
    <w:p>
      <w:pPr>
        <w:pStyle w:val="yHeading5"/>
      </w:pPr>
      <w:bookmarkStart w:id="358" w:name="_Toc486503024"/>
      <w:r>
        <w:rPr>
          <w:rStyle w:val="CharSClsNo"/>
        </w:rPr>
        <w:t>19</w:t>
      </w:r>
      <w:r>
        <w:t>.</w:t>
      </w:r>
      <w:r>
        <w:tab/>
        <w:t>Lancelin</w:t>
      </w:r>
      <w:bookmarkEnd w:id="358"/>
    </w:p>
    <w:p>
      <w:pPr>
        <w:pStyle w:val="ySubsection"/>
      </w:pPr>
      <w:r>
        <w:tab/>
        <w:t>(1)</w:t>
      </w:r>
      <w:r>
        <w:tab/>
        <w:t>This clause applies to Lancelin.</w:t>
      </w:r>
    </w:p>
    <w:p>
      <w:pPr>
        <w:pStyle w:val="ySubsection"/>
      </w:pPr>
      <w:r>
        <w:tab/>
        <w:t>(2)</w:t>
      </w:r>
      <w:r>
        <w:tab/>
        <w:t>The berthing dues to be paid under these regulations are set out in Table 19.1.</w:t>
      </w:r>
    </w:p>
    <w:p>
      <w:pPr>
        <w:pStyle w:val="yTHeadingNAm"/>
        <w:ind w:left="993"/>
      </w:pPr>
      <w:r>
        <w:t>Table 19.1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14"/>
        <w:gridCol w:w="4188"/>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88"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88"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88"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88"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19 inserted in Gazette 22 Jul 2015 p. 2973.]</w:t>
      </w:r>
    </w:p>
    <w:p>
      <w:pPr>
        <w:pStyle w:val="yHeading5"/>
      </w:pPr>
      <w:bookmarkStart w:id="359" w:name="_Toc486503025"/>
      <w:r>
        <w:rPr>
          <w:rStyle w:val="CharSClsNo"/>
        </w:rPr>
        <w:t>20</w:t>
      </w:r>
      <w:r>
        <w:t>.</w:t>
      </w:r>
      <w:r>
        <w:tab/>
        <w:t>Leeman</w:t>
      </w:r>
      <w:bookmarkEnd w:id="359"/>
    </w:p>
    <w:p>
      <w:pPr>
        <w:pStyle w:val="ySubsection"/>
      </w:pPr>
      <w:r>
        <w:tab/>
        <w:t>(1)</w:t>
      </w:r>
      <w:r>
        <w:tab/>
        <w:t>This clause applies to Leeman.</w:t>
      </w:r>
    </w:p>
    <w:p>
      <w:pPr>
        <w:pStyle w:val="ySubsection"/>
      </w:pPr>
      <w:r>
        <w:tab/>
        <w:t>(2)</w:t>
      </w:r>
      <w:r>
        <w:tab/>
        <w:t>The berthing dues to be paid under these regulations are set out in Table 20.1.</w:t>
      </w:r>
    </w:p>
    <w:p>
      <w:pPr>
        <w:pStyle w:val="yTHeadingNAm"/>
        <w:ind w:left="993"/>
      </w:pPr>
      <w:r>
        <w:t>Table 20.1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202"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202"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20 inserted in Gazette 22 Jul 2015 p. 2973.]</w:t>
      </w:r>
    </w:p>
    <w:p>
      <w:pPr>
        <w:pStyle w:val="yHeading5"/>
        <w:keepNext w:val="0"/>
        <w:keepLines w:val="0"/>
        <w:pageBreakBefore/>
        <w:spacing w:before="0"/>
      </w:pPr>
      <w:bookmarkStart w:id="360" w:name="_Toc486503026"/>
      <w:r>
        <w:rPr>
          <w:rStyle w:val="CharSClsNo"/>
        </w:rPr>
        <w:t>21</w:t>
      </w:r>
      <w:r>
        <w:t>.</w:t>
      </w:r>
      <w:r>
        <w:tab/>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60"/>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keepNext/>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Pr>
      <w:r>
        <w:tab/>
        <w:t>(3)</w:t>
      </w:r>
      <w:r>
        <w:tab/>
        <w:t>The dues and charges to be paid under these regulations are set out in Table 21.1.</w:t>
      </w:r>
    </w:p>
    <w:p>
      <w:pPr>
        <w:pStyle w:val="yTHeadingNAm"/>
        <w:ind w:left="993"/>
      </w:pPr>
      <w:r>
        <w:t>Table 21.1 (Pen use, alongside berthing and mooring)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686"/>
        <w:gridCol w:w="4188"/>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Borders>
              <w:top w:val="single" w:sz="4" w:space="0" w:color="auto"/>
            </w:tcBorders>
          </w:tcPr>
          <w:p>
            <w:pPr>
              <w:pStyle w:val="yTableNAm"/>
            </w:pPr>
            <w:r>
              <w:t>1.</w:t>
            </w:r>
          </w:p>
        </w:tc>
        <w:tc>
          <w:tcPr>
            <w:tcW w:w="4188" w:type="dxa"/>
            <w:tcBorders>
              <w:top w:val="single" w:sz="4" w:space="0" w:color="auto"/>
            </w:tcBorders>
          </w:tcPr>
          <w:p>
            <w:pPr>
              <w:pStyle w:val="yTableNAm"/>
            </w:pPr>
            <w:r>
              <w:t xml:space="preserve">For the use, other than casual daily use, of a pile mooring by a recreational vessel, </w:t>
            </w:r>
            <w:r>
              <w:rPr>
                <w:szCs w:val="22"/>
              </w:rPr>
              <w:t xml:space="preserve">Government vessel, </w:t>
            </w:r>
            <w:r>
              <w:t>fishing vessel or tourism vessel, an amount calculated per metre of the vessel’s length using the annual rate of</w:t>
            </w:r>
          </w:p>
        </w:tc>
        <w:tc>
          <w:tcPr>
            <w:tcW w:w="1276" w:type="dxa"/>
            <w:tcBorders>
              <w:top w:val="single" w:sz="4" w:space="0" w:color="auto"/>
            </w:tcBorders>
          </w:tcPr>
          <w:p>
            <w:pPr>
              <w:pStyle w:val="yTableNAm"/>
              <w:jc w:val="center"/>
            </w:pPr>
            <w:r>
              <w:br/>
            </w:r>
            <w:r>
              <w:br/>
            </w:r>
            <w:r>
              <w:br/>
            </w:r>
            <w:r>
              <w:br/>
            </w:r>
            <w:r>
              <w:rPr>
                <w:szCs w:val="22"/>
              </w:rPr>
              <w:t>349.00</w:t>
            </w:r>
            <w:r>
              <w:rPr>
                <w:szCs w:val="22"/>
              </w:rPr>
              <w:br/>
            </w:r>
          </w:p>
        </w:tc>
      </w:tr>
      <w:tr>
        <w:trPr>
          <w:cantSplit/>
        </w:trPr>
        <w:tc>
          <w:tcPr>
            <w:tcW w:w="686" w:type="dxa"/>
          </w:tcPr>
          <w:p>
            <w:pPr>
              <w:pStyle w:val="yTableNAm"/>
            </w:pPr>
            <w:r>
              <w:t>2.</w:t>
            </w:r>
          </w:p>
        </w:tc>
        <w:tc>
          <w:tcPr>
            <w:tcW w:w="4188" w:type="dxa"/>
          </w:tcPr>
          <w:p>
            <w:pPr>
              <w:pStyle w:val="yTableNAm"/>
            </w:pPr>
            <w:r>
              <w:t>For the use, other than casual daily use, of a pile mooring by a service vessel, an amount calculated per metre of the vessel’s length using the annual rate of</w:t>
            </w:r>
          </w:p>
        </w:tc>
        <w:tc>
          <w:tcPr>
            <w:tcW w:w="1276" w:type="dxa"/>
          </w:tcPr>
          <w:p>
            <w:pPr>
              <w:pStyle w:val="yTableNAm"/>
              <w:jc w:val="center"/>
            </w:pPr>
            <w:r>
              <w:br/>
            </w:r>
            <w:r>
              <w:br/>
            </w:r>
            <w:r>
              <w:br/>
            </w:r>
            <w:r>
              <w:rPr>
                <w:szCs w:val="22"/>
              </w:rPr>
              <w:t>372.00</w:t>
            </w:r>
            <w:r>
              <w:rPr>
                <w:szCs w:val="22"/>
              </w:rPr>
              <w:br/>
            </w:r>
          </w:p>
        </w:tc>
      </w:tr>
      <w:tr>
        <w:trPr>
          <w:cantSplit/>
        </w:trPr>
        <w:tc>
          <w:tcPr>
            <w:tcW w:w="686" w:type="dxa"/>
          </w:tcPr>
          <w:p>
            <w:pPr>
              <w:pStyle w:val="yTableNAm"/>
            </w:pPr>
            <w:r>
              <w:t>3.</w:t>
            </w:r>
          </w:p>
        </w:tc>
        <w:tc>
          <w:tcPr>
            <w:tcW w:w="4188" w:type="dxa"/>
          </w:tcPr>
          <w:p>
            <w:pPr>
              <w:pStyle w:val="yTableNAm"/>
            </w:pPr>
            <w:r>
              <w:t xml:space="preserve">For the casual daily use of an alongside berth or pile mooring, by a </w:t>
            </w:r>
            <w:r>
              <w:rPr>
                <w:szCs w:val="22"/>
              </w:rPr>
              <w:t xml:space="preserve">Government vessel, </w:t>
            </w:r>
            <w:r>
              <w:t>tourism vessel or fishing vessel (but not a service vessel), an amount calculated using standard Rate 1</w:t>
            </w:r>
          </w:p>
        </w:tc>
        <w:tc>
          <w:tcPr>
            <w:tcW w:w="1276" w:type="dxa"/>
          </w:tcPr>
          <w:p>
            <w:pPr>
              <w:pStyle w:val="yTableNAm"/>
              <w:jc w:val="center"/>
            </w:pPr>
          </w:p>
        </w:tc>
      </w:tr>
      <w:tr>
        <w:trPr>
          <w:cantSplit/>
        </w:trPr>
        <w:tc>
          <w:tcPr>
            <w:tcW w:w="4874" w:type="dxa"/>
            <w:gridSpan w:val="2"/>
          </w:tcPr>
          <w:p>
            <w:pPr>
              <w:pStyle w:val="yTableNAm"/>
              <w:rPr>
                <w:i/>
              </w:rPr>
            </w:pPr>
            <w:r>
              <w:rPr>
                <w:i/>
              </w:rPr>
              <w:t>[4.</w:t>
            </w:r>
            <w:r>
              <w:rPr>
                <w:i/>
              </w:rPr>
              <w:tab/>
              <w:t>Deleted]</w:t>
            </w:r>
          </w:p>
        </w:tc>
        <w:tc>
          <w:tcPr>
            <w:tcW w:w="1276" w:type="dxa"/>
          </w:tcPr>
          <w:p>
            <w:pPr>
              <w:pStyle w:val="yTableNAm"/>
              <w:jc w:val="center"/>
            </w:pPr>
          </w:p>
        </w:tc>
      </w:tr>
      <w:tr>
        <w:trPr>
          <w:cantSplit/>
        </w:trPr>
        <w:tc>
          <w:tcPr>
            <w:tcW w:w="686" w:type="dxa"/>
          </w:tcPr>
          <w:p>
            <w:pPr>
              <w:pStyle w:val="yTableNAm"/>
            </w:pPr>
            <w:r>
              <w:t>5.</w:t>
            </w:r>
          </w:p>
        </w:tc>
        <w:tc>
          <w:tcPr>
            <w:tcW w:w="4188" w:type="dxa"/>
          </w:tcPr>
          <w:p>
            <w:pPr>
              <w:pStyle w:val="yTableNAm"/>
            </w:pPr>
            <w:r>
              <w:t xml:space="preserve">For the short term use of a service </w:t>
            </w:r>
            <w:r>
              <w:rPr>
                <w:szCs w:val="22"/>
              </w:rPr>
              <w:t>wharf</w:t>
            </w:r>
            <w:r>
              <w:t xml:space="preserve"> by a vessel (but not a service vessel), an amount calculated using standard Rate 3</w:t>
            </w:r>
          </w:p>
        </w:tc>
        <w:tc>
          <w:tcPr>
            <w:tcW w:w="1276" w:type="dxa"/>
          </w:tcPr>
          <w:p>
            <w:pPr>
              <w:pStyle w:val="yTableNAm"/>
              <w:jc w:val="center"/>
            </w:pPr>
          </w:p>
        </w:tc>
      </w:tr>
      <w:tr>
        <w:trPr>
          <w:cantSplit/>
        </w:trPr>
        <w:tc>
          <w:tcPr>
            <w:tcW w:w="686" w:type="dxa"/>
          </w:tcPr>
          <w:p>
            <w:pPr>
              <w:pStyle w:val="yTableNAm"/>
              <w:keepNext/>
            </w:pPr>
            <w:r>
              <w:t>6.</w:t>
            </w:r>
          </w:p>
        </w:tc>
        <w:tc>
          <w:tcPr>
            <w:tcW w:w="4188" w:type="dxa"/>
          </w:tcPr>
          <w:p>
            <w:pPr>
              <w:pStyle w:val="yTableNAm"/>
              <w:keepNext/>
            </w:pPr>
            <w:r>
              <w:t>For the casual daily use of a pile mooring by a service vessel, an amount calculated per metre of the vessel’s length at the daily rate of</w:t>
            </w:r>
          </w:p>
        </w:tc>
        <w:tc>
          <w:tcPr>
            <w:tcW w:w="1276" w:type="dxa"/>
          </w:tcPr>
          <w:p>
            <w:pPr>
              <w:pStyle w:val="yTableNAm"/>
              <w:keepNext/>
              <w:jc w:val="center"/>
            </w:pPr>
            <w:r>
              <w:br/>
            </w:r>
            <w:r>
              <w:br/>
            </w:r>
            <w:r>
              <w:rPr>
                <w:szCs w:val="24"/>
              </w:rPr>
              <w:br/>
            </w:r>
            <w:r>
              <w:rPr>
                <w:szCs w:val="22"/>
              </w:rPr>
              <w:t>9.30</w:t>
            </w:r>
          </w:p>
        </w:tc>
      </w:tr>
      <w:tr>
        <w:trPr>
          <w:cantSplit/>
        </w:trPr>
        <w:tc>
          <w:tcPr>
            <w:tcW w:w="686" w:type="dxa"/>
          </w:tcPr>
          <w:p>
            <w:pPr>
              <w:pStyle w:val="yTableNAm"/>
            </w:pPr>
            <w:r>
              <w:t>7.</w:t>
            </w:r>
          </w:p>
        </w:tc>
        <w:tc>
          <w:tcPr>
            <w:tcW w:w="4188" w:type="dxa"/>
          </w:tcPr>
          <w:p>
            <w:pPr>
              <w:pStyle w:val="yTableNAm"/>
            </w:pPr>
            <w:r>
              <w:t>For the casual daily use of an alongside berth or pile mooring by a recreational vessel, an amount calculated using standard Rate 2</w:t>
            </w:r>
          </w:p>
        </w:tc>
        <w:tc>
          <w:tcPr>
            <w:tcW w:w="1276" w:type="dxa"/>
          </w:tcPr>
          <w:p>
            <w:pPr>
              <w:pStyle w:val="yTableNAm"/>
              <w:jc w:val="center"/>
            </w:pPr>
          </w:p>
        </w:tc>
      </w:tr>
      <w:tr>
        <w:trPr>
          <w:cantSplit/>
        </w:trPr>
        <w:tc>
          <w:tcPr>
            <w:tcW w:w="686" w:type="dxa"/>
          </w:tcPr>
          <w:p>
            <w:pPr>
              <w:pStyle w:val="yTableNAm"/>
            </w:pPr>
            <w:r>
              <w:t>8.</w:t>
            </w:r>
          </w:p>
        </w:tc>
        <w:tc>
          <w:tcPr>
            <w:tcW w:w="4188" w:type="dxa"/>
          </w:tcPr>
          <w:p>
            <w:pPr>
              <w:pStyle w:val="yTableNAm"/>
            </w:pPr>
            <w:r>
              <w:t xml:space="preserve">For the use, other than casual daily use, of an alongside berth by a recreational vessel, </w:t>
            </w:r>
            <w:r>
              <w:rPr>
                <w:szCs w:val="22"/>
              </w:rPr>
              <w:t xml:space="preserve">Government vessel, </w:t>
            </w:r>
            <w:r>
              <w:t>tourism vessel or fishing vessel, an amount calculated per metre of the vessel’s length at the monthly rate of</w:t>
            </w:r>
          </w:p>
        </w:tc>
        <w:tc>
          <w:tcPr>
            <w:tcW w:w="1276" w:type="dxa"/>
          </w:tcPr>
          <w:p>
            <w:pPr>
              <w:pStyle w:val="yTableNAm"/>
              <w:jc w:val="center"/>
            </w:pPr>
            <w:r>
              <w:br/>
            </w:r>
            <w:r>
              <w:br/>
            </w:r>
            <w:r>
              <w:br/>
            </w:r>
            <w:r>
              <w:br/>
            </w:r>
            <w:r>
              <w:rPr>
                <w:szCs w:val="22"/>
              </w:rPr>
              <w:t>70.40</w:t>
            </w:r>
          </w:p>
        </w:tc>
      </w:tr>
      <w:tr>
        <w:trPr>
          <w:cantSplit/>
        </w:trPr>
        <w:tc>
          <w:tcPr>
            <w:tcW w:w="686" w:type="dxa"/>
          </w:tcPr>
          <w:p>
            <w:pPr>
              <w:pStyle w:val="yTableNAm"/>
            </w:pPr>
            <w:r>
              <w:t>9.</w:t>
            </w:r>
          </w:p>
        </w:tc>
        <w:tc>
          <w:tcPr>
            <w:tcW w:w="4188" w:type="dxa"/>
          </w:tcPr>
          <w:p>
            <w:pPr>
              <w:pStyle w:val="yTableNAm"/>
            </w:pPr>
            <w:r>
              <w:t xml:space="preserve">For the use, other than casual daily use, of an alongside berth by a recreational vessel, </w:t>
            </w:r>
            <w:r>
              <w:rPr>
                <w:szCs w:val="22"/>
              </w:rPr>
              <w:t xml:space="preserve">Government vessel, </w:t>
            </w:r>
            <w:r>
              <w:t>tourism vessel or fishing vessel, an amount calculated per metre of the vessel’s length at the weekly rate of</w:t>
            </w:r>
          </w:p>
        </w:tc>
        <w:tc>
          <w:tcPr>
            <w:tcW w:w="1276" w:type="dxa"/>
          </w:tcPr>
          <w:p>
            <w:pPr>
              <w:pStyle w:val="yTableNAm"/>
              <w:jc w:val="center"/>
            </w:pPr>
            <w:r>
              <w:br/>
            </w:r>
            <w:r>
              <w:br/>
            </w:r>
            <w:r>
              <w:br/>
            </w:r>
            <w:r>
              <w:br/>
            </w:r>
            <w:r>
              <w:rPr>
                <w:szCs w:val="22"/>
              </w:rPr>
              <w:t>21.40</w:t>
            </w:r>
          </w:p>
        </w:tc>
      </w:tr>
      <w:tr>
        <w:trPr>
          <w:cantSplit/>
        </w:trPr>
        <w:tc>
          <w:tcPr>
            <w:tcW w:w="686" w:type="dxa"/>
          </w:tcPr>
          <w:p>
            <w:pPr>
              <w:pStyle w:val="yTableNAm"/>
            </w:pPr>
            <w:r>
              <w:t>10.</w:t>
            </w:r>
          </w:p>
        </w:tc>
        <w:tc>
          <w:tcPr>
            <w:tcW w:w="4188" w:type="dxa"/>
          </w:tcPr>
          <w:p>
            <w:pPr>
              <w:pStyle w:val="yTableNAm"/>
            </w:pPr>
            <w:r>
              <w:t>For the use of the service wharf by a service vessel, an amount calculated per metre of the vessel’s length at the 6</w:t>
            </w:r>
            <w:r>
              <w:noBreakHyphen/>
              <w:t>hourly rate of</w:t>
            </w:r>
          </w:p>
        </w:tc>
        <w:tc>
          <w:tcPr>
            <w:tcW w:w="1276" w:type="dxa"/>
          </w:tcPr>
          <w:p>
            <w:pPr>
              <w:pStyle w:val="yTableNAm"/>
              <w:jc w:val="center"/>
            </w:pPr>
            <w:r>
              <w:br/>
            </w:r>
            <w:r>
              <w:br/>
            </w:r>
            <w:r>
              <w:rPr>
                <w:szCs w:val="22"/>
              </w:rPr>
              <w:t>8.80</w:t>
            </w:r>
          </w:p>
        </w:tc>
      </w:tr>
      <w:tr>
        <w:trPr>
          <w:cantSplit/>
        </w:trPr>
        <w:tc>
          <w:tcPr>
            <w:tcW w:w="686" w:type="dxa"/>
            <w:tcBorders>
              <w:bottom w:val="single" w:sz="4" w:space="0" w:color="auto"/>
            </w:tcBorders>
          </w:tcPr>
          <w:p>
            <w:pPr>
              <w:pStyle w:val="yTableNAm"/>
            </w:pPr>
            <w:r>
              <w:t>11.</w:t>
            </w:r>
          </w:p>
        </w:tc>
        <w:tc>
          <w:tcPr>
            <w:tcW w:w="4188"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r>
            <w:r>
              <w:rPr>
                <w:szCs w:val="22"/>
              </w:rPr>
              <w:t>1.75</w:t>
            </w:r>
          </w:p>
        </w:tc>
      </w:tr>
    </w:tbl>
    <w:p>
      <w:pPr>
        <w:pStyle w:val="yFootnotesection"/>
      </w:pPr>
      <w:r>
        <w:tab/>
        <w:t>[Clause 21 inserted in Gazette 22 Jul 2015 p. 2974</w:t>
      </w:r>
      <w:r>
        <w:noBreakHyphen/>
        <w:t>5; amended in Gazette 5 Apr 2016 p. 1023; 15 Apr 2016 p. 1176-7; 26 May 2017 p. 2627</w:t>
      </w:r>
      <w:r>
        <w:noBreakHyphen/>
        <w:t>8.]</w:t>
      </w:r>
    </w:p>
    <w:p>
      <w:pPr>
        <w:pStyle w:val="yHeading5"/>
      </w:pPr>
      <w:bookmarkStart w:id="361" w:name="_Toc486503027"/>
      <w:r>
        <w:rPr>
          <w:rStyle w:val="CharSClsNo"/>
        </w:rPr>
        <w:t>22</w:t>
      </w:r>
      <w:r>
        <w:t>.</w:t>
      </w:r>
      <w:r>
        <w:tab/>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61"/>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ageBreakBefore/>
        <w:spacing w:before="0"/>
      </w:pPr>
      <w:r>
        <w:tab/>
        <w:t>(3)</w:t>
      </w:r>
      <w:r>
        <w:tab/>
        <w:t>The dues and charges to be paid under these regulations (other than charges under regulation 96) are set out in Table 22.1.</w:t>
      </w:r>
    </w:p>
    <w:p>
      <w:pPr>
        <w:pStyle w:val="zTHeadingNAm"/>
      </w:pPr>
      <w:r>
        <w:t>Table 22.1 (Pen use and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berth at the service wharf or jetty by a recreational vessel, Government vessel, tourism vessel or fishing vessel, an amount calculated per metre of the vessel’s length using the annual rate of</w:t>
            </w:r>
          </w:p>
        </w:tc>
        <w:tc>
          <w:tcPr>
            <w:tcW w:w="1276" w:type="dxa"/>
          </w:tcPr>
          <w:p>
            <w:pPr>
              <w:pStyle w:val="yTableNAm"/>
            </w:pPr>
            <w:r>
              <w:br/>
            </w:r>
            <w:r>
              <w:br/>
            </w:r>
            <w:r>
              <w:br/>
            </w:r>
            <w:r>
              <w:br/>
            </w:r>
            <w:r>
              <w:br/>
            </w:r>
            <w:r>
              <w:rPr>
                <w:szCs w:val="22"/>
              </w:rPr>
              <w:t>518.00</w:t>
            </w:r>
          </w:p>
        </w:tc>
      </w:tr>
      <w:tr>
        <w:trPr>
          <w:cantSplit/>
        </w:trPr>
        <w:tc>
          <w:tcPr>
            <w:tcW w:w="700" w:type="dxa"/>
          </w:tcPr>
          <w:p>
            <w:pPr>
              <w:pStyle w:val="yTableNAm"/>
            </w:pPr>
            <w:r>
              <w:t>2.</w:t>
            </w:r>
          </w:p>
        </w:tc>
        <w:tc>
          <w:tcPr>
            <w:tcW w:w="4160" w:type="dxa"/>
          </w:tcPr>
          <w:p>
            <w:pPr>
              <w:pStyle w:val="yTableNAm"/>
            </w:pPr>
            <w:r>
              <w:t>For the use, other than casual daily use, of a berth at the service wharf or jetty by a service vessel, an amount calculated per metre of the vessel’s length using the annual rate of</w:t>
            </w:r>
          </w:p>
        </w:tc>
        <w:tc>
          <w:tcPr>
            <w:tcW w:w="1276" w:type="dxa"/>
          </w:tcPr>
          <w:p>
            <w:pPr>
              <w:pStyle w:val="yTableNAm"/>
            </w:pPr>
            <w:r>
              <w:br/>
            </w:r>
            <w:r>
              <w:br/>
            </w:r>
            <w:r>
              <w:br/>
            </w:r>
            <w:r>
              <w:rPr>
                <w:szCs w:val="22"/>
              </w:rPr>
              <w:t>1 144.00</w:t>
            </w:r>
          </w:p>
        </w:tc>
      </w:tr>
      <w:tr>
        <w:trPr>
          <w:cantSplit/>
        </w:trPr>
        <w:tc>
          <w:tcPr>
            <w:tcW w:w="700" w:type="dxa"/>
          </w:tcPr>
          <w:p>
            <w:pPr>
              <w:pStyle w:val="yTableNAm"/>
            </w:pPr>
            <w:r>
              <w:t>3.</w:t>
            </w:r>
          </w:p>
        </w:tc>
        <w:tc>
          <w:tcPr>
            <w:tcW w:w="4160" w:type="dxa"/>
          </w:tcPr>
          <w:p>
            <w:pPr>
              <w:pStyle w:val="yTableNAm"/>
            </w:pPr>
            <w:r>
              <w:t>For the casual daily use of a berth at the service wharf or jetty by a Government vessel, tourism vessel or fishing vessel, an amount calculated using standard Rate 1</w:t>
            </w:r>
          </w:p>
        </w:tc>
        <w:tc>
          <w:tcPr>
            <w:tcW w:w="1276" w:type="dxa"/>
          </w:tcPr>
          <w:p>
            <w:pPr>
              <w:pStyle w:val="yTableNAm"/>
            </w:pPr>
          </w:p>
        </w:tc>
      </w:tr>
      <w:tr>
        <w:trPr>
          <w:cantSplit/>
        </w:trPr>
        <w:tc>
          <w:tcPr>
            <w:tcW w:w="700" w:type="dxa"/>
          </w:tcPr>
          <w:p>
            <w:pPr>
              <w:pStyle w:val="yTableNAm"/>
            </w:pPr>
            <w:r>
              <w:t>4.</w:t>
            </w:r>
          </w:p>
        </w:tc>
        <w:tc>
          <w:tcPr>
            <w:tcW w:w="4160" w:type="dxa"/>
          </w:tcPr>
          <w:p>
            <w:pPr>
              <w:pStyle w:val="yTableNAm"/>
            </w:pPr>
            <w:r>
              <w:t>For the casual daily use of the service wharf or jetty by a recreational vessel, an amount calculated using standard Rate 2</w:t>
            </w:r>
          </w:p>
        </w:tc>
        <w:tc>
          <w:tcPr>
            <w:tcW w:w="1276" w:type="dxa"/>
          </w:tcPr>
          <w:p>
            <w:pPr>
              <w:pStyle w:val="yTableNAm"/>
            </w:pPr>
          </w:p>
        </w:tc>
      </w:tr>
      <w:tr>
        <w:trPr>
          <w:cantSplit/>
        </w:trPr>
        <w:tc>
          <w:tcPr>
            <w:tcW w:w="700" w:type="dxa"/>
          </w:tcPr>
          <w:p>
            <w:pPr>
              <w:pStyle w:val="yTableNAm"/>
            </w:pPr>
            <w:r>
              <w:t>5.</w:t>
            </w:r>
          </w:p>
        </w:tc>
        <w:tc>
          <w:tcPr>
            <w:tcW w:w="4160" w:type="dxa"/>
          </w:tcPr>
          <w:p>
            <w:pPr>
              <w:pStyle w:val="yTableNAm"/>
            </w:pPr>
            <w:r>
              <w:t>For the short term use of a berth at the service wharf or jetty by a vessel (but not a service vessel), an amount calculated using standard Rate 3</w:t>
            </w:r>
          </w:p>
        </w:tc>
        <w:tc>
          <w:tcPr>
            <w:tcW w:w="1276" w:type="dxa"/>
          </w:tcPr>
          <w:p>
            <w:pPr>
              <w:pStyle w:val="yTableNAm"/>
            </w:pPr>
          </w:p>
        </w:tc>
      </w:tr>
      <w:tr>
        <w:trPr>
          <w:cantSplit/>
        </w:trPr>
        <w:tc>
          <w:tcPr>
            <w:tcW w:w="700" w:type="dxa"/>
          </w:tcPr>
          <w:p>
            <w:pPr>
              <w:pStyle w:val="yTableNAm"/>
            </w:pPr>
            <w:r>
              <w:t>6.</w:t>
            </w:r>
          </w:p>
        </w:tc>
        <w:tc>
          <w:tcPr>
            <w:tcW w:w="4160" w:type="dxa"/>
          </w:tcPr>
          <w:p>
            <w:pPr>
              <w:pStyle w:val="yTableNAm"/>
            </w:pPr>
            <w:r>
              <w:t>For the use of a berth at the service wharf or jetty by a service vessel, an amount calculated per metre of the vessel’s length at the 6</w:t>
            </w:r>
            <w:r>
              <w:noBreakHyphen/>
              <w:t>hourly rate of</w:t>
            </w:r>
          </w:p>
        </w:tc>
        <w:tc>
          <w:tcPr>
            <w:tcW w:w="1276" w:type="dxa"/>
          </w:tcPr>
          <w:p>
            <w:pPr>
              <w:pStyle w:val="yTableNAm"/>
            </w:pPr>
            <w:r>
              <w:br/>
            </w:r>
            <w:r>
              <w:br/>
            </w:r>
            <w:r>
              <w:br/>
            </w:r>
            <w:r>
              <w:rPr>
                <w:szCs w:val="22"/>
              </w:rPr>
              <w:t>8.80</w:t>
            </w:r>
          </w:p>
        </w:tc>
      </w:tr>
      <w:tr>
        <w:trPr>
          <w:cantSplit/>
        </w:trPr>
        <w:tc>
          <w:tcPr>
            <w:tcW w:w="700" w:type="dxa"/>
            <w:tcBorders>
              <w:bottom w:val="single" w:sz="4" w:space="0" w:color="auto"/>
            </w:tcBorders>
          </w:tcPr>
          <w:p>
            <w:pPr>
              <w:pStyle w:val="yTableNAm"/>
            </w:pPr>
            <w:r>
              <w:t>7.</w:t>
            </w:r>
          </w:p>
        </w:tc>
        <w:tc>
          <w:tcPr>
            <w:tcW w:w="4160"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pPr>
            <w:r>
              <w:br/>
            </w:r>
            <w:r>
              <w:br/>
            </w:r>
            <w:r>
              <w:br/>
              <w:t>1.75</w:t>
            </w:r>
          </w:p>
        </w:tc>
      </w:tr>
    </w:tbl>
    <w:p>
      <w:pPr>
        <w:pStyle w:val="ySubsection"/>
        <w:pageBreakBefore/>
        <w:spacing w:before="0"/>
      </w:pPr>
      <w:r>
        <w:tab/>
        <w:t>(4)</w:t>
      </w:r>
      <w:r>
        <w:tab/>
        <w:t>The charges to be paid under regulation 96 are set out in Table 22.2.</w:t>
      </w:r>
    </w:p>
    <w:p>
      <w:pPr>
        <w:pStyle w:val="yTHeadingNAm"/>
        <w:ind w:left="993"/>
      </w:pPr>
      <w:r>
        <w:t>Table 22.2 (Use of careening pad)</w:t>
      </w:r>
    </w:p>
    <w:tbl>
      <w:tblPr>
        <w:tblW w:w="6131" w:type="dxa"/>
        <w:tblInd w:w="1009" w:type="dxa"/>
        <w:tblLayout w:type="fixed"/>
        <w:tblCellMar>
          <w:top w:w="57" w:type="dxa"/>
          <w:left w:w="57" w:type="dxa"/>
          <w:right w:w="57" w:type="dxa"/>
        </w:tblCellMar>
        <w:tblLook w:val="0000" w:firstRow="0" w:lastRow="0" w:firstColumn="0" w:lastColumn="0" w:noHBand="0" w:noVBand="0"/>
      </w:tblPr>
      <w:tblGrid>
        <w:gridCol w:w="658"/>
        <w:gridCol w:w="4185"/>
        <w:gridCol w:w="1288"/>
      </w:tblGrid>
      <w:tr>
        <w:trPr>
          <w:cantSplit/>
          <w:tblHeader/>
        </w:trPr>
        <w:tc>
          <w:tcPr>
            <w:tcW w:w="658" w:type="dxa"/>
            <w:tcBorders>
              <w:top w:val="single" w:sz="4" w:space="0" w:color="auto"/>
              <w:bottom w:val="single" w:sz="4" w:space="0" w:color="auto"/>
            </w:tcBorders>
          </w:tcPr>
          <w:p>
            <w:pPr>
              <w:pStyle w:val="yTableNAm"/>
            </w:pPr>
            <w:r>
              <w:rPr>
                <w:b/>
              </w:rPr>
              <w:t>Item</w:t>
            </w:r>
          </w:p>
        </w:tc>
        <w:tc>
          <w:tcPr>
            <w:tcW w:w="4185" w:type="dxa"/>
            <w:tcBorders>
              <w:top w:val="single" w:sz="4" w:space="0" w:color="auto"/>
              <w:bottom w:val="single" w:sz="4" w:space="0" w:color="auto"/>
            </w:tcBorders>
          </w:tcPr>
          <w:p>
            <w:pPr>
              <w:pStyle w:val="yTableNAm"/>
            </w:pPr>
            <w:r>
              <w:rPr>
                <w:b/>
              </w:rPr>
              <w:t>Service</w:t>
            </w:r>
          </w:p>
        </w:tc>
        <w:tc>
          <w:tcPr>
            <w:tcW w:w="1288" w:type="dxa"/>
            <w:tcBorders>
              <w:top w:val="single" w:sz="4" w:space="0" w:color="auto"/>
              <w:bottom w:val="single" w:sz="4" w:space="0" w:color="auto"/>
            </w:tcBorders>
          </w:tcPr>
          <w:p>
            <w:pPr>
              <w:pStyle w:val="yTableNAm"/>
              <w:jc w:val="center"/>
            </w:pPr>
            <w:r>
              <w:rPr>
                <w:b/>
              </w:rPr>
              <w:t>$</w:t>
            </w:r>
          </w:p>
        </w:tc>
      </w:tr>
      <w:tr>
        <w:trPr>
          <w:cantSplit/>
        </w:trPr>
        <w:tc>
          <w:tcPr>
            <w:tcW w:w="658" w:type="dxa"/>
          </w:tcPr>
          <w:p>
            <w:pPr>
              <w:pStyle w:val="yTableNAm"/>
            </w:pPr>
            <w:r>
              <w:t>1.</w:t>
            </w:r>
          </w:p>
        </w:tc>
        <w:tc>
          <w:tcPr>
            <w:tcW w:w="4185" w:type="dxa"/>
          </w:tcPr>
          <w:p>
            <w:pPr>
              <w:pStyle w:val="yTableNAm"/>
            </w:pPr>
            <w:r>
              <w:t xml:space="preserve">For the use of a careening pad by a vessel, whether or not the annual charge in Table 22.1 has been paid, an amount per day of — </w:t>
            </w:r>
          </w:p>
        </w:tc>
        <w:tc>
          <w:tcPr>
            <w:tcW w:w="1288" w:type="dxa"/>
          </w:tcPr>
          <w:p>
            <w:pPr>
              <w:pStyle w:val="yTableNAm"/>
              <w:jc w:val="center"/>
            </w:pPr>
          </w:p>
        </w:tc>
      </w:tr>
      <w:tr>
        <w:trPr>
          <w:cantSplit/>
        </w:trPr>
        <w:tc>
          <w:tcPr>
            <w:tcW w:w="658" w:type="dxa"/>
          </w:tcPr>
          <w:p>
            <w:pPr>
              <w:pStyle w:val="zyTableNAm"/>
            </w:pPr>
          </w:p>
        </w:tc>
        <w:tc>
          <w:tcPr>
            <w:tcW w:w="4185" w:type="dxa"/>
          </w:tcPr>
          <w:p>
            <w:pPr>
              <w:pStyle w:val="yTableNAm"/>
              <w:tabs>
                <w:tab w:val="clear" w:pos="567"/>
              </w:tabs>
              <w:ind w:left="226" w:hanging="226"/>
            </w:pPr>
            <w:r>
              <w:t>•</w:t>
            </w:r>
            <w:r>
              <w:tab/>
              <w:t>if the vessel is 15 m or less in length</w:t>
            </w:r>
          </w:p>
        </w:tc>
        <w:tc>
          <w:tcPr>
            <w:tcW w:w="1288" w:type="dxa"/>
            <w:vAlign w:val="bottom"/>
          </w:tcPr>
          <w:p>
            <w:pPr>
              <w:pStyle w:val="yTableNAm"/>
              <w:jc w:val="center"/>
            </w:pPr>
            <w:r>
              <w:rPr>
                <w:szCs w:val="22"/>
              </w:rPr>
              <w:t>208.50</w:t>
            </w:r>
            <w:r>
              <w:rPr>
                <w:szCs w:val="22"/>
              </w:rPr>
              <w:br/>
            </w:r>
          </w:p>
        </w:tc>
      </w:tr>
      <w:tr>
        <w:trPr>
          <w:cantSplit/>
        </w:trPr>
        <w:tc>
          <w:tcPr>
            <w:tcW w:w="658" w:type="dxa"/>
            <w:tcBorders>
              <w:bottom w:val="single" w:sz="4" w:space="0" w:color="auto"/>
            </w:tcBorders>
          </w:tcPr>
          <w:p>
            <w:pPr>
              <w:pStyle w:val="zyTableNAm"/>
            </w:pPr>
          </w:p>
        </w:tc>
        <w:tc>
          <w:tcPr>
            <w:tcW w:w="4185" w:type="dxa"/>
            <w:tcBorders>
              <w:bottom w:val="single" w:sz="4" w:space="0" w:color="auto"/>
            </w:tcBorders>
          </w:tcPr>
          <w:p>
            <w:pPr>
              <w:pStyle w:val="yTableNAm"/>
              <w:tabs>
                <w:tab w:val="clear" w:pos="567"/>
              </w:tabs>
              <w:ind w:left="226" w:hanging="226"/>
            </w:pPr>
            <w:r>
              <w:t>•</w:t>
            </w:r>
            <w:r>
              <w:tab/>
              <w:t>if the vessel is over 15 m in length</w:t>
            </w:r>
          </w:p>
        </w:tc>
        <w:tc>
          <w:tcPr>
            <w:tcW w:w="1288" w:type="dxa"/>
            <w:tcBorders>
              <w:bottom w:val="single" w:sz="4" w:space="0" w:color="auto"/>
            </w:tcBorders>
            <w:vAlign w:val="bottom"/>
          </w:tcPr>
          <w:p>
            <w:pPr>
              <w:pStyle w:val="yTableNAm"/>
              <w:jc w:val="center"/>
            </w:pPr>
            <w:r>
              <w:rPr>
                <w:szCs w:val="22"/>
              </w:rPr>
              <w:t>304.40</w:t>
            </w:r>
            <w:r>
              <w:rPr>
                <w:szCs w:val="22"/>
              </w:rPr>
              <w:br/>
            </w:r>
          </w:p>
        </w:tc>
      </w:tr>
    </w:tbl>
    <w:p>
      <w:pPr>
        <w:pStyle w:val="yFootnotesection"/>
      </w:pPr>
      <w:r>
        <w:tab/>
        <w:t>[Clause 22 inserted in Gazette 22 Jul 2015 p. 2975</w:t>
      </w:r>
      <w:r>
        <w:noBreakHyphen/>
        <w:t>8; amended in Gazette 5 Apr 2016 p. 1024; 15 Apr 2016 p. 1177; 23 Dec 2016 p. 5914; 26 May 2017 p. 2624 and 2628.]</w:t>
      </w:r>
    </w:p>
    <w:p>
      <w:pPr>
        <w:pStyle w:val="yHeading5"/>
      </w:pPr>
      <w:bookmarkStart w:id="362" w:name="_Toc486503028"/>
      <w:r>
        <w:rPr>
          <w:rStyle w:val="CharSClsNo"/>
        </w:rPr>
        <w:t>23</w:t>
      </w:r>
      <w:r>
        <w:t>.</w:t>
      </w:r>
      <w:r>
        <w:tab/>
        <w:t xml:space="preserve">Port </w:t>
      </w:r>
      <w:smartTag w:uri="urn:schemas-microsoft-com:office:smarttags" w:element="place">
        <w:smartTag w:uri="urn:schemas-microsoft-com:office:smarttags" w:element="City">
          <w:r>
            <w:t>Denison</w:t>
          </w:r>
        </w:smartTag>
      </w:smartTag>
      <w:bookmarkEnd w:id="362"/>
    </w:p>
    <w:p>
      <w:pPr>
        <w:pStyle w:val="ySubsection"/>
      </w:pPr>
      <w:r>
        <w:tab/>
        <w:t>(1)</w:t>
      </w:r>
      <w:r>
        <w:tab/>
        <w:t>This clause applies to Port Denison.</w:t>
      </w:r>
    </w:p>
    <w:p>
      <w:pPr>
        <w:pStyle w:val="ySubsection"/>
      </w:pPr>
      <w:r>
        <w:tab/>
        <w:t>(2)</w:t>
      </w:r>
      <w:r>
        <w:tab/>
        <w:t>The dues (other than wharfage dues) and charges to be paid under these regulations are set out in Table 23.1.</w:t>
      </w:r>
    </w:p>
    <w:p>
      <w:pPr>
        <w:pStyle w:val="yTHeadingNAm"/>
        <w:ind w:left="993"/>
      </w:pPr>
      <w:r>
        <w:t>Table 23.1 (Pen use and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30"/>
        <w:gridCol w:w="4202"/>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02" w:type="dxa"/>
          </w:tcPr>
          <w:p>
            <w:pPr>
              <w:pStyle w:val="yTableNAm"/>
            </w:pPr>
            <w:r>
              <w:t>For the use, other than casual daily use, of a pen, an amount calculated per metre of the pen’s length at the annual rate of</w:t>
            </w:r>
          </w:p>
        </w:tc>
        <w:tc>
          <w:tcPr>
            <w:tcW w:w="1276" w:type="dxa"/>
          </w:tcPr>
          <w:p>
            <w:pPr>
              <w:pStyle w:val="yTableNAm"/>
              <w:jc w:val="center"/>
            </w:pPr>
            <w:r>
              <w:br/>
            </w:r>
            <w:r>
              <w:br/>
            </w:r>
            <w:r>
              <w:rPr>
                <w:szCs w:val="22"/>
              </w:rPr>
              <w:t>230.00</w:t>
            </w:r>
            <w:r>
              <w:rPr>
                <w:szCs w:val="22"/>
              </w:rPr>
              <w:br/>
            </w:r>
          </w:p>
        </w:tc>
      </w:tr>
      <w:tr>
        <w:trPr>
          <w:cantSplit/>
        </w:trPr>
        <w:tc>
          <w:tcPr>
            <w:tcW w:w="630" w:type="dxa"/>
          </w:tcPr>
          <w:p>
            <w:pPr>
              <w:pStyle w:val="yTableNAm"/>
            </w:pPr>
            <w:r>
              <w:t>2.</w:t>
            </w:r>
          </w:p>
        </w:tc>
        <w:tc>
          <w:tcPr>
            <w:tcW w:w="4202"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630" w:type="dxa"/>
          </w:tcPr>
          <w:p>
            <w:pPr>
              <w:pStyle w:val="yTableNAm"/>
            </w:pPr>
            <w:r>
              <w:t>3.</w:t>
            </w:r>
          </w:p>
        </w:tc>
        <w:tc>
          <w:tcPr>
            <w:tcW w:w="4202" w:type="dxa"/>
          </w:tcPr>
          <w:p>
            <w:pPr>
              <w:pStyle w:val="yTableNAm"/>
            </w:pPr>
            <w:r>
              <w:t>For the short term use of a service wharf or jetty by a vessel for which neither a swing mooring fee nor charge in item 1 has been paid, an amount calculated using standard Rate 3</w:t>
            </w:r>
          </w:p>
        </w:tc>
        <w:tc>
          <w:tcPr>
            <w:tcW w:w="1276" w:type="dxa"/>
          </w:tcPr>
          <w:p>
            <w:pPr>
              <w:pStyle w:val="yTableNAm"/>
              <w:jc w:val="center"/>
            </w:pPr>
          </w:p>
        </w:tc>
      </w:tr>
      <w:tr>
        <w:trPr>
          <w:cantSplit/>
        </w:trPr>
        <w:tc>
          <w:tcPr>
            <w:tcW w:w="630" w:type="dxa"/>
            <w:tcBorders>
              <w:bottom w:val="single" w:sz="4" w:space="0" w:color="auto"/>
            </w:tcBorders>
          </w:tcPr>
          <w:p>
            <w:pPr>
              <w:pStyle w:val="yTableNAm"/>
            </w:pPr>
            <w:r>
              <w:t>4.</w:t>
            </w:r>
          </w:p>
        </w:tc>
        <w:tc>
          <w:tcPr>
            <w:tcW w:w="4202"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Subsection"/>
      </w:pPr>
      <w:r>
        <w:tab/>
        <w:t>(3)</w:t>
      </w:r>
      <w:r>
        <w:tab/>
        <w:t>The wharfage dues to be paid under these regulations are set out in Table 23.2.</w:t>
      </w:r>
    </w:p>
    <w:p>
      <w:pPr>
        <w:pStyle w:val="yTHeadingNAm"/>
        <w:ind w:left="993"/>
      </w:pPr>
      <w:r>
        <w:t>Table 23.2 (Wharfage)</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Borders>
              <w:top w:val="single" w:sz="4" w:space="0" w:color="auto"/>
              <w:bottom w:val="single" w:sz="4" w:space="0" w:color="auto"/>
            </w:tcBorders>
          </w:tcPr>
          <w:p>
            <w:pPr>
              <w:pStyle w:val="yTableNAm"/>
            </w:pPr>
            <w:r>
              <w:t>1.</w:t>
            </w:r>
          </w:p>
        </w:tc>
        <w:tc>
          <w:tcPr>
            <w:tcW w:w="418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1276" w:type="dxa"/>
            <w:tcBorders>
              <w:top w:val="single" w:sz="4" w:space="0" w:color="auto"/>
              <w:bottom w:val="single" w:sz="4" w:space="0" w:color="auto"/>
            </w:tcBorders>
          </w:tcPr>
          <w:p>
            <w:pPr>
              <w:pStyle w:val="yTableNAm"/>
              <w:jc w:val="center"/>
            </w:pPr>
            <w:r>
              <w:br/>
            </w:r>
            <w:r>
              <w:br/>
            </w:r>
            <w:r>
              <w:br/>
            </w:r>
            <w:r>
              <w:rPr>
                <w:szCs w:val="22"/>
              </w:rPr>
              <w:t>630.00</w:t>
            </w:r>
            <w:r>
              <w:rPr>
                <w:szCs w:val="22"/>
              </w:rPr>
              <w:br/>
            </w:r>
          </w:p>
        </w:tc>
      </w:tr>
    </w:tbl>
    <w:p>
      <w:pPr>
        <w:pStyle w:val="yFootnotesection"/>
      </w:pPr>
      <w:r>
        <w:tab/>
        <w:t>[Clause 23 inserted in Gazette 22 Jul 2015 p. 2978</w:t>
      </w:r>
      <w:r>
        <w:noBreakHyphen/>
        <w:t>9; amended in Gazette 15 Apr 2016 p. 1177; 26 May 2017 p. 2628.]</w:t>
      </w:r>
    </w:p>
    <w:p>
      <w:pPr>
        <w:pStyle w:val="yHeading5"/>
      </w:pPr>
      <w:bookmarkStart w:id="363" w:name="_Toc486503029"/>
      <w:r>
        <w:rPr>
          <w:rStyle w:val="CharSClsNo"/>
        </w:rPr>
        <w:t>24</w:t>
      </w:r>
      <w:r>
        <w:t>.</w:t>
      </w:r>
      <w:r>
        <w:tab/>
        <w:t>Port Gregory</w:t>
      </w:r>
      <w:bookmarkEnd w:id="363"/>
    </w:p>
    <w:p>
      <w:pPr>
        <w:pStyle w:val="ySubsection"/>
      </w:pPr>
      <w:r>
        <w:tab/>
        <w:t>(1)</w:t>
      </w:r>
      <w:r>
        <w:tab/>
        <w:t>This clause applies to Port Gregory.</w:t>
      </w:r>
    </w:p>
    <w:p>
      <w:pPr>
        <w:pStyle w:val="ySubsection"/>
      </w:pPr>
      <w:r>
        <w:tab/>
        <w:t>(2)</w:t>
      </w:r>
      <w:r>
        <w:tab/>
        <w:t>The berthing dues to be paid under these regulations are set out in Table 24.1.</w:t>
      </w:r>
    </w:p>
    <w:p>
      <w:pPr>
        <w:pStyle w:val="yTHeadingNAm"/>
        <w:ind w:left="993"/>
      </w:pPr>
      <w:r>
        <w:t>Table 24.1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Pr>
          <w:p>
            <w:pPr>
              <w:pStyle w:val="yTableNAm"/>
            </w:pPr>
            <w:r>
              <w:t>1.</w:t>
            </w:r>
          </w:p>
        </w:tc>
        <w:tc>
          <w:tcPr>
            <w:tcW w:w="4188" w:type="dxa"/>
          </w:tcPr>
          <w:p>
            <w:pPr>
              <w:pStyle w:val="yTableNAm"/>
            </w:pPr>
            <w:r>
              <w:t xml:space="preserve">For the casual daily use of an alongside berth — </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44" w:type="dxa"/>
            <w:tcBorders>
              <w:bottom w:val="single" w:sz="4" w:space="0" w:color="auto"/>
            </w:tcBorders>
          </w:tcPr>
          <w:p>
            <w:pPr>
              <w:pStyle w:val="yTableNAm"/>
            </w:pPr>
            <w:r>
              <w:t>2.</w:t>
            </w:r>
          </w:p>
        </w:tc>
        <w:tc>
          <w:tcPr>
            <w:tcW w:w="4188"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24 inserted in Gazette 22 Jul 2015 p. 2979</w:t>
      </w:r>
      <w:r>
        <w:noBreakHyphen/>
        <w:t>80.]</w:t>
      </w:r>
    </w:p>
    <w:p>
      <w:pPr>
        <w:pStyle w:val="yHeading5"/>
      </w:pPr>
      <w:bookmarkStart w:id="364" w:name="_Toc486503030"/>
      <w:r>
        <w:rPr>
          <w:rStyle w:val="CharSClsNo"/>
        </w:rPr>
        <w:t>25A</w:t>
      </w:r>
      <w:r>
        <w:t>.</w:t>
      </w:r>
      <w:r>
        <w:tab/>
        <w:t>Two Rocks Marina</w:t>
      </w:r>
      <w:bookmarkEnd w:id="364"/>
    </w:p>
    <w:p>
      <w:pPr>
        <w:pStyle w:val="ySubsection"/>
      </w:pPr>
      <w:r>
        <w:tab/>
        <w:t>(1)</w:t>
      </w:r>
      <w:r>
        <w:tab/>
        <w:t>This clause applies to the Two Rocks Marina.</w:t>
      </w:r>
    </w:p>
    <w:p>
      <w:pPr>
        <w:pStyle w:val="ySubsection"/>
      </w:pPr>
      <w:r>
        <w:tab/>
        <w:t>(2)</w:t>
      </w:r>
      <w:r>
        <w:tab/>
        <w:t>The dues and charges to be paid under these regulations are set out in Table 25A.1.</w:t>
      </w:r>
    </w:p>
    <w:p>
      <w:pPr>
        <w:pStyle w:val="yTHeadingNAm"/>
        <w:ind w:left="993"/>
      </w:pPr>
      <w:r>
        <w:t>Table 25A.1 (Pen use and alongside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4160"/>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60"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r>
            <w:r>
              <w:rPr>
                <w:szCs w:val="22"/>
              </w:rPr>
              <w:t>428.00</w:t>
            </w:r>
          </w:p>
        </w:tc>
      </w:tr>
      <w:tr>
        <w:trPr>
          <w:cantSplit/>
        </w:trPr>
        <w:tc>
          <w:tcPr>
            <w:tcW w:w="672" w:type="dxa"/>
          </w:tcPr>
          <w:p>
            <w:pPr>
              <w:pStyle w:val="yTableNAm"/>
            </w:pPr>
            <w:r>
              <w:t>1A.</w:t>
            </w:r>
          </w:p>
        </w:tc>
        <w:tc>
          <w:tcPr>
            <w:tcW w:w="4160"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r>
            <w:r>
              <w:rPr>
                <w:szCs w:val="22"/>
              </w:rPr>
              <w:t>418.00</w:t>
            </w:r>
          </w:p>
        </w:tc>
      </w:tr>
      <w:tr>
        <w:trPr>
          <w:cantSplit/>
        </w:trPr>
        <w:tc>
          <w:tcPr>
            <w:tcW w:w="672" w:type="dxa"/>
          </w:tcPr>
          <w:p>
            <w:pPr>
              <w:pStyle w:val="yTableNAm"/>
            </w:pPr>
            <w:r>
              <w:t>2.</w:t>
            </w:r>
          </w:p>
        </w:tc>
        <w:tc>
          <w:tcPr>
            <w:tcW w:w="4160"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672" w:type="dxa"/>
          </w:tcPr>
          <w:p>
            <w:pPr>
              <w:pStyle w:val="yTableNAm"/>
              <w:rPr>
                <w:i/>
              </w:rPr>
            </w:pPr>
            <w:r>
              <w:rPr>
                <w:i/>
              </w:rPr>
              <w:t>[3.</w:t>
            </w:r>
          </w:p>
        </w:tc>
        <w:tc>
          <w:tcPr>
            <w:tcW w:w="4160" w:type="dxa"/>
          </w:tcPr>
          <w:p>
            <w:pPr>
              <w:pStyle w:val="yTableNAm"/>
              <w:rPr>
                <w:i/>
              </w:rPr>
            </w:pPr>
            <w:r>
              <w:rPr>
                <w:i/>
              </w:rPr>
              <w:t>Deleted]</w:t>
            </w:r>
          </w:p>
        </w:tc>
        <w:tc>
          <w:tcPr>
            <w:tcW w:w="1276" w:type="dxa"/>
          </w:tcPr>
          <w:p>
            <w:pPr>
              <w:pStyle w:val="yTableNAm"/>
              <w:jc w:val="center"/>
            </w:pPr>
          </w:p>
        </w:tc>
      </w:tr>
      <w:tr>
        <w:trPr>
          <w:cantSplit/>
        </w:trPr>
        <w:tc>
          <w:tcPr>
            <w:tcW w:w="672" w:type="dxa"/>
          </w:tcPr>
          <w:p>
            <w:pPr>
              <w:pStyle w:val="yTableNAm"/>
            </w:pPr>
            <w:r>
              <w:t>4.</w:t>
            </w:r>
          </w:p>
        </w:tc>
        <w:tc>
          <w:tcPr>
            <w:tcW w:w="4160"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672" w:type="dxa"/>
          </w:tcPr>
          <w:p>
            <w:pPr>
              <w:pStyle w:val="yTableNAm"/>
            </w:pPr>
            <w:r>
              <w:t>5.</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672" w:type="dxa"/>
            <w:tcBorders>
              <w:bottom w:val="single" w:sz="4" w:space="0" w:color="auto"/>
            </w:tcBorders>
          </w:tcPr>
          <w:p>
            <w:pPr>
              <w:pStyle w:val="yTableNAm"/>
            </w:pPr>
            <w:r>
              <w:t>6.</w:t>
            </w:r>
          </w:p>
        </w:tc>
        <w:tc>
          <w:tcPr>
            <w:tcW w:w="4160" w:type="dxa"/>
            <w:tcBorders>
              <w:bottom w:val="single" w:sz="4" w:space="0" w:color="auto"/>
            </w:tcBorders>
          </w:tcPr>
          <w:p>
            <w:pPr>
              <w:pStyle w:val="yTableNAm"/>
            </w:pPr>
            <w:r>
              <w:t>For the use, other than casual daily use, of an alongside berth, an amount calculated per metre of the vessel’s length using the annual rate of</w:t>
            </w:r>
          </w:p>
        </w:tc>
        <w:tc>
          <w:tcPr>
            <w:tcW w:w="1276" w:type="dxa"/>
            <w:tcBorders>
              <w:bottom w:val="single" w:sz="4" w:space="0" w:color="auto"/>
            </w:tcBorders>
          </w:tcPr>
          <w:p>
            <w:pPr>
              <w:pStyle w:val="yTableNAm"/>
              <w:jc w:val="center"/>
            </w:pPr>
            <w:r>
              <w:br/>
            </w:r>
            <w:r>
              <w:br/>
            </w:r>
            <w:r>
              <w:br/>
            </w:r>
            <w:r>
              <w:rPr>
                <w:szCs w:val="22"/>
              </w:rPr>
              <w:t>428.00</w:t>
            </w:r>
            <w:r>
              <w:rPr>
                <w:szCs w:val="22"/>
              </w:rPr>
              <w:br/>
            </w:r>
          </w:p>
        </w:tc>
      </w:tr>
    </w:tbl>
    <w:p>
      <w:pPr>
        <w:pStyle w:val="yFootnotesection"/>
      </w:pPr>
      <w:r>
        <w:tab/>
        <w:t>[Clause 25A inserted in Gazette 22 Jul 2015 p. 2980; amended in Gazette 5 Apr 2016 p. 1024; 15 Apr 2016 p. 1177; 23 Dec 2016 p. 5914; 26 May 2017 p. 2624 and 2628.]</w:t>
      </w:r>
    </w:p>
    <w:p>
      <w:pPr>
        <w:pStyle w:val="yHeading5"/>
      </w:pPr>
      <w:bookmarkStart w:id="365" w:name="_Toc486503031"/>
      <w:r>
        <w:rPr>
          <w:rStyle w:val="CharSClsNo"/>
        </w:rPr>
        <w:t>25</w:t>
      </w:r>
      <w:r>
        <w:t>.</w:t>
      </w:r>
      <w:r>
        <w:tab/>
        <w:t>Port of Wyndham</w:t>
      </w:r>
      <w:bookmarkEnd w:id="365"/>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berthing dues to be paid under these regulations are set out in Table 25.1.</w:t>
      </w:r>
    </w:p>
    <w:p>
      <w:pPr>
        <w:pStyle w:val="yTHeadingNAm"/>
        <w:spacing w:before="180" w:after="80"/>
        <w:ind w:left="992"/>
      </w:pPr>
      <w:r>
        <w:t>Table 25.1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1750"/>
        <w:gridCol w:w="2268"/>
        <w:gridCol w:w="1418"/>
      </w:tblGrid>
      <w:tr>
        <w:trPr>
          <w:cantSplit/>
          <w:tblHeader/>
        </w:trPr>
        <w:tc>
          <w:tcPr>
            <w:tcW w:w="672" w:type="dxa"/>
            <w:tcBorders>
              <w:top w:val="single" w:sz="4" w:space="0" w:color="auto"/>
              <w:bottom w:val="single" w:sz="4" w:space="0" w:color="auto"/>
            </w:tcBorders>
          </w:tcPr>
          <w:p>
            <w:pPr>
              <w:pStyle w:val="yTableNAm"/>
            </w:pPr>
            <w:r>
              <w:rPr>
                <w:b/>
              </w:rPr>
              <w:t>Item</w:t>
            </w:r>
          </w:p>
        </w:tc>
        <w:tc>
          <w:tcPr>
            <w:tcW w:w="1750" w:type="dxa"/>
            <w:tcBorders>
              <w:top w:val="single" w:sz="4" w:space="0" w:color="auto"/>
              <w:bottom w:val="single" w:sz="4" w:space="0" w:color="auto"/>
            </w:tcBorders>
          </w:tcPr>
          <w:p>
            <w:pPr>
              <w:pStyle w:val="yTableNAm"/>
            </w:pPr>
            <w:r>
              <w:rPr>
                <w:b/>
              </w:rPr>
              <w:t>Vessel or cargo</w:t>
            </w:r>
          </w:p>
        </w:tc>
        <w:tc>
          <w:tcPr>
            <w:tcW w:w="2268" w:type="dxa"/>
            <w:tcBorders>
              <w:top w:val="single" w:sz="4" w:space="0" w:color="auto"/>
              <w:bottom w:val="single" w:sz="4" w:space="0" w:color="auto"/>
            </w:tcBorders>
          </w:tcPr>
          <w:p>
            <w:pPr>
              <w:pStyle w:val="yTableNAm"/>
            </w:pPr>
            <w:r>
              <w:rPr>
                <w:b/>
              </w:rPr>
              <w:t>Dues</w:t>
            </w:r>
          </w:p>
        </w:tc>
        <w:tc>
          <w:tcPr>
            <w:tcW w:w="1418" w:type="dxa"/>
            <w:tcBorders>
              <w:top w:val="single" w:sz="4" w:space="0" w:color="auto"/>
              <w:bottom w:val="single" w:sz="4" w:space="0" w:color="auto"/>
            </w:tcBorders>
          </w:tcPr>
          <w:p>
            <w:pPr>
              <w:pStyle w:val="yTableNAm"/>
              <w:jc w:val="center"/>
            </w:pPr>
            <w:r>
              <w:rPr>
                <w:b/>
              </w:rPr>
              <w:t>Minimum per day ($)</w:t>
            </w:r>
          </w:p>
        </w:tc>
      </w:tr>
      <w:tr>
        <w:trPr>
          <w:cantSplit/>
        </w:trPr>
        <w:tc>
          <w:tcPr>
            <w:tcW w:w="672" w:type="dxa"/>
          </w:tcPr>
          <w:p>
            <w:pPr>
              <w:pStyle w:val="yTableNAm"/>
            </w:pPr>
            <w:r>
              <w:t>1.</w:t>
            </w:r>
          </w:p>
        </w:tc>
        <w:tc>
          <w:tcPr>
            <w:tcW w:w="1750" w:type="dxa"/>
          </w:tcPr>
          <w:p>
            <w:pPr>
              <w:pStyle w:val="yTableNAm"/>
            </w:pPr>
            <w:r>
              <w:t>Vessel of 300 gross registered tonnes or over</w:t>
            </w:r>
          </w:p>
        </w:tc>
        <w:tc>
          <w:tcPr>
            <w:tcW w:w="2268" w:type="dxa"/>
          </w:tcPr>
          <w:p>
            <w:pPr>
              <w:pStyle w:val="yTableNAm"/>
            </w:pPr>
            <w:r>
              <w:rPr>
                <w:szCs w:val="22"/>
              </w:rPr>
              <w:t>$1.25</w:t>
            </w:r>
            <w:r>
              <w:t xml:space="preserve"> per tonne, per cubic metre, or per kilolitre, at option of officer in charge, on all cargo landed or shipped</w:t>
            </w:r>
          </w:p>
        </w:tc>
        <w:tc>
          <w:tcPr>
            <w:tcW w:w="1418" w:type="dxa"/>
          </w:tcPr>
          <w:p>
            <w:pPr>
              <w:pStyle w:val="yTableNAm"/>
              <w:jc w:val="center"/>
            </w:pPr>
            <w:r>
              <w:br/>
            </w:r>
            <w:r>
              <w:br/>
            </w:r>
            <w:r>
              <w:br/>
            </w:r>
            <w:r>
              <w:br/>
            </w:r>
            <w:r>
              <w:rPr>
                <w:szCs w:val="22"/>
              </w:rPr>
              <w:t>187.06</w:t>
            </w:r>
          </w:p>
        </w:tc>
      </w:tr>
      <w:tr>
        <w:trPr>
          <w:cantSplit/>
        </w:trPr>
        <w:tc>
          <w:tcPr>
            <w:tcW w:w="672" w:type="dxa"/>
          </w:tcPr>
          <w:p>
            <w:pPr>
              <w:pStyle w:val="yTableNAm"/>
            </w:pPr>
            <w:r>
              <w:t>2.</w:t>
            </w:r>
          </w:p>
        </w:tc>
        <w:tc>
          <w:tcPr>
            <w:tcW w:w="1750" w:type="dxa"/>
          </w:tcPr>
          <w:p>
            <w:pPr>
              <w:pStyle w:val="yTableNAm"/>
            </w:pPr>
            <w:r>
              <w:t>Vessel under 300 gross registered tonnes</w:t>
            </w:r>
          </w:p>
        </w:tc>
        <w:tc>
          <w:tcPr>
            <w:tcW w:w="2268" w:type="dxa"/>
          </w:tcPr>
          <w:p>
            <w:pPr>
              <w:pStyle w:val="yTableNAm"/>
            </w:pPr>
            <w:r>
              <w:rPr>
                <w:szCs w:val="22"/>
              </w:rPr>
              <w:t>$6.77</w:t>
            </w:r>
            <w:r>
              <w:t xml:space="preserve"> per metre of the vessel’s length, per day</w:t>
            </w:r>
          </w:p>
        </w:tc>
        <w:tc>
          <w:tcPr>
            <w:tcW w:w="1418" w:type="dxa"/>
          </w:tcPr>
          <w:p>
            <w:pPr>
              <w:pStyle w:val="yTableNAm"/>
              <w:jc w:val="center"/>
            </w:pPr>
            <w:r>
              <w:br/>
            </w:r>
            <w:r>
              <w:rPr>
                <w:szCs w:val="22"/>
              </w:rPr>
              <w:t>124.66</w:t>
            </w:r>
          </w:p>
        </w:tc>
      </w:tr>
      <w:tr>
        <w:trPr>
          <w:cantSplit/>
        </w:trPr>
        <w:tc>
          <w:tcPr>
            <w:tcW w:w="672" w:type="dxa"/>
          </w:tcPr>
          <w:p>
            <w:pPr>
              <w:pStyle w:val="yTableNAm"/>
            </w:pPr>
            <w:r>
              <w:t>3.</w:t>
            </w:r>
          </w:p>
        </w:tc>
        <w:tc>
          <w:tcPr>
            <w:tcW w:w="1750" w:type="dxa"/>
          </w:tcPr>
          <w:p>
            <w:pPr>
              <w:pStyle w:val="yTableNAm"/>
            </w:pPr>
            <w:r>
              <w:t>Vessel using berth for purposes other than handling cargo</w:t>
            </w:r>
          </w:p>
        </w:tc>
        <w:tc>
          <w:tcPr>
            <w:tcW w:w="2268" w:type="dxa"/>
          </w:tcPr>
          <w:p>
            <w:pPr>
              <w:pStyle w:val="yTableNAm"/>
            </w:pPr>
            <w:r>
              <w:rPr>
                <w:szCs w:val="22"/>
              </w:rPr>
              <w:t>$6.77</w:t>
            </w:r>
            <w:r>
              <w:t xml:space="preserve"> per metre of the vessel’s length, per day</w:t>
            </w:r>
          </w:p>
        </w:tc>
        <w:tc>
          <w:tcPr>
            <w:tcW w:w="1418" w:type="dxa"/>
          </w:tcPr>
          <w:p>
            <w:pPr>
              <w:pStyle w:val="yTableNAm"/>
              <w:jc w:val="center"/>
            </w:pPr>
            <w:r>
              <w:br/>
            </w:r>
            <w:r>
              <w:rPr>
                <w:szCs w:val="22"/>
              </w:rPr>
              <w:t>124.66</w:t>
            </w:r>
          </w:p>
        </w:tc>
      </w:tr>
      <w:tr>
        <w:trPr>
          <w:cantSplit/>
        </w:trPr>
        <w:tc>
          <w:tcPr>
            <w:tcW w:w="672" w:type="dxa"/>
          </w:tcPr>
          <w:p>
            <w:pPr>
              <w:pStyle w:val="yTableNAm"/>
            </w:pPr>
            <w:r>
              <w:t>4.</w:t>
            </w:r>
          </w:p>
        </w:tc>
        <w:tc>
          <w:tcPr>
            <w:tcW w:w="1750" w:type="dxa"/>
          </w:tcPr>
          <w:p>
            <w:pPr>
              <w:pStyle w:val="yTableNAm"/>
            </w:pPr>
            <w:r>
              <w:t>Container, empty</w:t>
            </w:r>
          </w:p>
        </w:tc>
        <w:tc>
          <w:tcPr>
            <w:tcW w:w="2268" w:type="dxa"/>
          </w:tcPr>
          <w:p>
            <w:pPr>
              <w:pStyle w:val="yTableNAm"/>
            </w:pPr>
            <w:r>
              <w:rPr>
                <w:szCs w:val="22"/>
              </w:rPr>
              <w:t>$9.72</w:t>
            </w:r>
            <w:r>
              <w:t xml:space="preserve"> per container</w:t>
            </w:r>
          </w:p>
        </w:tc>
        <w:tc>
          <w:tcPr>
            <w:tcW w:w="1418" w:type="dxa"/>
          </w:tcPr>
          <w:p>
            <w:pPr>
              <w:pStyle w:val="yTableNAm"/>
              <w:jc w:val="center"/>
            </w:pPr>
          </w:p>
        </w:tc>
      </w:tr>
      <w:tr>
        <w:trPr>
          <w:cantSplit/>
        </w:trPr>
        <w:tc>
          <w:tcPr>
            <w:tcW w:w="672" w:type="dxa"/>
            <w:tcBorders>
              <w:bottom w:val="single" w:sz="4" w:space="0" w:color="auto"/>
            </w:tcBorders>
          </w:tcPr>
          <w:p>
            <w:pPr>
              <w:pStyle w:val="yTableNAm"/>
            </w:pPr>
            <w:r>
              <w:t>5.</w:t>
            </w:r>
          </w:p>
        </w:tc>
        <w:tc>
          <w:tcPr>
            <w:tcW w:w="1750" w:type="dxa"/>
            <w:tcBorders>
              <w:bottom w:val="single" w:sz="4" w:space="0" w:color="auto"/>
            </w:tcBorders>
          </w:tcPr>
          <w:p>
            <w:pPr>
              <w:pStyle w:val="yTableNAm"/>
            </w:pPr>
            <w:r>
              <w:t>Container, loaded</w:t>
            </w:r>
          </w:p>
        </w:tc>
        <w:tc>
          <w:tcPr>
            <w:tcW w:w="2268" w:type="dxa"/>
            <w:tcBorders>
              <w:bottom w:val="single" w:sz="4" w:space="0" w:color="auto"/>
            </w:tcBorders>
          </w:tcPr>
          <w:p>
            <w:pPr>
              <w:pStyle w:val="yTableNAm"/>
            </w:pPr>
            <w:r>
              <w:rPr>
                <w:szCs w:val="22"/>
              </w:rPr>
              <w:t>$31.24</w:t>
            </w:r>
            <w:r>
              <w:t xml:space="preserve"> per container</w:t>
            </w:r>
          </w:p>
        </w:tc>
        <w:tc>
          <w:tcPr>
            <w:tcW w:w="1418" w:type="dxa"/>
            <w:tcBorders>
              <w:bottom w:val="single" w:sz="4" w:space="0" w:color="auto"/>
            </w:tcBorders>
          </w:tcPr>
          <w:p>
            <w:pPr>
              <w:pStyle w:val="yTableNAm"/>
              <w:jc w:val="center"/>
            </w:pPr>
          </w:p>
        </w:tc>
      </w:tr>
    </w:tbl>
    <w:p>
      <w:pPr>
        <w:pStyle w:val="ySubsection"/>
        <w:spacing w:before="240"/>
      </w:pPr>
      <w:r>
        <w:tab/>
        <w:t>(3)</w:t>
      </w:r>
      <w:r>
        <w:tab/>
        <w:t>The wharfage dues to be paid under these regulations are set out in Table 25.2.</w:t>
      </w:r>
    </w:p>
    <w:p>
      <w:pPr>
        <w:pStyle w:val="yTHeadingNAm"/>
        <w:spacing w:before="180" w:after="80"/>
        <w:ind w:left="992"/>
      </w:pPr>
      <w:r>
        <w:t>Table 25.2 (Wharfage)</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673"/>
        <w:gridCol w:w="35"/>
        <w:gridCol w:w="284"/>
        <w:gridCol w:w="3685"/>
        <w:gridCol w:w="1418"/>
      </w:tblGrid>
      <w:tr>
        <w:trPr>
          <w:cantSplit/>
          <w:tblHeader/>
        </w:trPr>
        <w:tc>
          <w:tcPr>
            <w:tcW w:w="673" w:type="dxa"/>
            <w:tcBorders>
              <w:top w:val="single" w:sz="4" w:space="0" w:color="auto"/>
              <w:bottom w:val="single" w:sz="4" w:space="0" w:color="auto"/>
            </w:tcBorders>
          </w:tcPr>
          <w:p>
            <w:pPr>
              <w:pStyle w:val="yTableNAm"/>
            </w:pPr>
            <w:r>
              <w:rPr>
                <w:b/>
              </w:rPr>
              <w:t>Item</w:t>
            </w:r>
          </w:p>
        </w:tc>
        <w:tc>
          <w:tcPr>
            <w:tcW w:w="4004" w:type="dxa"/>
            <w:gridSpan w:val="3"/>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w:t>
            </w:r>
          </w:p>
        </w:tc>
      </w:tr>
      <w:tr>
        <w:trPr>
          <w:cantSplit/>
        </w:trPr>
        <w:tc>
          <w:tcPr>
            <w:tcW w:w="673" w:type="dxa"/>
          </w:tcPr>
          <w:p>
            <w:pPr>
              <w:pStyle w:val="yTableNAm"/>
            </w:pPr>
            <w:r>
              <w:t>1.</w:t>
            </w:r>
          </w:p>
        </w:tc>
        <w:tc>
          <w:tcPr>
            <w:tcW w:w="4004" w:type="dxa"/>
            <w:gridSpan w:val="3"/>
          </w:tcPr>
          <w:p>
            <w:pPr>
              <w:pStyle w:val="yTableNAm"/>
            </w:pPr>
            <w:r>
              <w:t xml:space="preserve">Cargo in 20 feet equivalent unit (TEU) containers —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fertiliser, per TEU</w:t>
            </w:r>
          </w:p>
        </w:tc>
        <w:tc>
          <w:tcPr>
            <w:tcW w:w="1418" w:type="dxa"/>
            <w:vAlign w:val="bottom"/>
          </w:tcPr>
          <w:p>
            <w:pPr>
              <w:pStyle w:val="yTableNAm"/>
              <w:jc w:val="center"/>
            </w:pPr>
            <w:r>
              <w:rPr>
                <w:szCs w:val="22"/>
              </w:rPr>
              <w:t>108.45</w:t>
            </w:r>
          </w:p>
        </w:tc>
      </w:tr>
      <w:tr>
        <w:trPr>
          <w:cantSplit/>
        </w:trPr>
        <w:tc>
          <w:tcPr>
            <w:tcW w:w="673" w:type="dxa"/>
          </w:tcPr>
          <w:p>
            <w:pPr>
              <w:pStyle w:val="zyTableNAm"/>
              <w:keepNext/>
            </w:pPr>
          </w:p>
        </w:tc>
        <w:tc>
          <w:tcPr>
            <w:tcW w:w="4004" w:type="dxa"/>
            <w:gridSpan w:val="3"/>
          </w:tcPr>
          <w:p>
            <w:pPr>
              <w:pStyle w:val="yTableNAm"/>
              <w:keepNext/>
              <w:tabs>
                <w:tab w:val="clear" w:pos="567"/>
              </w:tabs>
              <w:ind w:left="226" w:hanging="226"/>
            </w:pPr>
            <w:r>
              <w:t>•</w:t>
            </w:r>
            <w:r>
              <w:tab/>
              <w:t>explosives, per TEU</w:t>
            </w:r>
          </w:p>
        </w:tc>
        <w:tc>
          <w:tcPr>
            <w:tcW w:w="1418" w:type="dxa"/>
            <w:vAlign w:val="bottom"/>
          </w:tcPr>
          <w:p>
            <w:pPr>
              <w:pStyle w:val="yTableNAm"/>
              <w:keepNext/>
              <w:jc w:val="center"/>
            </w:pPr>
            <w:r>
              <w:rPr>
                <w:szCs w:val="22"/>
              </w:rPr>
              <w:t>134.16</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products of the soil (not otherwise specified), per TEU</w:t>
            </w:r>
          </w:p>
        </w:tc>
        <w:tc>
          <w:tcPr>
            <w:tcW w:w="1418" w:type="dxa"/>
            <w:vAlign w:val="bottom"/>
          </w:tcPr>
          <w:p>
            <w:pPr>
              <w:pStyle w:val="yTableNAm"/>
              <w:jc w:val="center"/>
            </w:pPr>
            <w:r>
              <w:rPr>
                <w:szCs w:val="22"/>
              </w:rPr>
              <w:t>68.08</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not otherwise specified in this item, per TEU</w:t>
            </w:r>
          </w:p>
        </w:tc>
        <w:tc>
          <w:tcPr>
            <w:tcW w:w="1418" w:type="dxa"/>
            <w:vAlign w:val="bottom"/>
          </w:tcPr>
          <w:p>
            <w:pPr>
              <w:pStyle w:val="yTableNAm"/>
              <w:jc w:val="center"/>
            </w:pPr>
            <w:r>
              <w:rPr>
                <w:szCs w:val="22"/>
              </w:rPr>
              <w:t>215.03</w:t>
            </w:r>
          </w:p>
        </w:tc>
      </w:tr>
      <w:tr>
        <w:trPr>
          <w:cantSplit/>
        </w:trPr>
        <w:tc>
          <w:tcPr>
            <w:tcW w:w="673" w:type="dxa"/>
          </w:tcPr>
          <w:p>
            <w:pPr>
              <w:pStyle w:val="yTableNAm"/>
            </w:pPr>
            <w:r>
              <w:t>2.</w:t>
            </w:r>
          </w:p>
        </w:tc>
        <w:tc>
          <w:tcPr>
            <w:tcW w:w="4004" w:type="dxa"/>
            <w:gridSpan w:val="3"/>
          </w:tcPr>
          <w:p>
            <w:pPr>
              <w:pStyle w:val="yTableNAm"/>
            </w:pPr>
            <w:r>
              <w:t>Empty TEU containers, per TEU</w:t>
            </w:r>
          </w:p>
        </w:tc>
        <w:tc>
          <w:tcPr>
            <w:tcW w:w="1418" w:type="dxa"/>
            <w:vAlign w:val="bottom"/>
          </w:tcPr>
          <w:p>
            <w:pPr>
              <w:pStyle w:val="yTableNAm"/>
              <w:jc w:val="center"/>
            </w:pPr>
            <w:r>
              <w:rPr>
                <w:szCs w:val="22"/>
              </w:rPr>
              <w:t>62.49</w:t>
            </w:r>
          </w:p>
        </w:tc>
      </w:tr>
      <w:tr>
        <w:trPr>
          <w:cantSplit/>
        </w:trPr>
        <w:tc>
          <w:tcPr>
            <w:tcW w:w="673" w:type="dxa"/>
          </w:tcPr>
          <w:p>
            <w:pPr>
              <w:pStyle w:val="yTableNAm"/>
            </w:pPr>
            <w:r>
              <w:t>3.</w:t>
            </w:r>
          </w:p>
        </w:tc>
        <w:tc>
          <w:tcPr>
            <w:tcW w:w="4004" w:type="dxa"/>
            <w:gridSpan w:val="3"/>
          </w:tcPr>
          <w:p>
            <w:pPr>
              <w:pStyle w:val="yTableNAm"/>
            </w:pPr>
            <w:r>
              <w:t>Cargo, whether in containers (not TEU containers) or otherwise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 xml:space="preserve">animals, live — </w:t>
            </w:r>
          </w:p>
        </w:tc>
        <w:tc>
          <w:tcPr>
            <w:tcW w:w="1418" w:type="dxa"/>
            <w:vAlign w:val="bottom"/>
          </w:tcPr>
          <w:p>
            <w:pPr>
              <w:pStyle w:val="yTableNAm"/>
              <w:jc w:val="center"/>
            </w:pP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cattle (bullocks, cows, etc.), per head</w:t>
            </w:r>
          </w:p>
        </w:tc>
        <w:tc>
          <w:tcPr>
            <w:tcW w:w="1418" w:type="dxa"/>
            <w:vAlign w:val="bottom"/>
          </w:tcPr>
          <w:p>
            <w:pPr>
              <w:pStyle w:val="yTableNAm"/>
              <w:jc w:val="center"/>
            </w:pPr>
            <w:r>
              <w:rPr>
                <w:szCs w:val="22"/>
              </w:rPr>
              <w:t>2.67</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dogs, goats, pigs, sheep, per head</w:t>
            </w:r>
          </w:p>
        </w:tc>
        <w:tc>
          <w:tcPr>
            <w:tcW w:w="1418" w:type="dxa"/>
            <w:vAlign w:val="bottom"/>
          </w:tcPr>
          <w:p>
            <w:pPr>
              <w:pStyle w:val="yTableNAm"/>
              <w:jc w:val="center"/>
            </w:pPr>
            <w:r>
              <w:rPr>
                <w:szCs w:val="22"/>
              </w:rPr>
              <w:t>0.54</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per kilolitre</w:t>
            </w:r>
          </w:p>
        </w:tc>
        <w:tc>
          <w:tcPr>
            <w:tcW w:w="1418" w:type="dxa"/>
            <w:vAlign w:val="bottom"/>
          </w:tcPr>
          <w:p>
            <w:pPr>
              <w:pStyle w:val="yTableNAm"/>
              <w:jc w:val="center"/>
            </w:pPr>
            <w:r>
              <w:rPr>
                <w:szCs w:val="22"/>
              </w:rPr>
              <w:t>11.37</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using road tanker on jetty, per kilolitre</w:t>
            </w:r>
          </w:p>
        </w:tc>
        <w:tc>
          <w:tcPr>
            <w:tcW w:w="1418" w:type="dxa"/>
            <w:vAlign w:val="bottom"/>
          </w:tcPr>
          <w:p>
            <w:pPr>
              <w:pStyle w:val="yTableNAm"/>
              <w:jc w:val="center"/>
            </w:pPr>
            <w:r>
              <w:rPr>
                <w:szCs w:val="22"/>
              </w:rPr>
              <w:t>11.85</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containers (not TEU containers), empty, per tonne, per cubic metre</w:t>
            </w:r>
          </w:p>
        </w:tc>
        <w:tc>
          <w:tcPr>
            <w:tcW w:w="1418" w:type="dxa"/>
            <w:vAlign w:val="bottom"/>
          </w:tcPr>
          <w:p>
            <w:pPr>
              <w:pStyle w:val="yTableNAm"/>
              <w:jc w:val="center"/>
            </w:pPr>
            <w:r>
              <w:rPr>
                <w:szCs w:val="22"/>
              </w:rPr>
              <w:t>2.67</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explosives, per tonne, per cubic metre</w:t>
            </w:r>
          </w:p>
        </w:tc>
        <w:tc>
          <w:tcPr>
            <w:tcW w:w="1418" w:type="dxa"/>
            <w:vAlign w:val="bottom"/>
          </w:tcPr>
          <w:p>
            <w:pPr>
              <w:pStyle w:val="yTableNAm"/>
              <w:jc w:val="center"/>
            </w:pPr>
            <w:r>
              <w:rPr>
                <w:szCs w:val="22"/>
              </w:rPr>
              <w:t>4.61</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fertiliser, per tonne, per cubic metre</w:t>
            </w:r>
          </w:p>
        </w:tc>
        <w:tc>
          <w:tcPr>
            <w:tcW w:w="1418" w:type="dxa"/>
            <w:vAlign w:val="bottom"/>
          </w:tcPr>
          <w:p>
            <w:pPr>
              <w:pStyle w:val="yTableNAm"/>
              <w:jc w:val="center"/>
            </w:pPr>
            <w:r>
              <w:rPr>
                <w:szCs w:val="22"/>
              </w:rPr>
              <w:t>3.75</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meat, chilled or frozen, per tonne, per cubic metre</w:t>
            </w:r>
          </w:p>
        </w:tc>
        <w:tc>
          <w:tcPr>
            <w:tcW w:w="1418" w:type="dxa"/>
            <w:vAlign w:val="bottom"/>
          </w:tcPr>
          <w:p>
            <w:pPr>
              <w:pStyle w:val="yTableNAm"/>
              <w:jc w:val="center"/>
            </w:pPr>
            <w:r>
              <w:rPr>
                <w:szCs w:val="22"/>
              </w:rPr>
              <w:t>4.42</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ore, per tonne</w:t>
            </w:r>
          </w:p>
        </w:tc>
        <w:tc>
          <w:tcPr>
            <w:tcW w:w="1418" w:type="dxa"/>
            <w:vAlign w:val="bottom"/>
          </w:tcPr>
          <w:p>
            <w:pPr>
              <w:pStyle w:val="yTableNAm"/>
              <w:jc w:val="center"/>
            </w:pPr>
            <w:r>
              <w:rPr>
                <w:szCs w:val="22"/>
              </w:rPr>
              <w:t>3.65</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products of the soil (not otherwise specified), per tonne, per cubic metre</w:t>
            </w:r>
          </w:p>
        </w:tc>
        <w:tc>
          <w:tcPr>
            <w:tcW w:w="1418" w:type="dxa"/>
            <w:vAlign w:val="bottom"/>
          </w:tcPr>
          <w:p>
            <w:pPr>
              <w:pStyle w:val="yTableNAm"/>
              <w:jc w:val="center"/>
            </w:pPr>
            <w:r>
              <w:rPr>
                <w:szCs w:val="22"/>
              </w:rPr>
              <w:t>2.51</w:t>
            </w:r>
          </w:p>
        </w:tc>
      </w:tr>
      <w:tr>
        <w:trPr>
          <w:cantSplit/>
        </w:trPr>
        <w:tc>
          <w:tcPr>
            <w:tcW w:w="708" w:type="dxa"/>
            <w:gridSpan w:val="2"/>
          </w:tcPr>
          <w:p>
            <w:pPr>
              <w:pStyle w:val="zyTableNAm"/>
              <w:keepNext/>
              <w:keepLines/>
            </w:pPr>
          </w:p>
        </w:tc>
        <w:tc>
          <w:tcPr>
            <w:tcW w:w="3969" w:type="dxa"/>
            <w:gridSpan w:val="2"/>
          </w:tcPr>
          <w:p>
            <w:pPr>
              <w:pStyle w:val="yTableNAm"/>
              <w:keepNext/>
              <w:keepLines/>
              <w:tabs>
                <w:tab w:val="clear" w:pos="567"/>
              </w:tabs>
              <w:ind w:left="226" w:hanging="226"/>
            </w:pPr>
            <w:r>
              <w:t>•</w:t>
            </w:r>
            <w:r>
              <w:tab/>
              <w:t xml:space="preserve">vehicles — </w:t>
            </w:r>
          </w:p>
        </w:tc>
        <w:tc>
          <w:tcPr>
            <w:tcW w:w="1418" w:type="dxa"/>
            <w:vAlign w:val="bottom"/>
          </w:tcPr>
          <w:p>
            <w:pPr>
              <w:pStyle w:val="yTableNAm"/>
              <w:keepNext/>
              <w:keepLines/>
              <w:jc w:val="center"/>
            </w:pPr>
          </w:p>
        </w:tc>
      </w:tr>
      <w:tr>
        <w:trPr>
          <w:cantSplit/>
        </w:trPr>
        <w:tc>
          <w:tcPr>
            <w:tcW w:w="992" w:type="dxa"/>
            <w:gridSpan w:val="3"/>
          </w:tcPr>
          <w:p>
            <w:pPr>
              <w:pStyle w:val="zyTableNAm"/>
              <w:keepNext/>
              <w:keepLines/>
            </w:pPr>
          </w:p>
        </w:tc>
        <w:tc>
          <w:tcPr>
            <w:tcW w:w="3685" w:type="dxa"/>
          </w:tcPr>
          <w:p>
            <w:pPr>
              <w:pStyle w:val="yTableNAm"/>
              <w:keepNext/>
              <w:keepLines/>
              <w:tabs>
                <w:tab w:val="clear" w:pos="567"/>
              </w:tabs>
              <w:ind w:left="227" w:hanging="227"/>
            </w:pPr>
            <w:r>
              <w:t>•</w:t>
            </w:r>
            <w:r>
              <w:tab/>
              <w:t>commercial vehicles on own wheels, per tonne, per cubic metre</w:t>
            </w:r>
          </w:p>
        </w:tc>
        <w:tc>
          <w:tcPr>
            <w:tcW w:w="1418" w:type="dxa"/>
            <w:vAlign w:val="bottom"/>
          </w:tcPr>
          <w:p>
            <w:pPr>
              <w:pStyle w:val="yTableNAm"/>
              <w:keepNext/>
              <w:keepLines/>
              <w:jc w:val="center"/>
            </w:pPr>
            <w:r>
              <w:rPr>
                <w:szCs w:val="22"/>
              </w:rPr>
              <w:t>4.40</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other vehicles on own wheels, per tonne, per cubic metre</w:t>
            </w:r>
          </w:p>
        </w:tc>
        <w:tc>
          <w:tcPr>
            <w:tcW w:w="1418" w:type="dxa"/>
            <w:vAlign w:val="bottom"/>
          </w:tcPr>
          <w:p>
            <w:pPr>
              <w:pStyle w:val="yTableNAm"/>
              <w:jc w:val="center"/>
            </w:pPr>
            <w:r>
              <w:rPr>
                <w:szCs w:val="22"/>
              </w:rPr>
              <w:t>4.20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recreational vessel, per metre of the vessel’s length</w:t>
            </w:r>
          </w:p>
        </w:tc>
        <w:tc>
          <w:tcPr>
            <w:tcW w:w="1418" w:type="dxa"/>
            <w:vAlign w:val="bottom"/>
          </w:tcPr>
          <w:p>
            <w:pPr>
              <w:pStyle w:val="yTableNAm"/>
              <w:jc w:val="center"/>
            </w:pPr>
            <w:r>
              <w:rPr>
                <w:szCs w:val="22"/>
              </w:rPr>
              <w:t>16.65</w:t>
            </w:r>
          </w:p>
        </w:tc>
      </w:tr>
      <w:tr>
        <w:trPr>
          <w:cantSplit/>
        </w:trPr>
        <w:tc>
          <w:tcPr>
            <w:tcW w:w="708" w:type="dxa"/>
            <w:gridSpan w:val="2"/>
            <w:tcBorders>
              <w:bottom w:val="single" w:sz="4" w:space="0" w:color="auto"/>
            </w:tcBorders>
          </w:tcPr>
          <w:p>
            <w:pPr>
              <w:pStyle w:val="zyTableNAm"/>
            </w:pPr>
          </w:p>
        </w:tc>
        <w:tc>
          <w:tcPr>
            <w:tcW w:w="3969" w:type="dxa"/>
            <w:gridSpan w:val="2"/>
            <w:tcBorders>
              <w:bottom w:val="single" w:sz="4" w:space="0" w:color="auto"/>
            </w:tcBorders>
          </w:tcPr>
          <w:p>
            <w:pPr>
              <w:pStyle w:val="yTableNAm"/>
              <w:tabs>
                <w:tab w:val="clear" w:pos="567"/>
              </w:tabs>
              <w:ind w:left="226" w:hanging="226"/>
            </w:pPr>
            <w:r>
              <w:t>•</w:t>
            </w:r>
            <w:r>
              <w:tab/>
              <w:t>not otherwise specified in this item, per tonne, per cubic metre</w:t>
            </w:r>
          </w:p>
        </w:tc>
        <w:tc>
          <w:tcPr>
            <w:tcW w:w="1418" w:type="dxa"/>
            <w:tcBorders>
              <w:bottom w:val="single" w:sz="4" w:space="0" w:color="auto"/>
            </w:tcBorders>
          </w:tcPr>
          <w:p>
            <w:pPr>
              <w:pStyle w:val="yTableNAm"/>
              <w:jc w:val="center"/>
            </w:pPr>
            <w:r>
              <w:rPr>
                <w:szCs w:val="22"/>
              </w:rPr>
              <w:t>7.26</w:t>
            </w:r>
          </w:p>
        </w:tc>
      </w:tr>
    </w:tbl>
    <w:p>
      <w:pPr>
        <w:pStyle w:val="ySubsection"/>
      </w:pPr>
      <w:r>
        <w:tab/>
        <w:t>(4)</w:t>
      </w:r>
      <w:r>
        <w:tab/>
        <w:t>The dues to be paid under regulation 11 are set out in Table 25.3.</w:t>
      </w:r>
    </w:p>
    <w:p>
      <w:pPr>
        <w:pStyle w:val="yTHeadingNAm"/>
        <w:ind w:left="993"/>
      </w:pPr>
      <w:r>
        <w:t>Table 25.3 (Transhipment)</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Dues</w:t>
            </w:r>
          </w:p>
        </w:tc>
      </w:tr>
      <w:tr>
        <w:trPr>
          <w:cantSplit/>
        </w:trPr>
        <w:tc>
          <w:tcPr>
            <w:tcW w:w="707" w:type="dxa"/>
          </w:tcPr>
          <w:p>
            <w:pPr>
              <w:pStyle w:val="yTableNAm"/>
            </w:pPr>
            <w:r>
              <w:t>1.</w:t>
            </w:r>
          </w:p>
        </w:tc>
        <w:tc>
          <w:tcPr>
            <w:tcW w:w="3969" w:type="dxa"/>
          </w:tcPr>
          <w:p>
            <w:pPr>
              <w:pStyle w:val="yTableNAm"/>
            </w:pPr>
            <w:r>
              <w:t xml:space="preserve">For cargo — </w:t>
            </w:r>
          </w:p>
        </w:tc>
        <w:tc>
          <w:tcPr>
            <w:tcW w:w="1418" w:type="dxa"/>
          </w:tcPr>
          <w:p>
            <w:pPr>
              <w:pStyle w:val="yTableNAm"/>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loaded over the side of a vessel to another vessel</w:t>
            </w:r>
          </w:p>
        </w:tc>
        <w:tc>
          <w:tcPr>
            <w:tcW w:w="1418" w:type="dxa"/>
          </w:tcPr>
          <w:p>
            <w:pPr>
              <w:pStyle w:val="yTableNAm"/>
              <w:jc w:val="center"/>
            </w:pPr>
            <w:r>
              <w:t>50% of wharfage for the cargo</w:t>
            </w:r>
          </w:p>
        </w:tc>
      </w:tr>
      <w:tr>
        <w:trPr>
          <w:cantSplit/>
        </w:trPr>
        <w:tc>
          <w:tcPr>
            <w:tcW w:w="70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s>
              <w:ind w:left="226" w:hanging="226"/>
            </w:pPr>
            <w:r>
              <w:t>•</w:t>
            </w:r>
            <w:r>
              <w:tab/>
              <w:t>landed on jetty</w:t>
            </w:r>
          </w:p>
        </w:tc>
        <w:tc>
          <w:tcPr>
            <w:tcW w:w="1418" w:type="dxa"/>
            <w:tcBorders>
              <w:bottom w:val="single" w:sz="4" w:space="0" w:color="auto"/>
            </w:tcBorders>
          </w:tcPr>
          <w:p>
            <w:pPr>
              <w:pStyle w:val="yTableNAm"/>
              <w:jc w:val="center"/>
            </w:pPr>
            <w:r>
              <w:t>100% of wharfage for the cargo</w:t>
            </w:r>
          </w:p>
        </w:tc>
      </w:tr>
    </w:tbl>
    <w:p>
      <w:pPr>
        <w:pStyle w:val="ySubsection"/>
      </w:pPr>
      <w:r>
        <w:tab/>
        <w:t>(5)</w:t>
      </w:r>
      <w:r>
        <w:tab/>
        <w:t>The charges to be paid under regulation 25 for storage are set out in Table 25.4.</w:t>
      </w:r>
    </w:p>
    <w:p>
      <w:pPr>
        <w:pStyle w:val="yTHeadingNAm"/>
        <w:ind w:left="993"/>
      </w:pPr>
      <w:r>
        <w:t>Table 25.4 (Storage)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keepNext/>
            </w:pPr>
            <w:r>
              <w:rPr>
                <w:b/>
              </w:rPr>
              <w:t>Item</w:t>
            </w:r>
          </w:p>
        </w:tc>
        <w:tc>
          <w:tcPr>
            <w:tcW w:w="3969" w:type="dxa"/>
            <w:tcBorders>
              <w:top w:val="single" w:sz="4" w:space="0" w:color="auto"/>
              <w:bottom w:val="single" w:sz="4" w:space="0" w:color="auto"/>
            </w:tcBorders>
          </w:tcPr>
          <w:p>
            <w:pPr>
              <w:pStyle w:val="yTableNAm"/>
              <w:keepNext/>
            </w:pPr>
            <w:r>
              <w:rPr>
                <w:b/>
              </w:rPr>
              <w:t>Goods</w:t>
            </w:r>
          </w:p>
        </w:tc>
        <w:tc>
          <w:tcPr>
            <w:tcW w:w="1418" w:type="dxa"/>
            <w:tcBorders>
              <w:top w:val="single" w:sz="4" w:space="0" w:color="auto"/>
              <w:bottom w:val="single" w:sz="4" w:space="0" w:color="auto"/>
            </w:tcBorders>
          </w:tcPr>
          <w:p>
            <w:pPr>
              <w:pStyle w:val="yTableNAm"/>
              <w:keepNext/>
              <w:jc w:val="center"/>
            </w:pPr>
            <w:r>
              <w:rPr>
                <w:b/>
              </w:rPr>
              <w:t>$</w:t>
            </w:r>
          </w:p>
        </w:tc>
      </w:tr>
      <w:tr>
        <w:trPr>
          <w:cantSplit/>
        </w:trPr>
        <w:tc>
          <w:tcPr>
            <w:tcW w:w="707" w:type="dxa"/>
          </w:tcPr>
          <w:p>
            <w:pPr>
              <w:pStyle w:val="yTableNAm"/>
            </w:pPr>
            <w:r>
              <w:t>1.</w:t>
            </w:r>
          </w:p>
        </w:tc>
        <w:tc>
          <w:tcPr>
            <w:tcW w:w="3969" w:type="dxa"/>
          </w:tcPr>
          <w:p>
            <w:pPr>
              <w:pStyle w:val="yTableNAm"/>
            </w:pPr>
            <w:r>
              <w:t>Goods in transit not removed from a goods shed within 3 days after being received, per tonne, per day</w:t>
            </w:r>
          </w:p>
        </w:tc>
        <w:tc>
          <w:tcPr>
            <w:tcW w:w="1418" w:type="dxa"/>
            <w:vAlign w:val="bottom"/>
          </w:tcPr>
          <w:p>
            <w:pPr>
              <w:pStyle w:val="yTableNAm"/>
              <w:jc w:val="center"/>
            </w:pPr>
            <w:r>
              <w:rPr>
                <w:szCs w:val="22"/>
              </w:rPr>
              <w:t>0.74</w:t>
            </w:r>
          </w:p>
        </w:tc>
      </w:tr>
      <w:tr>
        <w:trPr>
          <w:cantSplit/>
        </w:trPr>
        <w:tc>
          <w:tcPr>
            <w:tcW w:w="707" w:type="dxa"/>
          </w:tcPr>
          <w:p>
            <w:pPr>
              <w:pStyle w:val="yTableNAm"/>
              <w:keepNext/>
            </w:pPr>
            <w:r>
              <w:t>2.</w:t>
            </w:r>
          </w:p>
        </w:tc>
        <w:tc>
          <w:tcPr>
            <w:tcW w:w="3969" w:type="dxa"/>
          </w:tcPr>
          <w:p>
            <w:pPr>
              <w:pStyle w:val="yTableNAm"/>
              <w:keepNext/>
            </w:pPr>
            <w:r>
              <w:t>Goods being transhipped —</w:t>
            </w:r>
          </w:p>
        </w:tc>
        <w:tc>
          <w:tcPr>
            <w:tcW w:w="1418" w:type="dxa"/>
            <w:vAlign w:val="bottom"/>
          </w:tcPr>
          <w:p>
            <w:pPr>
              <w:pStyle w:val="yTableNAm"/>
              <w:keepNext/>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for first 2 weeks, per tonne, per cubic metre, per week</w:t>
            </w:r>
          </w:p>
        </w:tc>
        <w:tc>
          <w:tcPr>
            <w:tcW w:w="1418" w:type="dxa"/>
            <w:vAlign w:val="bottom"/>
          </w:tcPr>
          <w:p>
            <w:pPr>
              <w:pStyle w:val="yTableNAm"/>
              <w:jc w:val="center"/>
            </w:pPr>
            <w:r>
              <w:rPr>
                <w:szCs w:val="22"/>
              </w:rPr>
              <w:t>0.74</w:t>
            </w:r>
          </w:p>
        </w:tc>
      </w:tr>
      <w:tr>
        <w:trPr>
          <w:cantSplit/>
        </w:trPr>
        <w:tc>
          <w:tcPr>
            <w:tcW w:w="707" w:type="dxa"/>
          </w:tcPr>
          <w:p>
            <w:pPr>
              <w:pStyle w:val="zyTableNAm"/>
            </w:pPr>
          </w:p>
        </w:tc>
        <w:tc>
          <w:tcPr>
            <w:tcW w:w="3969" w:type="dxa"/>
          </w:tcPr>
          <w:p>
            <w:pPr>
              <w:pStyle w:val="yTableNAm"/>
              <w:tabs>
                <w:tab w:val="clear" w:pos="567"/>
              </w:tabs>
              <w:ind w:left="226" w:hanging="226"/>
            </w:pPr>
            <w:r>
              <w:t>•</w:t>
            </w:r>
            <w:r>
              <w:tab/>
              <w:t>after the first 2 weeks, per tonne, per cubic metre, per day</w:t>
            </w:r>
          </w:p>
        </w:tc>
        <w:tc>
          <w:tcPr>
            <w:tcW w:w="1418" w:type="dxa"/>
            <w:vAlign w:val="bottom"/>
          </w:tcPr>
          <w:p>
            <w:pPr>
              <w:pStyle w:val="yTableNAm"/>
              <w:jc w:val="center"/>
            </w:pPr>
            <w:r>
              <w:rPr>
                <w:szCs w:val="22"/>
              </w:rPr>
              <w:t>0.74</w:t>
            </w:r>
          </w:p>
        </w:tc>
      </w:tr>
      <w:tr>
        <w:trPr>
          <w:cantSplit/>
        </w:trPr>
        <w:tc>
          <w:tcPr>
            <w:tcW w:w="707" w:type="dxa"/>
            <w:tcBorders>
              <w:bottom w:val="single" w:sz="4" w:space="0" w:color="auto"/>
            </w:tcBorders>
          </w:tcPr>
          <w:p>
            <w:pPr>
              <w:pStyle w:val="yTableNAm"/>
            </w:pPr>
            <w:r>
              <w:t>3.</w:t>
            </w:r>
          </w:p>
        </w:tc>
        <w:tc>
          <w:tcPr>
            <w:tcW w:w="3969" w:type="dxa"/>
            <w:tcBorders>
              <w:bottom w:val="single" w:sz="4" w:space="0" w:color="auto"/>
            </w:tcBorders>
          </w:tcPr>
          <w:p>
            <w:pPr>
              <w:pStyle w:val="yTableNAm"/>
            </w:pPr>
            <w:r>
              <w:t>Goods at container park, Wyndham, per loaded container</w:t>
            </w:r>
          </w:p>
        </w:tc>
        <w:tc>
          <w:tcPr>
            <w:tcW w:w="1418" w:type="dxa"/>
            <w:tcBorders>
              <w:bottom w:val="single" w:sz="4" w:space="0" w:color="auto"/>
            </w:tcBorders>
            <w:vAlign w:val="bottom"/>
          </w:tcPr>
          <w:p>
            <w:pPr>
              <w:pStyle w:val="yTableNAm"/>
              <w:jc w:val="center"/>
            </w:pPr>
            <w:r>
              <w:rPr>
                <w:szCs w:val="22"/>
              </w:rPr>
              <w:t>39.82</w:t>
            </w:r>
          </w:p>
        </w:tc>
      </w:tr>
    </w:tbl>
    <w:p>
      <w:pPr>
        <w:pStyle w:val="yEdnotesection"/>
      </w:pPr>
      <w:r>
        <w:t>[(6)</w:t>
      </w:r>
      <w:r>
        <w:tab/>
        <w:t>deleted]</w:t>
      </w:r>
    </w:p>
    <w:p>
      <w:pPr>
        <w:pStyle w:val="ySubsection"/>
      </w:pPr>
      <w:r>
        <w:tab/>
        <w:t>(7)</w:t>
      </w:r>
      <w:r>
        <w:tab/>
        <w:t>The charges to be paid under regulation 105I are set out in Table 25.6.</w:t>
      </w:r>
    </w:p>
    <w:p>
      <w:pPr>
        <w:pStyle w:val="yTHeadingNAm"/>
        <w:ind w:left="993"/>
      </w:pPr>
      <w:r>
        <w:t>Table 25.6 (Weighbridge use)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30"/>
        <w:gridCol w:w="4188"/>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88" w:type="dxa"/>
          </w:tcPr>
          <w:p>
            <w:pPr>
              <w:pStyle w:val="yTableNAm"/>
            </w:pPr>
            <w:r>
              <w:t xml:space="preserve">Use of weighbridge — </w:t>
            </w:r>
          </w:p>
        </w:tc>
        <w:tc>
          <w:tcPr>
            <w:tcW w:w="1276" w:type="dxa"/>
          </w:tcPr>
          <w:p>
            <w:pPr>
              <w:pStyle w:val="yTableNAm"/>
              <w:jc w:val="center"/>
            </w:pPr>
          </w:p>
        </w:tc>
      </w:tr>
      <w:tr>
        <w:trPr>
          <w:cantSplit/>
        </w:trPr>
        <w:tc>
          <w:tcPr>
            <w:tcW w:w="630" w:type="dxa"/>
          </w:tcPr>
          <w:p>
            <w:pPr>
              <w:pStyle w:val="zyTableNAm"/>
            </w:pPr>
          </w:p>
        </w:tc>
        <w:tc>
          <w:tcPr>
            <w:tcW w:w="4188" w:type="dxa"/>
          </w:tcPr>
          <w:p>
            <w:pPr>
              <w:pStyle w:val="yTableNAm"/>
              <w:tabs>
                <w:tab w:val="clear" w:pos="567"/>
              </w:tabs>
              <w:ind w:left="226" w:hanging="226"/>
            </w:pPr>
            <w:r>
              <w:t>•</w:t>
            </w:r>
            <w:r>
              <w:tab/>
              <w:t>for not over 10 t</w:t>
            </w:r>
          </w:p>
        </w:tc>
        <w:tc>
          <w:tcPr>
            <w:tcW w:w="1276" w:type="dxa"/>
            <w:vAlign w:val="bottom"/>
          </w:tcPr>
          <w:p>
            <w:pPr>
              <w:pStyle w:val="yTableNAm"/>
              <w:jc w:val="center"/>
            </w:pPr>
            <w:r>
              <w:rPr>
                <w:szCs w:val="22"/>
              </w:rPr>
              <w:t>14.28</w:t>
            </w:r>
          </w:p>
        </w:tc>
      </w:tr>
      <w:tr>
        <w:trPr>
          <w:cantSplit/>
        </w:trPr>
        <w:tc>
          <w:tcPr>
            <w:tcW w:w="630" w:type="dxa"/>
          </w:tcPr>
          <w:p>
            <w:pPr>
              <w:pStyle w:val="zyTableNAm"/>
            </w:pPr>
          </w:p>
        </w:tc>
        <w:tc>
          <w:tcPr>
            <w:tcW w:w="4188" w:type="dxa"/>
          </w:tcPr>
          <w:p>
            <w:pPr>
              <w:pStyle w:val="yTableNAm"/>
              <w:tabs>
                <w:tab w:val="clear" w:pos="567"/>
              </w:tabs>
              <w:ind w:left="226" w:hanging="226"/>
            </w:pPr>
            <w:r>
              <w:t>•</w:t>
            </w:r>
            <w:r>
              <w:tab/>
              <w:t>for over 10 t but not over 30 t</w:t>
            </w:r>
          </w:p>
        </w:tc>
        <w:tc>
          <w:tcPr>
            <w:tcW w:w="1276" w:type="dxa"/>
            <w:vAlign w:val="bottom"/>
          </w:tcPr>
          <w:p>
            <w:pPr>
              <w:pStyle w:val="yTableNAm"/>
              <w:jc w:val="center"/>
            </w:pPr>
            <w:r>
              <w:rPr>
                <w:szCs w:val="22"/>
              </w:rPr>
              <w:t>16.26</w:t>
            </w:r>
          </w:p>
        </w:tc>
      </w:tr>
      <w:tr>
        <w:trPr>
          <w:cantSplit/>
        </w:trPr>
        <w:tc>
          <w:tcPr>
            <w:tcW w:w="630" w:type="dxa"/>
            <w:tcBorders>
              <w:bottom w:val="single" w:sz="4" w:space="0" w:color="auto"/>
            </w:tcBorders>
          </w:tcPr>
          <w:p>
            <w:pPr>
              <w:pStyle w:val="zyTableNAm"/>
            </w:pPr>
          </w:p>
        </w:tc>
        <w:tc>
          <w:tcPr>
            <w:tcW w:w="4188" w:type="dxa"/>
            <w:tcBorders>
              <w:bottom w:val="single" w:sz="4" w:space="0" w:color="auto"/>
            </w:tcBorders>
          </w:tcPr>
          <w:p>
            <w:pPr>
              <w:pStyle w:val="yTableNAm"/>
              <w:tabs>
                <w:tab w:val="clear" w:pos="567"/>
              </w:tabs>
              <w:ind w:left="226" w:hanging="226"/>
            </w:pPr>
            <w:r>
              <w:t>•</w:t>
            </w:r>
            <w:r>
              <w:tab/>
              <w:t>for over 30 t</w:t>
            </w:r>
          </w:p>
        </w:tc>
        <w:tc>
          <w:tcPr>
            <w:tcW w:w="1276" w:type="dxa"/>
            <w:tcBorders>
              <w:bottom w:val="single" w:sz="4" w:space="0" w:color="auto"/>
            </w:tcBorders>
            <w:vAlign w:val="bottom"/>
          </w:tcPr>
          <w:p>
            <w:pPr>
              <w:pStyle w:val="yTableNAm"/>
              <w:jc w:val="center"/>
            </w:pPr>
            <w:r>
              <w:rPr>
                <w:szCs w:val="22"/>
              </w:rPr>
              <w:t>20.28</w:t>
            </w:r>
          </w:p>
        </w:tc>
      </w:tr>
    </w:tbl>
    <w:p>
      <w:pPr>
        <w:pStyle w:val="ySubsection"/>
        <w:keepNext/>
      </w:pPr>
      <w:r>
        <w:tab/>
        <w:t>(8)</w:t>
      </w:r>
      <w:r>
        <w:tab/>
        <w:t>The charge for lighting, per hour or part of an hour, is set out in Table 25.7.</w:t>
      </w:r>
    </w:p>
    <w:p>
      <w:pPr>
        <w:pStyle w:val="yTHeadingNAm"/>
        <w:keepLines/>
        <w:widowControl w:val="0"/>
      </w:pPr>
      <w:r>
        <w:t>Table 25.7 (Lighting)</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58"/>
        <w:gridCol w:w="4160"/>
        <w:gridCol w:w="1276"/>
      </w:tblGrid>
      <w:tr>
        <w:trPr>
          <w:cantSplit/>
          <w:tblHeader/>
        </w:trPr>
        <w:tc>
          <w:tcPr>
            <w:tcW w:w="658" w:type="dxa"/>
            <w:tcBorders>
              <w:top w:val="single" w:sz="4" w:space="0" w:color="auto"/>
              <w:bottom w:val="single" w:sz="4" w:space="0" w:color="auto"/>
            </w:tcBorders>
          </w:tcPr>
          <w:p>
            <w:pPr>
              <w:pStyle w:val="yTableNAm"/>
              <w:keepNext/>
              <w:keepLines/>
              <w:widowControl w:val="0"/>
            </w:pPr>
            <w:r>
              <w:rPr>
                <w:b/>
              </w:rPr>
              <w:t>Item</w:t>
            </w:r>
          </w:p>
        </w:tc>
        <w:tc>
          <w:tcPr>
            <w:tcW w:w="4160"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58" w:type="dxa"/>
          </w:tcPr>
          <w:p>
            <w:pPr>
              <w:pStyle w:val="yTableNAm"/>
              <w:keepNext/>
              <w:keepLines/>
              <w:widowControl w:val="0"/>
            </w:pPr>
            <w:r>
              <w:t>1.</w:t>
            </w:r>
          </w:p>
        </w:tc>
        <w:tc>
          <w:tcPr>
            <w:tcW w:w="4160" w:type="dxa"/>
          </w:tcPr>
          <w:p>
            <w:pPr>
              <w:pStyle w:val="yTableNAm"/>
              <w:keepNext/>
              <w:keepLines/>
              <w:widowControl w:val="0"/>
            </w:pPr>
            <w:r>
              <w:t>For jetty, shed and yard</w:t>
            </w:r>
          </w:p>
        </w:tc>
        <w:tc>
          <w:tcPr>
            <w:tcW w:w="1276" w:type="dxa"/>
            <w:vAlign w:val="bottom"/>
          </w:tcPr>
          <w:p>
            <w:pPr>
              <w:pStyle w:val="yTableNAm"/>
              <w:keepNext/>
              <w:keepLines/>
              <w:widowControl w:val="0"/>
              <w:jc w:val="center"/>
            </w:pPr>
            <w:r>
              <w:rPr>
                <w:szCs w:val="22"/>
              </w:rPr>
              <w:t>34.44</w:t>
            </w:r>
          </w:p>
        </w:tc>
      </w:tr>
      <w:tr>
        <w:trPr>
          <w:cantSplit/>
        </w:trPr>
        <w:tc>
          <w:tcPr>
            <w:tcW w:w="658" w:type="dxa"/>
          </w:tcPr>
          <w:p>
            <w:pPr>
              <w:pStyle w:val="yTableNAm"/>
            </w:pPr>
            <w:r>
              <w:t>2.</w:t>
            </w:r>
          </w:p>
        </w:tc>
        <w:tc>
          <w:tcPr>
            <w:tcW w:w="4160" w:type="dxa"/>
          </w:tcPr>
          <w:p>
            <w:pPr>
              <w:pStyle w:val="yTableNAm"/>
            </w:pPr>
            <w:r>
              <w:t>For jetty only</w:t>
            </w:r>
          </w:p>
        </w:tc>
        <w:tc>
          <w:tcPr>
            <w:tcW w:w="1276" w:type="dxa"/>
            <w:vAlign w:val="bottom"/>
          </w:tcPr>
          <w:p>
            <w:pPr>
              <w:pStyle w:val="yTableNAm"/>
              <w:jc w:val="center"/>
            </w:pPr>
            <w:r>
              <w:rPr>
                <w:szCs w:val="22"/>
              </w:rPr>
              <w:t>11.06</w:t>
            </w:r>
          </w:p>
        </w:tc>
      </w:tr>
      <w:tr>
        <w:trPr>
          <w:cantSplit/>
        </w:trPr>
        <w:tc>
          <w:tcPr>
            <w:tcW w:w="658"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reduced lighting</w:t>
            </w:r>
          </w:p>
        </w:tc>
        <w:tc>
          <w:tcPr>
            <w:tcW w:w="1276" w:type="dxa"/>
            <w:tcBorders>
              <w:bottom w:val="single" w:sz="4" w:space="0" w:color="auto"/>
            </w:tcBorders>
            <w:vAlign w:val="bottom"/>
          </w:tcPr>
          <w:p>
            <w:pPr>
              <w:pStyle w:val="yTableNAm"/>
              <w:jc w:val="center"/>
            </w:pPr>
            <w:r>
              <w:rPr>
                <w:szCs w:val="22"/>
              </w:rPr>
              <w:t>3.65</w:t>
            </w:r>
          </w:p>
        </w:tc>
      </w:tr>
    </w:tbl>
    <w:p>
      <w:pPr>
        <w:pStyle w:val="yFootnotesection"/>
      </w:pPr>
      <w:r>
        <w:tab/>
        <w:t>[Clause 25 inserted in Gazette 22 Jul 2015 p. 2981</w:t>
      </w:r>
      <w:r>
        <w:noBreakHyphen/>
        <w:t>5; amended in Gazette 15 Apr 2016 p. 1173 and 1178-80; 26 May 2017 p. 2628</w:t>
      </w:r>
      <w:r>
        <w:noBreakHyphen/>
        <w:t>30.]</w:t>
      </w:r>
    </w:p>
    <w:p>
      <w:pPr>
        <w:pStyle w:val="yHeading3"/>
      </w:pPr>
      <w:bookmarkStart w:id="366" w:name="_Toc470188445"/>
      <w:bookmarkStart w:id="367" w:name="_Toc483481944"/>
      <w:bookmarkStart w:id="368" w:name="_Toc483493810"/>
      <w:bookmarkStart w:id="369" w:name="_Toc483552917"/>
      <w:bookmarkStart w:id="370" w:name="_Toc485378265"/>
      <w:bookmarkStart w:id="371" w:name="_Toc486502624"/>
      <w:bookmarkStart w:id="372" w:name="_Toc486502828"/>
      <w:bookmarkStart w:id="373" w:name="_Toc486503032"/>
      <w:r>
        <w:rPr>
          <w:rStyle w:val="CharSDivNo"/>
        </w:rPr>
        <w:t>Division 2</w:t>
      </w:r>
      <w:r>
        <w:rPr>
          <w:b w:val="0"/>
        </w:rPr>
        <w:t> — </w:t>
      </w:r>
      <w:r>
        <w:rPr>
          <w:rStyle w:val="CharSDivText"/>
        </w:rPr>
        <w:t>State</w:t>
      </w:r>
      <w:r>
        <w:rPr>
          <w:rStyle w:val="CharSDivText"/>
        </w:rPr>
        <w:noBreakHyphen/>
        <w:t>wide charges</w:t>
      </w:r>
      <w:bookmarkEnd w:id="366"/>
      <w:bookmarkEnd w:id="367"/>
      <w:bookmarkEnd w:id="368"/>
      <w:bookmarkEnd w:id="369"/>
      <w:bookmarkEnd w:id="370"/>
      <w:bookmarkEnd w:id="371"/>
      <w:bookmarkEnd w:id="372"/>
      <w:bookmarkEnd w:id="373"/>
    </w:p>
    <w:p>
      <w:pPr>
        <w:pStyle w:val="yFootnoteheading"/>
      </w:pPr>
      <w:r>
        <w:tab/>
        <w:t>[Heading inserted in Gazette 22 Jul 2015 p. 2985.]</w:t>
      </w:r>
    </w:p>
    <w:p>
      <w:pPr>
        <w:pStyle w:val="yHeading5"/>
      </w:pPr>
      <w:bookmarkStart w:id="374" w:name="_Toc486503033"/>
      <w:r>
        <w:rPr>
          <w:rStyle w:val="CharSClsNo"/>
        </w:rPr>
        <w:t>26A</w:t>
      </w:r>
      <w:r>
        <w:t>.</w:t>
      </w:r>
      <w:r>
        <w:tab/>
        <w:t>Wyndham excluded</w:t>
      </w:r>
      <w:bookmarkEnd w:id="374"/>
    </w:p>
    <w:p>
      <w:pPr>
        <w:pStyle w:val="ySubsection"/>
      </w:pPr>
      <w:r>
        <w:rPr>
          <w:szCs w:val="22"/>
        </w:rPr>
        <w:tab/>
      </w:r>
      <w:r>
        <w:rPr>
          <w:szCs w:val="22"/>
        </w:rPr>
        <w:tab/>
        <w:t>This Division does not apply to a vessel in the Port of Wyndham.</w:t>
      </w:r>
    </w:p>
    <w:p>
      <w:pPr>
        <w:pStyle w:val="yFootnotesection"/>
      </w:pPr>
      <w:r>
        <w:tab/>
        <w:t>[Clause 26A inserted in Gazette 5 Apr 2016 p. 1024.]</w:t>
      </w:r>
    </w:p>
    <w:p>
      <w:pPr>
        <w:pStyle w:val="yHeading5"/>
      </w:pPr>
      <w:bookmarkStart w:id="375" w:name="_Toc486503034"/>
      <w:r>
        <w:rPr>
          <w:rStyle w:val="CharSClsNo"/>
        </w:rPr>
        <w:t>26</w:t>
      </w:r>
      <w:r>
        <w:t>.</w:t>
      </w:r>
      <w:r>
        <w:tab/>
        <w:t>Living on a vessel</w:t>
      </w:r>
      <w:bookmarkEnd w:id="375"/>
    </w:p>
    <w:p>
      <w:pPr>
        <w:pStyle w:val="ySubsection"/>
      </w:pPr>
      <w:r>
        <w:tab/>
        <w:t>(1)</w:t>
      </w:r>
      <w:r>
        <w:tab/>
        <w:t xml:space="preserve">In this regulation — </w:t>
      </w:r>
    </w:p>
    <w:p>
      <w:pPr>
        <w:pStyle w:val="yDefstart"/>
      </w:pPr>
      <w:r>
        <w:tab/>
      </w:r>
      <w:r>
        <w:rPr>
          <w:rStyle w:val="CharDefText"/>
        </w:rPr>
        <w:t>enhanced facilities</w:t>
      </w:r>
      <w:r>
        <w:t xml:space="preserve"> </w:t>
      </w:r>
      <w:r>
        <w:rPr>
          <w:szCs w:val="22"/>
        </w:rPr>
        <w:t>means toilet, shower and laundry facilities.</w:t>
      </w:r>
    </w:p>
    <w:p>
      <w:pPr>
        <w:pStyle w:val="ySubsection"/>
      </w:pPr>
      <w:r>
        <w:tab/>
        <w:t>(2)</w:t>
      </w:r>
      <w:r>
        <w:tab/>
        <w:t>The charges relating to living on a vessel in a place are set out in Table 26.1.</w:t>
      </w:r>
    </w:p>
    <w:p>
      <w:pPr>
        <w:pStyle w:val="yTHeadingNAm"/>
        <w:ind w:left="993"/>
      </w:pPr>
      <w:r>
        <w:t>Table 26.1 (Living on a vessel)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4146"/>
        <w:gridCol w:w="1276"/>
      </w:tblGrid>
      <w:tr>
        <w:trPr>
          <w:cantSplit/>
          <w:tblHeader/>
        </w:trPr>
        <w:tc>
          <w:tcPr>
            <w:tcW w:w="65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58" w:type="dxa"/>
          </w:tcPr>
          <w:p>
            <w:pPr>
              <w:pStyle w:val="yTableNAm"/>
            </w:pPr>
            <w:r>
              <w:t>1.</w:t>
            </w:r>
          </w:p>
        </w:tc>
        <w:tc>
          <w:tcPr>
            <w:tcW w:w="4146" w:type="dxa"/>
          </w:tcPr>
          <w:p>
            <w:pPr>
              <w:pStyle w:val="yTableNAm"/>
            </w:pPr>
            <w:r>
              <w:t xml:space="preserve">For living on board a vessel — </w:t>
            </w:r>
          </w:p>
        </w:tc>
        <w:tc>
          <w:tcPr>
            <w:tcW w:w="1276" w:type="dxa"/>
          </w:tcPr>
          <w:p>
            <w:pPr>
              <w:pStyle w:val="yTableNAm"/>
              <w:jc w:val="center"/>
            </w:pPr>
          </w:p>
        </w:tc>
      </w:tr>
      <w:tr>
        <w:trPr>
          <w:cantSplit/>
        </w:trPr>
        <w:tc>
          <w:tcPr>
            <w:tcW w:w="658" w:type="dxa"/>
          </w:tcPr>
          <w:p>
            <w:pPr>
              <w:pStyle w:val="zyTableNAm"/>
            </w:pPr>
          </w:p>
        </w:tc>
        <w:tc>
          <w:tcPr>
            <w:tcW w:w="4146" w:type="dxa"/>
          </w:tcPr>
          <w:p>
            <w:pPr>
              <w:pStyle w:val="yTableNAm"/>
              <w:tabs>
                <w:tab w:val="clear" w:pos="567"/>
              </w:tabs>
              <w:ind w:left="226" w:hanging="226"/>
            </w:pPr>
            <w:r>
              <w:t>•</w:t>
            </w:r>
            <w:r>
              <w:tab/>
              <w:t>without enhanced facilities, an amount calculated at the monthly rate per vessel, of</w:t>
            </w:r>
          </w:p>
        </w:tc>
        <w:tc>
          <w:tcPr>
            <w:tcW w:w="1276" w:type="dxa"/>
          </w:tcPr>
          <w:p>
            <w:pPr>
              <w:pStyle w:val="yTableNAm"/>
              <w:jc w:val="center"/>
            </w:pPr>
            <w:r>
              <w:br/>
            </w:r>
            <w:r>
              <w:rPr>
                <w:szCs w:val="22"/>
              </w:rPr>
              <w:t>47.40</w:t>
            </w:r>
          </w:p>
        </w:tc>
      </w:tr>
      <w:tr>
        <w:trPr>
          <w:cantSplit/>
        </w:trPr>
        <w:tc>
          <w:tcPr>
            <w:tcW w:w="658" w:type="dxa"/>
            <w:tcBorders>
              <w:bottom w:val="single" w:sz="4" w:space="0" w:color="auto"/>
            </w:tcBorders>
          </w:tcPr>
          <w:p>
            <w:pPr>
              <w:pStyle w:val="zyTableNAm"/>
            </w:pPr>
          </w:p>
        </w:tc>
        <w:tc>
          <w:tcPr>
            <w:tcW w:w="4146" w:type="dxa"/>
            <w:tcBorders>
              <w:bottom w:val="single" w:sz="4" w:space="0" w:color="auto"/>
            </w:tcBorders>
          </w:tcPr>
          <w:p>
            <w:pPr>
              <w:pStyle w:val="yTableNAm"/>
              <w:tabs>
                <w:tab w:val="clear" w:pos="567"/>
              </w:tabs>
              <w:ind w:left="226" w:hanging="226"/>
            </w:pPr>
            <w:r>
              <w:t>•</w:t>
            </w:r>
            <w:r>
              <w:tab/>
              <w:t>with enhanced facilities, an amount calculated at the monthly rate per vessel, of</w:t>
            </w:r>
          </w:p>
        </w:tc>
        <w:tc>
          <w:tcPr>
            <w:tcW w:w="1276" w:type="dxa"/>
            <w:tcBorders>
              <w:bottom w:val="single" w:sz="4" w:space="0" w:color="auto"/>
            </w:tcBorders>
          </w:tcPr>
          <w:p>
            <w:pPr>
              <w:pStyle w:val="yTableNAm"/>
              <w:jc w:val="center"/>
            </w:pPr>
            <w:r>
              <w:br/>
            </w:r>
            <w:r>
              <w:rPr>
                <w:szCs w:val="22"/>
              </w:rPr>
              <w:t>144.20</w:t>
            </w:r>
            <w:r>
              <w:rPr>
                <w:szCs w:val="22"/>
              </w:rPr>
              <w:br/>
            </w:r>
          </w:p>
        </w:tc>
      </w:tr>
    </w:tbl>
    <w:p>
      <w:pPr>
        <w:pStyle w:val="yFootnotesection"/>
      </w:pPr>
      <w:r>
        <w:tab/>
        <w:t>[Clause 26 inserted in Gazette 22 Jul 2015 p. 2985; amended in Gazette 15 Apr 2016 p. 1180; 26 May 2017 p. 2630.]</w:t>
      </w:r>
    </w:p>
    <w:p>
      <w:pPr>
        <w:pStyle w:val="yHeading5"/>
      </w:pPr>
      <w:bookmarkStart w:id="376" w:name="_Toc486503035"/>
      <w:r>
        <w:rPr>
          <w:rStyle w:val="CharSClsNo"/>
        </w:rPr>
        <w:t>27</w:t>
      </w:r>
      <w:r>
        <w:t>.</w:t>
      </w:r>
      <w:r>
        <w:tab/>
        <w:t>Electricity supply</w:t>
      </w:r>
      <w:bookmarkEnd w:id="376"/>
    </w:p>
    <w:p>
      <w:pPr>
        <w:pStyle w:val="ySubsection"/>
      </w:pPr>
      <w:r>
        <w:tab/>
      </w:r>
      <w:r>
        <w:tab/>
        <w:t>The charges for electricity supply to a vessel in a place are set out in Table 27.1.</w:t>
      </w:r>
    </w:p>
    <w:p>
      <w:pPr>
        <w:pStyle w:val="yTHeadingNAm"/>
        <w:ind w:left="993"/>
      </w:pPr>
      <w:r>
        <w:t>Table 27.1 (Electricity supply)</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electricity supply that is — </w:t>
            </w:r>
          </w:p>
        </w:tc>
        <w:tc>
          <w:tcPr>
            <w:tcW w:w="1276" w:type="dxa"/>
          </w:tcPr>
          <w:p>
            <w:pPr>
              <w:pStyle w:val="yTableNAm"/>
              <w:jc w:val="center"/>
            </w:pPr>
          </w:p>
        </w:tc>
      </w:tr>
      <w:tr>
        <w:trPr>
          <w:cantSplit/>
        </w:trPr>
        <w:tc>
          <w:tcPr>
            <w:tcW w:w="672" w:type="dxa"/>
          </w:tcPr>
          <w:p>
            <w:pPr>
              <w:pStyle w:val="zyTableNAm"/>
              <w:keepNext/>
              <w:keepLines/>
              <w:widowControl w:val="0"/>
              <w:tabs>
                <w:tab w:val="clear" w:pos="567"/>
              </w:tabs>
            </w:pPr>
          </w:p>
        </w:tc>
        <w:tc>
          <w:tcPr>
            <w:tcW w:w="4132" w:type="dxa"/>
          </w:tcPr>
          <w:p>
            <w:pPr>
              <w:pStyle w:val="yTableNAm"/>
              <w:tabs>
                <w:tab w:val="clear" w:pos="567"/>
              </w:tabs>
              <w:ind w:left="226" w:hanging="226"/>
            </w:pPr>
            <w:r>
              <w:t>•</w:t>
            </w:r>
            <w:r>
              <w:tab/>
              <w:t>single phase (metered)</w:t>
            </w:r>
          </w:p>
        </w:tc>
        <w:tc>
          <w:tcPr>
            <w:tcW w:w="1276" w:type="dxa"/>
          </w:tcPr>
          <w:p>
            <w:pPr>
              <w:pStyle w:val="yTableNAm"/>
              <w:jc w:val="center"/>
            </w:pPr>
            <w:r>
              <w:t>cost</w:t>
            </w:r>
          </w:p>
        </w:tc>
      </w:tr>
      <w:tr>
        <w:trPr>
          <w:cantSplit/>
        </w:trPr>
        <w:tc>
          <w:tcPr>
            <w:tcW w:w="672" w:type="dxa"/>
            <w:tcBorders>
              <w:bottom w:val="single" w:sz="4" w:space="0" w:color="auto"/>
            </w:tcBorders>
          </w:tcPr>
          <w:p>
            <w:pPr>
              <w:pStyle w:val="zyTableNAm"/>
              <w:tabs>
                <w:tab w:val="clear" w:pos="567"/>
              </w:tabs>
            </w:pPr>
          </w:p>
        </w:tc>
        <w:tc>
          <w:tcPr>
            <w:tcW w:w="4132" w:type="dxa"/>
            <w:tcBorders>
              <w:bottom w:val="single" w:sz="4" w:space="0" w:color="auto"/>
            </w:tcBorders>
          </w:tcPr>
          <w:p>
            <w:pPr>
              <w:pStyle w:val="yTableNAm"/>
              <w:tabs>
                <w:tab w:val="clear" w:pos="567"/>
              </w:tabs>
              <w:ind w:left="226" w:hanging="226"/>
            </w:pPr>
            <w:r>
              <w:t>•</w:t>
            </w:r>
            <w:r>
              <w:tab/>
              <w:t>3</w:t>
            </w:r>
            <w:r>
              <w:noBreakHyphen/>
              <w:t>phase (whether metered or unmetered)</w:t>
            </w:r>
          </w:p>
        </w:tc>
        <w:tc>
          <w:tcPr>
            <w:tcW w:w="1276" w:type="dxa"/>
            <w:tcBorders>
              <w:bottom w:val="single" w:sz="4" w:space="0" w:color="auto"/>
            </w:tcBorders>
          </w:tcPr>
          <w:p>
            <w:pPr>
              <w:pStyle w:val="yTableNAm"/>
              <w:jc w:val="center"/>
            </w:pPr>
            <w:r>
              <w:t>cost</w:t>
            </w:r>
          </w:p>
        </w:tc>
      </w:tr>
    </w:tbl>
    <w:p>
      <w:pPr>
        <w:pStyle w:val="yFootnotesection"/>
      </w:pPr>
      <w:r>
        <w:tab/>
        <w:t>[Clause 27 inserted in Gazette 22 Jul 2015 p. 2986.]</w:t>
      </w:r>
    </w:p>
    <w:p>
      <w:pPr>
        <w:pStyle w:val="yHeading5"/>
      </w:pPr>
      <w:bookmarkStart w:id="377" w:name="_Toc486503036"/>
      <w:r>
        <w:rPr>
          <w:rStyle w:val="CharSClsNo"/>
        </w:rPr>
        <w:t>28</w:t>
      </w:r>
      <w:r>
        <w:t>.</w:t>
      </w:r>
      <w:r>
        <w:tab/>
        <w:t>Water supply</w:t>
      </w:r>
      <w:bookmarkEnd w:id="377"/>
    </w:p>
    <w:p>
      <w:pPr>
        <w:pStyle w:val="ySubsection"/>
      </w:pPr>
      <w:r>
        <w:tab/>
      </w:r>
      <w:r>
        <w:tab/>
        <w:t>The charges for water supply to a vessel in a place are set out in Table 28.1.</w:t>
      </w:r>
    </w:p>
    <w:p>
      <w:pPr>
        <w:pStyle w:val="yTHeadingNAm"/>
        <w:ind w:left="993"/>
      </w:pPr>
      <w:r>
        <w:t>Table 28.1 (Water supply)</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72"/>
        <w:gridCol w:w="4104"/>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0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Borders>
              <w:top w:val="single" w:sz="4" w:space="0" w:color="auto"/>
              <w:bottom w:val="single" w:sz="4" w:space="0" w:color="auto"/>
            </w:tcBorders>
          </w:tcPr>
          <w:p>
            <w:pPr>
              <w:pStyle w:val="yTableNAm"/>
            </w:pPr>
            <w:r>
              <w:t>1.</w:t>
            </w:r>
          </w:p>
        </w:tc>
        <w:tc>
          <w:tcPr>
            <w:tcW w:w="4104" w:type="dxa"/>
            <w:tcBorders>
              <w:top w:val="single" w:sz="4" w:space="0" w:color="auto"/>
              <w:bottom w:val="single" w:sz="4" w:space="0" w:color="auto"/>
            </w:tcBorders>
          </w:tcPr>
          <w:p>
            <w:pPr>
              <w:pStyle w:val="yTableNAm"/>
            </w:pPr>
            <w:r>
              <w:t>For water supply (metered)</w:t>
            </w:r>
          </w:p>
        </w:tc>
        <w:tc>
          <w:tcPr>
            <w:tcW w:w="1276" w:type="dxa"/>
            <w:tcBorders>
              <w:top w:val="single" w:sz="4" w:space="0" w:color="auto"/>
              <w:bottom w:val="single" w:sz="4" w:space="0" w:color="auto"/>
            </w:tcBorders>
          </w:tcPr>
          <w:p>
            <w:pPr>
              <w:pStyle w:val="yTableNAm"/>
              <w:jc w:val="center"/>
            </w:pPr>
            <w:r>
              <w:t>cost</w:t>
            </w:r>
          </w:p>
        </w:tc>
      </w:tr>
    </w:tbl>
    <w:p>
      <w:pPr>
        <w:pStyle w:val="yFootnotesection"/>
      </w:pPr>
      <w:r>
        <w:tab/>
        <w:t>[Clause 28 inserted in Gazette 22 Jul 2015 p. 2986.]</w:t>
      </w:r>
    </w:p>
    <w:p>
      <w:pPr>
        <w:pStyle w:val="yHeading5"/>
      </w:pPr>
      <w:bookmarkStart w:id="378" w:name="_Toc486503037"/>
      <w:r>
        <w:rPr>
          <w:rStyle w:val="CharSClsNo"/>
        </w:rPr>
        <w:t>29</w:t>
      </w:r>
      <w:r>
        <w:t>.</w:t>
      </w:r>
      <w:r>
        <w:tab/>
        <w:t>Rubbish removal (r. 53A)</w:t>
      </w:r>
      <w:bookmarkEnd w:id="378"/>
    </w:p>
    <w:p>
      <w:pPr>
        <w:pStyle w:val="ySubsection"/>
      </w:pPr>
      <w:r>
        <w:tab/>
      </w:r>
      <w:r>
        <w:tab/>
        <w:t>The charges to be paid under regulation 53A are set out in Table 29.1.</w:t>
      </w:r>
    </w:p>
    <w:p>
      <w:pPr>
        <w:pStyle w:val="yTHeadingNAm"/>
        <w:ind w:left="993"/>
      </w:pPr>
      <w:r>
        <w:t>Table 29.1 (Rubbish removal)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rubbish removal — </w:t>
            </w:r>
          </w:p>
        </w:tc>
        <w:tc>
          <w:tcPr>
            <w:tcW w:w="1276" w:type="dxa"/>
          </w:tcPr>
          <w:p>
            <w:pPr>
              <w:pStyle w:val="yTableNAm"/>
              <w:jc w:val="center"/>
            </w:pPr>
          </w:p>
        </w:tc>
      </w:tr>
      <w:tr>
        <w:trPr>
          <w:cantSplit/>
        </w:trPr>
        <w:tc>
          <w:tcPr>
            <w:tcW w:w="672" w:type="dxa"/>
          </w:tcPr>
          <w:p>
            <w:pPr>
              <w:pStyle w:val="zyTableNAm"/>
            </w:pPr>
          </w:p>
        </w:tc>
        <w:tc>
          <w:tcPr>
            <w:tcW w:w="4132" w:type="dxa"/>
          </w:tcPr>
          <w:p>
            <w:pPr>
              <w:pStyle w:val="yTableNAm"/>
              <w:tabs>
                <w:tab w:val="clear" w:pos="567"/>
              </w:tabs>
              <w:ind w:left="226" w:hanging="226"/>
            </w:pPr>
            <w:r>
              <w:t>•</w:t>
            </w:r>
            <w:r>
              <w:tab/>
              <w:t>excess quantity, or from a source other than a vessel for which charges for using the harbour have been paid, per half skip supplied and emptied</w:t>
            </w:r>
          </w:p>
        </w:tc>
        <w:tc>
          <w:tcPr>
            <w:tcW w:w="1276" w:type="dxa"/>
          </w:tcPr>
          <w:p>
            <w:pPr>
              <w:pStyle w:val="yTableNAm"/>
              <w:jc w:val="center"/>
            </w:pPr>
            <w:r>
              <w:br/>
            </w:r>
            <w:r>
              <w:br/>
            </w:r>
            <w:r>
              <w:b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from vessels in excess of 150 L</w:t>
            </w:r>
          </w:p>
        </w:tc>
        <w:tc>
          <w:tcPr>
            <w:tcW w:w="1276" w:type="dxa"/>
          </w:tcPr>
          <w:p>
            <w:pPr>
              <w:pStyle w:val="yTableNAm"/>
              <w:jc w:val="center"/>
            </w:pPr>
            <w: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drum</w:t>
            </w:r>
            <w:r>
              <w:rPr>
                <w:szCs w:val="22"/>
              </w:rPr>
              <w:t xml:space="preserve"> or other container not removed by owner, per drum or container</w:t>
            </w:r>
          </w:p>
        </w:tc>
        <w:tc>
          <w:tcPr>
            <w:tcW w:w="1276" w:type="dxa"/>
          </w:tcPr>
          <w:p>
            <w:pPr>
              <w:pStyle w:val="yTableNAm"/>
              <w:jc w:val="center"/>
            </w:pPr>
            <w:r>
              <w:br/>
              <w:t>cost</w:t>
            </w:r>
          </w:p>
        </w:tc>
      </w:tr>
      <w:tr>
        <w:trPr>
          <w:cantSplit/>
        </w:trPr>
        <w:tc>
          <w:tcPr>
            <w:tcW w:w="672" w:type="dxa"/>
            <w:tcBorders>
              <w:bottom w:val="single" w:sz="4" w:space="0" w:color="auto"/>
            </w:tcBorders>
          </w:tcPr>
          <w:p>
            <w:pPr>
              <w:pStyle w:val="zyTableNAm"/>
            </w:pPr>
          </w:p>
        </w:tc>
        <w:tc>
          <w:tcPr>
            <w:tcW w:w="4132" w:type="dxa"/>
            <w:tcBorders>
              <w:bottom w:val="single" w:sz="4" w:space="0" w:color="auto"/>
            </w:tcBorders>
          </w:tcPr>
          <w:p>
            <w:pPr>
              <w:pStyle w:val="yTableNAm"/>
              <w:tabs>
                <w:tab w:val="clear" w:pos="567"/>
              </w:tabs>
              <w:ind w:left="226" w:hanging="226"/>
            </w:pPr>
            <w:r>
              <w:t>•</w:t>
            </w:r>
            <w:r>
              <w:tab/>
              <w:t>rubbish not put in supplied bins</w:t>
            </w:r>
          </w:p>
        </w:tc>
        <w:tc>
          <w:tcPr>
            <w:tcW w:w="1276" w:type="dxa"/>
            <w:tcBorders>
              <w:bottom w:val="single" w:sz="4" w:space="0" w:color="auto"/>
            </w:tcBorders>
          </w:tcPr>
          <w:p>
            <w:pPr>
              <w:pStyle w:val="yTableNAm"/>
              <w:jc w:val="center"/>
            </w:pPr>
            <w:r>
              <w:t>cost</w:t>
            </w:r>
          </w:p>
        </w:tc>
      </w:tr>
    </w:tbl>
    <w:p>
      <w:pPr>
        <w:pStyle w:val="yFootnotesection"/>
      </w:pPr>
      <w:r>
        <w:tab/>
        <w:t>[Clause 29 inserted in Gazette 22 Jul 2015 p. 2986</w:t>
      </w:r>
      <w:r>
        <w:noBreakHyphen/>
        <w:t>7; amended in Gazette 23 Dec 2016 p. 5914.]</w:t>
      </w:r>
    </w:p>
    <w:p>
      <w:pPr>
        <w:pStyle w:val="yHeading5"/>
      </w:pPr>
      <w:bookmarkStart w:id="379" w:name="_Toc486503038"/>
      <w:r>
        <w:rPr>
          <w:rStyle w:val="CharSClsNo"/>
        </w:rPr>
        <w:t>30</w:t>
      </w:r>
      <w:r>
        <w:t>.</w:t>
      </w:r>
      <w:r>
        <w:tab/>
        <w:t>Passengers and cargo</w:t>
      </w:r>
      <w:bookmarkEnd w:id="379"/>
    </w:p>
    <w:p>
      <w:pPr>
        <w:pStyle w:val="ySubsection"/>
      </w:pPr>
      <w:r>
        <w:tab/>
      </w:r>
      <w:r>
        <w:tab/>
        <w:t>The charges to be paid for the loading and unloading of passengers and cargo are set out in Table 30.1.</w:t>
      </w:r>
    </w:p>
    <w:p>
      <w:pPr>
        <w:pStyle w:val="yTHeadingNAm"/>
        <w:ind w:left="993"/>
      </w:pPr>
      <w:r>
        <w:t>Table 30.1 (Passengers and cargo)</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46" w:type="dxa"/>
          </w:tcPr>
          <w:p>
            <w:pPr>
              <w:pStyle w:val="yTableNAm"/>
            </w:pPr>
            <w:r>
              <w:t xml:space="preserve">For the use of a pen, berth or service jetty by cruise liner transfer vessel to load or unload passengers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an amount calculated per metre of the vessel’s length at the daily rate of</w:t>
            </w:r>
          </w:p>
        </w:tc>
        <w:tc>
          <w:tcPr>
            <w:tcW w:w="1276" w:type="dxa"/>
          </w:tcPr>
          <w:p>
            <w:pPr>
              <w:pStyle w:val="yTableNAm"/>
              <w:jc w:val="center"/>
            </w:pPr>
            <w:r>
              <w:br/>
            </w:r>
            <w:r>
              <w:rPr>
                <w:szCs w:val="22"/>
              </w:rPr>
              <w:t>10.70</w:t>
            </w:r>
          </w:p>
        </w:tc>
      </w:tr>
      <w:tr>
        <w:trPr>
          <w:cantSplit/>
        </w:trPr>
        <w:tc>
          <w:tcPr>
            <w:tcW w:w="630" w:type="dxa"/>
          </w:tcPr>
          <w:p>
            <w:pPr>
              <w:pStyle w:val="zyTableNAm"/>
            </w:pPr>
          </w:p>
        </w:tc>
        <w:tc>
          <w:tcPr>
            <w:tcW w:w="4146" w:type="dxa"/>
          </w:tcPr>
          <w:p>
            <w:pPr>
              <w:pStyle w:val="yTableNAm"/>
              <w:tabs>
                <w:tab w:val="clear" w:pos="567"/>
              </w:tabs>
              <w:ind w:left="226" w:hanging="226"/>
            </w:pPr>
            <w:r>
              <w:t>•</w:t>
            </w:r>
            <w:r>
              <w:tab/>
              <w:t>plus a charge per passenger of</w:t>
            </w:r>
          </w:p>
        </w:tc>
        <w:tc>
          <w:tcPr>
            <w:tcW w:w="1276" w:type="dxa"/>
          </w:tcPr>
          <w:p>
            <w:pPr>
              <w:pStyle w:val="yTableNAm"/>
              <w:jc w:val="center"/>
            </w:pPr>
            <w:r>
              <w:rPr>
                <w:szCs w:val="22"/>
              </w:rPr>
              <w:t>4.50</w:t>
            </w:r>
          </w:p>
        </w:tc>
      </w:tr>
      <w:tr>
        <w:trPr>
          <w:cantSplit/>
        </w:trPr>
        <w:tc>
          <w:tcPr>
            <w:tcW w:w="630" w:type="dxa"/>
          </w:tcPr>
          <w:p>
            <w:pPr>
              <w:pStyle w:val="yTableNAm"/>
            </w:pPr>
            <w:r>
              <w:t>2.</w:t>
            </w:r>
          </w:p>
        </w:tc>
        <w:tc>
          <w:tcPr>
            <w:tcW w:w="4146" w:type="dxa"/>
          </w:tcPr>
          <w:p>
            <w:pPr>
              <w:pStyle w:val="yTableNAm"/>
            </w:pPr>
            <w:r>
              <w:t>For the loading or unloading of general cargo from or to a vessel at the service wharf or service jetty, or an appurtenant area if loaded from or to a vessel, an amount calculated per tonne, per cubic metre at the rate of</w:t>
            </w:r>
          </w:p>
        </w:tc>
        <w:tc>
          <w:tcPr>
            <w:tcW w:w="1276" w:type="dxa"/>
          </w:tcPr>
          <w:p>
            <w:pPr>
              <w:pStyle w:val="yTableNAm"/>
              <w:jc w:val="center"/>
            </w:pPr>
            <w:r>
              <w:br/>
            </w:r>
            <w:r>
              <w:br/>
            </w:r>
            <w:r>
              <w:br/>
            </w:r>
            <w:r>
              <w:br/>
            </w:r>
            <w:r>
              <w:rPr>
                <w:szCs w:val="22"/>
              </w:rPr>
              <w:t>7.05</w:t>
            </w:r>
          </w:p>
        </w:tc>
      </w:tr>
      <w:tr>
        <w:trPr>
          <w:cantSplit/>
        </w:trPr>
        <w:tc>
          <w:tcPr>
            <w:tcW w:w="630" w:type="dxa"/>
            <w:tcBorders>
              <w:bottom w:val="single" w:sz="4" w:space="0" w:color="auto"/>
            </w:tcBorders>
          </w:tcPr>
          <w:p>
            <w:pPr>
              <w:pStyle w:val="yTableNAm"/>
            </w:pPr>
            <w:r>
              <w:t>3.</w:t>
            </w:r>
          </w:p>
        </w:tc>
        <w:tc>
          <w:tcPr>
            <w:tcW w:w="4146" w:type="dxa"/>
            <w:tcBorders>
              <w:bottom w:val="single" w:sz="4" w:space="0" w:color="auto"/>
            </w:tcBorders>
          </w:tcPr>
          <w:p>
            <w:pPr>
              <w:pStyle w:val="yTableNAm"/>
            </w:pPr>
            <w:r>
              <w:t>If a vessel is lifted at the service wharf or service jetty, or an appurtenant area, an amount calculated per metre of the vessel’s length at the rate of</w:t>
            </w:r>
          </w:p>
        </w:tc>
        <w:tc>
          <w:tcPr>
            <w:tcW w:w="1276" w:type="dxa"/>
            <w:tcBorders>
              <w:bottom w:val="single" w:sz="4" w:space="0" w:color="auto"/>
            </w:tcBorders>
          </w:tcPr>
          <w:p>
            <w:pPr>
              <w:pStyle w:val="yTableNAm"/>
              <w:jc w:val="center"/>
            </w:pPr>
            <w:r>
              <w:br/>
            </w:r>
            <w:r>
              <w:br/>
            </w:r>
            <w:r>
              <w:br/>
            </w:r>
            <w:r>
              <w:rPr>
                <w:szCs w:val="22"/>
              </w:rPr>
              <w:t>15.55</w:t>
            </w:r>
          </w:p>
        </w:tc>
      </w:tr>
    </w:tbl>
    <w:p>
      <w:pPr>
        <w:pStyle w:val="yFootnotesection"/>
      </w:pPr>
      <w:r>
        <w:tab/>
        <w:t>[Clause 30 inserted in Gazette 22 Jul 2015 p. 2987; amended in Gazette 15 Apr 2016 p. 1180; 26 May 2017 p. 2630.]</w:t>
      </w:r>
    </w:p>
    <w:p>
      <w:pPr>
        <w:pStyle w:val="yHeading5"/>
      </w:pPr>
      <w:bookmarkStart w:id="380" w:name="_Toc486503039"/>
      <w:r>
        <w:rPr>
          <w:rStyle w:val="CharSClsNo"/>
        </w:rPr>
        <w:t>31</w:t>
      </w:r>
      <w:r>
        <w:t>.</w:t>
      </w:r>
      <w:r>
        <w:tab/>
        <w:t>Slip services (r. 96)</w:t>
      </w:r>
      <w:bookmarkEnd w:id="380"/>
    </w:p>
    <w:p>
      <w:pPr>
        <w:pStyle w:val="ySubsection"/>
      </w:pPr>
      <w:r>
        <w:tab/>
      </w:r>
      <w:r>
        <w:tab/>
        <w:t>The charges to be paid under regulation 96 for services at a slip controlled and managed by the Department at a place for which no such charges are prescribed in Division 1 are set out in Table 31.1.</w:t>
      </w:r>
    </w:p>
    <w:p>
      <w:pPr>
        <w:pStyle w:val="yTHeadingNAm"/>
        <w:keepLines/>
        <w:widowControl w:val="0"/>
        <w:ind w:left="993"/>
      </w:pPr>
      <w:r>
        <w:t>Table 31.1 (Slip services)</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keepNext/>
              <w:keepLines/>
              <w:widowControl w:val="0"/>
            </w:pPr>
            <w:r>
              <w:rPr>
                <w:b/>
              </w:rPr>
              <w:t>Item</w:t>
            </w:r>
          </w:p>
        </w:tc>
        <w:tc>
          <w:tcPr>
            <w:tcW w:w="4146"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30" w:type="dxa"/>
          </w:tcPr>
          <w:p>
            <w:pPr>
              <w:pStyle w:val="yTableNAm"/>
              <w:keepNext/>
              <w:keepLines/>
              <w:widowControl w:val="0"/>
            </w:pPr>
            <w:r>
              <w:t>1.</w:t>
            </w:r>
          </w:p>
        </w:tc>
        <w:tc>
          <w:tcPr>
            <w:tcW w:w="4146" w:type="dxa"/>
          </w:tcPr>
          <w:p>
            <w:pPr>
              <w:pStyle w:val="yTableNAm"/>
              <w:keepNext/>
              <w:keepLines/>
              <w:widowControl w:val="0"/>
            </w:pPr>
            <w:r>
              <w:t xml:space="preserve">For the use of a slip — </w:t>
            </w:r>
          </w:p>
        </w:tc>
        <w:tc>
          <w:tcPr>
            <w:tcW w:w="1276" w:type="dxa"/>
          </w:tcPr>
          <w:p>
            <w:pPr>
              <w:pStyle w:val="yTableNAm"/>
              <w:keepNext/>
              <w:keepLines/>
              <w:widowControl w:val="0"/>
              <w:jc w:val="center"/>
            </w:pPr>
          </w:p>
        </w:tc>
      </w:tr>
      <w:tr>
        <w:trPr>
          <w:cantSplit/>
        </w:trPr>
        <w:tc>
          <w:tcPr>
            <w:tcW w:w="630" w:type="dxa"/>
          </w:tcPr>
          <w:p>
            <w:pPr>
              <w:pStyle w:val="zyTableNAm"/>
              <w:keepNext/>
              <w:keepLines/>
              <w:widowControl w:val="0"/>
            </w:pPr>
          </w:p>
        </w:tc>
        <w:tc>
          <w:tcPr>
            <w:tcW w:w="4146" w:type="dxa"/>
          </w:tcPr>
          <w:p>
            <w:pPr>
              <w:pStyle w:val="yTableNAm"/>
              <w:keepNext/>
              <w:keepLines/>
              <w:widowControl w:val="0"/>
              <w:tabs>
                <w:tab w:val="clear" w:pos="567"/>
              </w:tabs>
              <w:ind w:left="226" w:hanging="226"/>
            </w:pPr>
            <w:r>
              <w:t>•</w:t>
            </w:r>
            <w:r>
              <w:tab/>
              <w:t>from 1 April to 31 August, an amount per day of</w:t>
            </w:r>
          </w:p>
        </w:tc>
        <w:tc>
          <w:tcPr>
            <w:tcW w:w="1276" w:type="dxa"/>
          </w:tcPr>
          <w:p>
            <w:pPr>
              <w:pStyle w:val="yTableNAm"/>
              <w:keepNext/>
              <w:keepLines/>
              <w:widowControl w:val="0"/>
              <w:jc w:val="center"/>
            </w:pPr>
            <w:r>
              <w:br/>
            </w:r>
            <w:r>
              <w:rPr>
                <w:szCs w:val="22"/>
              </w:rPr>
              <w:t>74.40</w:t>
            </w:r>
          </w:p>
        </w:tc>
      </w:tr>
      <w:tr>
        <w:trPr>
          <w:cantSplit/>
        </w:trPr>
        <w:tc>
          <w:tcPr>
            <w:tcW w:w="630" w:type="dxa"/>
          </w:tcPr>
          <w:p>
            <w:pPr>
              <w:pStyle w:val="zyTableNAm"/>
            </w:pPr>
          </w:p>
        </w:tc>
        <w:tc>
          <w:tcPr>
            <w:tcW w:w="4146" w:type="dxa"/>
          </w:tcPr>
          <w:p>
            <w:pPr>
              <w:pStyle w:val="yTableNAm"/>
              <w:tabs>
                <w:tab w:val="clear" w:pos="567"/>
              </w:tabs>
              <w:ind w:left="226" w:hanging="226"/>
            </w:pPr>
            <w:r>
              <w:t>•</w:t>
            </w:r>
            <w:r>
              <w:tab/>
              <w:t>from 1 September to 31 March, an amount per day of</w:t>
            </w:r>
          </w:p>
        </w:tc>
        <w:tc>
          <w:tcPr>
            <w:tcW w:w="1276" w:type="dxa"/>
          </w:tcPr>
          <w:p>
            <w:pPr>
              <w:pStyle w:val="yTableNAm"/>
              <w:jc w:val="center"/>
            </w:pPr>
            <w:r>
              <w:br/>
            </w:r>
            <w:r>
              <w:rPr>
                <w:szCs w:val="22"/>
              </w:rPr>
              <w:t>148.80</w:t>
            </w:r>
            <w:r>
              <w:rPr>
                <w:szCs w:val="22"/>
              </w:rPr>
              <w:br/>
            </w:r>
          </w:p>
        </w:tc>
      </w:tr>
      <w:tr>
        <w:trPr>
          <w:cantSplit/>
        </w:trPr>
        <w:tc>
          <w:tcPr>
            <w:tcW w:w="630" w:type="dxa"/>
          </w:tcPr>
          <w:p>
            <w:pPr>
              <w:pStyle w:val="zyTableNAm"/>
            </w:pPr>
            <w:r>
              <w:t>2.</w:t>
            </w:r>
          </w:p>
        </w:tc>
        <w:tc>
          <w:tcPr>
            <w:tcW w:w="4146" w:type="dxa"/>
          </w:tcPr>
          <w:p>
            <w:pPr>
              <w:pStyle w:val="yTableNAm"/>
              <w:tabs>
                <w:tab w:val="clear" w:pos="567"/>
              </w:tabs>
              <w:ind w:left="226" w:hanging="226"/>
            </w:pPr>
            <w:r>
              <w:t>For haulage up and down slip, an amount per haulage of —</w:t>
            </w:r>
          </w:p>
        </w:tc>
        <w:tc>
          <w:tcPr>
            <w:tcW w:w="1276" w:type="dxa"/>
          </w:tcPr>
          <w:p>
            <w:pPr>
              <w:pStyle w:val="yTableNAm"/>
              <w:jc w:val="center"/>
            </w:pPr>
            <w:r>
              <w:br/>
            </w:r>
            <w:r>
              <w:rPr>
                <w:szCs w:val="22"/>
              </w:rPr>
              <w:t>253.10</w:t>
            </w:r>
            <w:r>
              <w:rPr>
                <w:szCs w:val="22"/>
              </w:rPr>
              <w:br/>
            </w:r>
          </w:p>
        </w:tc>
      </w:tr>
      <w:tr>
        <w:trPr>
          <w:cantSplit/>
        </w:trPr>
        <w:tc>
          <w:tcPr>
            <w:tcW w:w="630" w:type="dxa"/>
          </w:tcPr>
          <w:p>
            <w:pPr>
              <w:pStyle w:val="yTableNAm"/>
            </w:pPr>
            <w:r>
              <w:t>3.</w:t>
            </w:r>
          </w:p>
        </w:tc>
        <w:tc>
          <w:tcPr>
            <w:tcW w:w="4146" w:type="dxa"/>
          </w:tcPr>
          <w:p>
            <w:pPr>
              <w:pStyle w:val="yTableNAm"/>
            </w:pPr>
            <w:r>
              <w:t xml:space="preserve">For the use of the Department’s land immediately appurtenant or adjacent to a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30 days, an amount per day of</w:t>
            </w:r>
          </w:p>
        </w:tc>
        <w:tc>
          <w:tcPr>
            <w:tcW w:w="1276" w:type="dxa"/>
          </w:tcPr>
          <w:p>
            <w:pPr>
              <w:pStyle w:val="yTableNAm"/>
              <w:jc w:val="center"/>
            </w:pPr>
            <w:r>
              <w:rPr>
                <w:szCs w:val="22"/>
              </w:rPr>
              <w:t>19.70</w:t>
            </w:r>
          </w:p>
        </w:tc>
      </w:tr>
      <w:tr>
        <w:trPr>
          <w:cantSplit/>
        </w:trPr>
        <w:tc>
          <w:tcPr>
            <w:tcW w:w="630" w:type="dxa"/>
          </w:tcPr>
          <w:p>
            <w:pPr>
              <w:pStyle w:val="zyTableNAm"/>
            </w:pPr>
          </w:p>
        </w:tc>
        <w:tc>
          <w:tcPr>
            <w:tcW w:w="4146" w:type="dxa"/>
          </w:tcPr>
          <w:p>
            <w:pPr>
              <w:pStyle w:val="yTableNAm"/>
              <w:tabs>
                <w:tab w:val="clear" w:pos="567"/>
              </w:tabs>
              <w:ind w:left="226" w:hanging="226"/>
            </w:pPr>
            <w:r>
              <w:t>•</w:t>
            </w:r>
            <w:r>
              <w:tab/>
              <w:t>after the first 30 days, an amount per day of</w:t>
            </w:r>
          </w:p>
        </w:tc>
        <w:tc>
          <w:tcPr>
            <w:tcW w:w="1276" w:type="dxa"/>
          </w:tcPr>
          <w:p>
            <w:pPr>
              <w:pStyle w:val="yTableNAm"/>
              <w:jc w:val="center"/>
            </w:pPr>
            <w:r>
              <w:br/>
            </w:r>
            <w:r>
              <w:rPr>
                <w:szCs w:val="22"/>
              </w:rPr>
              <w:t>44.50</w:t>
            </w:r>
          </w:p>
        </w:tc>
      </w:tr>
      <w:tr>
        <w:trPr>
          <w:cantSplit/>
        </w:trPr>
        <w:tc>
          <w:tcPr>
            <w:tcW w:w="630" w:type="dxa"/>
          </w:tcPr>
          <w:p>
            <w:pPr>
              <w:pStyle w:val="yTableNAm"/>
            </w:pPr>
            <w:r>
              <w:t>4.</w:t>
            </w:r>
          </w:p>
        </w:tc>
        <w:tc>
          <w:tcPr>
            <w:tcW w:w="4146" w:type="dxa"/>
          </w:tcPr>
          <w:p>
            <w:pPr>
              <w:pStyle w:val="yTableNAm"/>
            </w:pPr>
            <w:r>
              <w:t xml:space="preserve">For the use of the Department’s land in the harbour appurtenant to but not immediately adjacent to the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90 days, an amount per day of</w:t>
            </w:r>
          </w:p>
        </w:tc>
        <w:tc>
          <w:tcPr>
            <w:tcW w:w="1276" w:type="dxa"/>
          </w:tcPr>
          <w:p>
            <w:pPr>
              <w:pStyle w:val="yTableNAm"/>
              <w:jc w:val="center"/>
            </w:pPr>
            <w:r>
              <w:rPr>
                <w:szCs w:val="22"/>
              </w:rPr>
              <w:t>19.70</w:t>
            </w:r>
          </w:p>
        </w:tc>
      </w:tr>
      <w:tr>
        <w:trPr>
          <w:cantSplit/>
        </w:trPr>
        <w:tc>
          <w:tcPr>
            <w:tcW w:w="630" w:type="dxa"/>
            <w:tcBorders>
              <w:bottom w:val="single" w:sz="4" w:space="0" w:color="auto"/>
            </w:tcBorders>
          </w:tcPr>
          <w:p>
            <w:pPr>
              <w:pStyle w:val="zyTableNAm"/>
              <w:keepNext/>
            </w:pPr>
          </w:p>
        </w:tc>
        <w:tc>
          <w:tcPr>
            <w:tcW w:w="4146" w:type="dxa"/>
            <w:tcBorders>
              <w:bottom w:val="single" w:sz="4" w:space="0" w:color="auto"/>
            </w:tcBorders>
          </w:tcPr>
          <w:p>
            <w:pPr>
              <w:pStyle w:val="yTableNAm"/>
              <w:keepNext/>
              <w:tabs>
                <w:tab w:val="clear" w:pos="567"/>
              </w:tabs>
              <w:ind w:left="226" w:hanging="226"/>
            </w:pPr>
            <w:r>
              <w:t>•</w:t>
            </w:r>
            <w:r>
              <w:tab/>
              <w:t>after the first 90 days, an amount per day of</w:t>
            </w:r>
          </w:p>
        </w:tc>
        <w:tc>
          <w:tcPr>
            <w:tcW w:w="1276" w:type="dxa"/>
            <w:tcBorders>
              <w:bottom w:val="single" w:sz="4" w:space="0" w:color="auto"/>
            </w:tcBorders>
          </w:tcPr>
          <w:p>
            <w:pPr>
              <w:pStyle w:val="yTableNAm"/>
              <w:keepNext/>
              <w:jc w:val="center"/>
            </w:pPr>
            <w:r>
              <w:br/>
            </w:r>
            <w:r>
              <w:rPr>
                <w:szCs w:val="22"/>
              </w:rPr>
              <w:t>44.50</w:t>
            </w:r>
          </w:p>
        </w:tc>
      </w:tr>
    </w:tbl>
    <w:p>
      <w:pPr>
        <w:pStyle w:val="yFootnotesection"/>
      </w:pPr>
      <w:r>
        <w:tab/>
        <w:t>[Clause 31 inserted in Gazette 22 Jul 2015 p. 2987</w:t>
      </w:r>
      <w:r>
        <w:noBreakHyphen/>
        <w:t>9; amended in Gazette 5 Apr 2016 p. 1025; 15 Apr 2016 p. 1180; 23 Dec 2016 p. 5914; 26 May 2017 p. 2630</w:t>
      </w:r>
      <w:r>
        <w:noBreakHyphen/>
        <w:t>1.]</w:t>
      </w:r>
    </w:p>
    <w:p>
      <w:pPr>
        <w:pStyle w:val="yHeading5"/>
      </w:pPr>
      <w:bookmarkStart w:id="381" w:name="_Toc486503040"/>
      <w:r>
        <w:rPr>
          <w:rStyle w:val="CharSClsNo"/>
        </w:rPr>
        <w:t>32</w:t>
      </w:r>
      <w:r>
        <w:t>.</w:t>
      </w:r>
      <w:r>
        <w:tab/>
        <w:t>Floating dinghy pens</w:t>
      </w:r>
      <w:bookmarkEnd w:id="381"/>
    </w:p>
    <w:p>
      <w:pPr>
        <w:pStyle w:val="ySubsection"/>
      </w:pPr>
      <w:r>
        <w:tab/>
      </w:r>
      <w:r>
        <w:tab/>
        <w:t xml:space="preserve">The charges to be paid for the use of floating dinghy pens at a place are </w:t>
      </w:r>
      <w:r>
        <w:rPr>
          <w:szCs w:val="22"/>
        </w:rPr>
        <w:t xml:space="preserve">$286.00 </w:t>
      </w:r>
      <w:r>
        <w:t>per year.</w:t>
      </w:r>
    </w:p>
    <w:p>
      <w:pPr>
        <w:pStyle w:val="yFootnotesection"/>
      </w:pPr>
      <w:r>
        <w:tab/>
        <w:t>[Clause 32 inserted in Gazette 22 Jul 2015 p. 2989; amended in Gazette 15 Apr 2016 p. 1180; 26 May 2017 p. 2631.]</w:t>
      </w:r>
    </w:p>
    <w:p>
      <w:pPr>
        <w:pStyle w:val="yScheduleHeading"/>
      </w:pPr>
      <w:bookmarkStart w:id="382" w:name="_Toc470188454"/>
      <w:bookmarkStart w:id="383" w:name="_Toc483481953"/>
      <w:bookmarkStart w:id="384" w:name="_Toc483493819"/>
      <w:bookmarkStart w:id="385" w:name="_Toc483552926"/>
      <w:bookmarkStart w:id="386" w:name="_Toc485378274"/>
      <w:bookmarkStart w:id="387" w:name="_Toc486502633"/>
      <w:bookmarkStart w:id="388" w:name="_Toc486502837"/>
      <w:bookmarkStart w:id="389" w:name="_Toc486503041"/>
      <w:r>
        <w:rPr>
          <w:rStyle w:val="CharSchNo"/>
        </w:rPr>
        <w:t>Schedule 1A</w:t>
      </w:r>
      <w:r>
        <w:rPr>
          <w:rStyle w:val="CharSDivNo"/>
        </w:rPr>
        <w:t> </w:t>
      </w:r>
      <w:r>
        <w:t>—</w:t>
      </w:r>
      <w:r>
        <w:rPr>
          <w:rStyle w:val="CharSDivText"/>
        </w:rPr>
        <w:t> </w:t>
      </w:r>
      <w:r>
        <w:rPr>
          <w:rStyle w:val="CharSchText"/>
        </w:rPr>
        <w:t>Fuel oil wharfage</w:t>
      </w:r>
      <w:bookmarkEnd w:id="382"/>
      <w:bookmarkEnd w:id="383"/>
      <w:bookmarkEnd w:id="384"/>
      <w:bookmarkEnd w:id="385"/>
      <w:bookmarkEnd w:id="386"/>
      <w:bookmarkEnd w:id="387"/>
      <w:bookmarkEnd w:id="388"/>
      <w:bookmarkEnd w:id="389"/>
    </w:p>
    <w:p>
      <w:pPr>
        <w:pStyle w:val="yShoulderClause"/>
      </w:pPr>
      <w:r>
        <w:t>[r. 11B(2)]</w:t>
      </w:r>
    </w:p>
    <w:p>
      <w:pPr>
        <w:pStyle w:val="yFootnoteheading"/>
      </w:pPr>
      <w:r>
        <w:tab/>
        <w:t>[Heading inserted in Gazette 22 Jul 2015 p. 2989.]</w:t>
      </w:r>
    </w:p>
    <w:p>
      <w:pPr>
        <w:pStyle w:val="yHeading5"/>
      </w:pPr>
      <w:bookmarkStart w:id="390" w:name="_Toc486503042"/>
      <w:r>
        <w:rPr>
          <w:rStyle w:val="CharSClsNo"/>
        </w:rPr>
        <w:t>1</w:t>
      </w:r>
      <w:r>
        <w:t>.</w:t>
      </w:r>
      <w:r>
        <w:tab/>
        <w:t>Wharfage for fuel (r. 11B(2))</w:t>
      </w:r>
      <w:bookmarkEnd w:id="390"/>
    </w:p>
    <w:p>
      <w:pPr>
        <w:pStyle w:val="ySubsection"/>
      </w:pPr>
      <w:r>
        <w:tab/>
      </w:r>
      <w:r>
        <w:tab/>
        <w:t>The rate to be paid for fuel oil under regulation 11B(2) at a place listed in the Table is set out opposite the place.</w:t>
      </w:r>
    </w:p>
    <w:p>
      <w:pPr>
        <w:pStyle w:val="yTHeadingNAm"/>
        <w:ind w:left="993"/>
      </w:pPr>
      <w:r>
        <w:t>Table (Wharfage for fuel oil)</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708"/>
        <w:gridCol w:w="4253"/>
        <w:gridCol w:w="1134"/>
      </w:tblGrid>
      <w:tr>
        <w:trPr>
          <w:cantSplit/>
          <w:tblHeader/>
        </w:trPr>
        <w:tc>
          <w:tcPr>
            <w:tcW w:w="708" w:type="dxa"/>
            <w:tcBorders>
              <w:top w:val="single" w:sz="4" w:space="0" w:color="auto"/>
              <w:bottom w:val="single" w:sz="4" w:space="0" w:color="auto"/>
            </w:tcBorders>
          </w:tcPr>
          <w:p>
            <w:pPr>
              <w:pStyle w:val="yTableNAm"/>
            </w:pPr>
            <w:r>
              <w:rPr>
                <w:b/>
              </w:rPr>
              <w:t>Item</w:t>
            </w:r>
          </w:p>
        </w:tc>
        <w:tc>
          <w:tcPr>
            <w:tcW w:w="4253"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$/L</w:t>
            </w:r>
          </w:p>
        </w:tc>
      </w:tr>
      <w:tr>
        <w:trPr>
          <w:cantSplit/>
        </w:trPr>
        <w:tc>
          <w:tcPr>
            <w:tcW w:w="708" w:type="dxa"/>
          </w:tcPr>
          <w:p>
            <w:pPr>
              <w:pStyle w:val="yTableNAm"/>
            </w:pPr>
            <w:r>
              <w:t>1.</w:t>
            </w:r>
          </w:p>
        </w:tc>
        <w:tc>
          <w:tcPr>
            <w:tcW w:w="4253" w:type="dxa"/>
          </w:tcPr>
          <w:p>
            <w:pPr>
              <w:pStyle w:val="yTableNAm"/>
            </w:pPr>
            <w:r>
              <w:t>Albany, at Albany Waterfront Marina</w:t>
            </w:r>
          </w:p>
        </w:tc>
        <w:tc>
          <w:tcPr>
            <w:tcW w:w="1134" w:type="dxa"/>
          </w:tcPr>
          <w:p>
            <w:pPr>
              <w:pStyle w:val="yTableNAm"/>
              <w:jc w:val="center"/>
            </w:pPr>
            <w:r>
              <w:rPr>
                <w:szCs w:val="22"/>
              </w:rPr>
              <w:t>0.057</w:t>
            </w:r>
          </w:p>
        </w:tc>
      </w:tr>
      <w:tr>
        <w:trPr>
          <w:cantSplit/>
        </w:trPr>
        <w:tc>
          <w:tcPr>
            <w:tcW w:w="708" w:type="dxa"/>
          </w:tcPr>
          <w:p>
            <w:pPr>
              <w:pStyle w:val="yTableNAm"/>
            </w:pPr>
            <w:r>
              <w:t>2.</w:t>
            </w:r>
          </w:p>
        </w:tc>
        <w:tc>
          <w:tcPr>
            <w:tcW w:w="4253" w:type="dxa"/>
          </w:tcPr>
          <w:p>
            <w:pPr>
              <w:pStyle w:val="yTableNAm"/>
            </w:pPr>
            <w:r>
              <w:t>Albany, at Emu Point Boat Harbour</w:t>
            </w:r>
          </w:p>
        </w:tc>
        <w:tc>
          <w:tcPr>
            <w:tcW w:w="1134" w:type="dxa"/>
          </w:tcPr>
          <w:p>
            <w:pPr>
              <w:pStyle w:val="yTableNAm"/>
              <w:jc w:val="center"/>
            </w:pPr>
            <w:r>
              <w:rPr>
                <w:szCs w:val="22"/>
              </w:rPr>
              <w:t>0.057</w:t>
            </w:r>
          </w:p>
        </w:tc>
      </w:tr>
      <w:tr>
        <w:trPr>
          <w:cantSplit/>
        </w:trPr>
        <w:tc>
          <w:tcPr>
            <w:tcW w:w="708" w:type="dxa"/>
          </w:tcPr>
          <w:p>
            <w:pPr>
              <w:pStyle w:val="yTableNAm"/>
            </w:pPr>
            <w:r>
              <w:t>3.</w:t>
            </w:r>
          </w:p>
        </w:tc>
        <w:tc>
          <w:tcPr>
            <w:tcW w:w="4253" w:type="dxa"/>
          </w:tcPr>
          <w:p>
            <w:pPr>
              <w:pStyle w:val="yTableNAm"/>
            </w:pPr>
            <w:r>
              <w:t>Augusta (Ellis Street) Maritime Facility</w:t>
            </w:r>
          </w:p>
        </w:tc>
        <w:tc>
          <w:tcPr>
            <w:tcW w:w="1134" w:type="dxa"/>
          </w:tcPr>
          <w:p>
            <w:pPr>
              <w:pStyle w:val="yTableNAm"/>
              <w:jc w:val="center"/>
            </w:pPr>
            <w:r>
              <w:rPr>
                <w:szCs w:val="22"/>
              </w:rPr>
              <w:t>0.057</w:t>
            </w:r>
          </w:p>
        </w:tc>
      </w:tr>
      <w:tr>
        <w:trPr>
          <w:cantSplit/>
        </w:trPr>
        <w:tc>
          <w:tcPr>
            <w:tcW w:w="708" w:type="dxa"/>
          </w:tcPr>
          <w:p>
            <w:pPr>
              <w:pStyle w:val="yTableNAm"/>
            </w:pPr>
            <w:r>
              <w:t>4.</w:t>
            </w:r>
          </w:p>
        </w:tc>
        <w:tc>
          <w:tcPr>
            <w:tcW w:w="4253" w:type="dxa"/>
          </w:tcPr>
          <w:p>
            <w:pPr>
              <w:pStyle w:val="yTableNAm"/>
            </w:pPr>
            <w:r>
              <w:t>Augusta Boat Harbour</w:t>
            </w:r>
          </w:p>
        </w:tc>
        <w:tc>
          <w:tcPr>
            <w:tcW w:w="1134" w:type="dxa"/>
          </w:tcPr>
          <w:p>
            <w:pPr>
              <w:pStyle w:val="yTableNAm"/>
              <w:jc w:val="center"/>
            </w:pPr>
            <w:r>
              <w:rPr>
                <w:szCs w:val="22"/>
              </w:rPr>
              <w:t>0.057</w:t>
            </w:r>
          </w:p>
        </w:tc>
      </w:tr>
      <w:tr>
        <w:trPr>
          <w:cantSplit/>
        </w:trPr>
        <w:tc>
          <w:tcPr>
            <w:tcW w:w="708" w:type="dxa"/>
          </w:tcPr>
          <w:p>
            <w:pPr>
              <w:pStyle w:val="yTableNAm"/>
            </w:pPr>
            <w:r>
              <w:t>5.</w:t>
            </w:r>
          </w:p>
        </w:tc>
        <w:tc>
          <w:tcPr>
            <w:tcW w:w="4253" w:type="dxa"/>
          </w:tcPr>
          <w:p>
            <w:pPr>
              <w:pStyle w:val="yTableNAm"/>
            </w:pPr>
            <w:r>
              <w:t>Barrack Street Jetty</w:t>
            </w:r>
          </w:p>
        </w:tc>
        <w:tc>
          <w:tcPr>
            <w:tcW w:w="1134" w:type="dxa"/>
          </w:tcPr>
          <w:p>
            <w:pPr>
              <w:pStyle w:val="yTableNAm"/>
              <w:jc w:val="center"/>
            </w:pPr>
            <w:r>
              <w:rPr>
                <w:szCs w:val="22"/>
              </w:rPr>
              <w:t>0.057</w:t>
            </w:r>
          </w:p>
        </w:tc>
      </w:tr>
      <w:tr>
        <w:trPr>
          <w:cantSplit/>
        </w:trPr>
        <w:tc>
          <w:tcPr>
            <w:tcW w:w="708" w:type="dxa"/>
          </w:tcPr>
          <w:p>
            <w:pPr>
              <w:pStyle w:val="yTableNAm"/>
            </w:pPr>
            <w:r>
              <w:t>6.</w:t>
            </w:r>
          </w:p>
        </w:tc>
        <w:tc>
          <w:tcPr>
            <w:tcW w:w="4253" w:type="dxa"/>
          </w:tcPr>
          <w:p>
            <w:pPr>
              <w:pStyle w:val="yTableNAm"/>
            </w:pPr>
            <w:r>
              <w:t>Bremer Bay</w:t>
            </w:r>
          </w:p>
        </w:tc>
        <w:tc>
          <w:tcPr>
            <w:tcW w:w="1134" w:type="dxa"/>
          </w:tcPr>
          <w:p>
            <w:pPr>
              <w:pStyle w:val="yTableNAm"/>
              <w:jc w:val="center"/>
            </w:pPr>
            <w:r>
              <w:rPr>
                <w:szCs w:val="22"/>
              </w:rPr>
              <w:t>0.057</w:t>
            </w:r>
          </w:p>
        </w:tc>
      </w:tr>
      <w:tr>
        <w:trPr>
          <w:cantSplit/>
        </w:trPr>
        <w:tc>
          <w:tcPr>
            <w:tcW w:w="708" w:type="dxa"/>
          </w:tcPr>
          <w:p>
            <w:pPr>
              <w:pStyle w:val="yTableNAm"/>
            </w:pPr>
            <w:r>
              <w:t>7.</w:t>
            </w:r>
          </w:p>
        </w:tc>
        <w:tc>
          <w:tcPr>
            <w:tcW w:w="4253" w:type="dxa"/>
          </w:tcPr>
          <w:p>
            <w:pPr>
              <w:pStyle w:val="yTableNAm"/>
            </w:pPr>
            <w:r>
              <w:t>Bunbury, at Casuarina Boat Harbour</w:t>
            </w:r>
          </w:p>
        </w:tc>
        <w:tc>
          <w:tcPr>
            <w:tcW w:w="1134" w:type="dxa"/>
          </w:tcPr>
          <w:p>
            <w:pPr>
              <w:pStyle w:val="yTableNAm"/>
              <w:jc w:val="center"/>
            </w:pPr>
            <w:r>
              <w:rPr>
                <w:szCs w:val="22"/>
              </w:rPr>
              <w:t>0.057</w:t>
            </w:r>
          </w:p>
        </w:tc>
      </w:tr>
      <w:tr>
        <w:trPr>
          <w:cantSplit/>
        </w:trPr>
        <w:tc>
          <w:tcPr>
            <w:tcW w:w="708" w:type="dxa"/>
          </w:tcPr>
          <w:p>
            <w:pPr>
              <w:pStyle w:val="yTableNAm"/>
            </w:pPr>
            <w:r>
              <w:t>8.</w:t>
            </w:r>
          </w:p>
        </w:tc>
        <w:tc>
          <w:tcPr>
            <w:tcW w:w="4253" w:type="dxa"/>
          </w:tcPr>
          <w:p>
            <w:pPr>
              <w:pStyle w:val="yTableNAm"/>
            </w:pPr>
            <w:r>
              <w:t>Carnarvon</w:t>
            </w:r>
          </w:p>
        </w:tc>
        <w:tc>
          <w:tcPr>
            <w:tcW w:w="1134" w:type="dxa"/>
          </w:tcPr>
          <w:p>
            <w:pPr>
              <w:pStyle w:val="yTableNAm"/>
              <w:jc w:val="center"/>
            </w:pPr>
            <w:r>
              <w:rPr>
                <w:szCs w:val="22"/>
              </w:rPr>
              <w:t>0.057</w:t>
            </w:r>
          </w:p>
        </w:tc>
      </w:tr>
      <w:tr>
        <w:trPr>
          <w:cantSplit/>
        </w:trPr>
        <w:tc>
          <w:tcPr>
            <w:tcW w:w="708" w:type="dxa"/>
          </w:tcPr>
          <w:p>
            <w:pPr>
              <w:pStyle w:val="yTableNAm"/>
            </w:pPr>
            <w:r>
              <w:t>9.</w:t>
            </w:r>
          </w:p>
        </w:tc>
        <w:tc>
          <w:tcPr>
            <w:tcW w:w="4253" w:type="dxa"/>
          </w:tcPr>
          <w:p>
            <w:pPr>
              <w:pStyle w:val="yTableNAm"/>
            </w:pPr>
            <w:r>
              <w:t>Cervantes</w:t>
            </w:r>
          </w:p>
        </w:tc>
        <w:tc>
          <w:tcPr>
            <w:tcW w:w="1134" w:type="dxa"/>
          </w:tcPr>
          <w:p>
            <w:pPr>
              <w:pStyle w:val="yTableNAm"/>
              <w:jc w:val="center"/>
            </w:pPr>
            <w:r>
              <w:rPr>
                <w:szCs w:val="22"/>
              </w:rPr>
              <w:t>0.057</w:t>
            </w:r>
          </w:p>
        </w:tc>
      </w:tr>
      <w:tr>
        <w:trPr>
          <w:cantSplit/>
        </w:trPr>
        <w:tc>
          <w:tcPr>
            <w:tcW w:w="708" w:type="dxa"/>
          </w:tcPr>
          <w:p>
            <w:pPr>
              <w:pStyle w:val="yTableNAm"/>
            </w:pPr>
            <w:r>
              <w:t>10.</w:t>
            </w:r>
          </w:p>
        </w:tc>
        <w:tc>
          <w:tcPr>
            <w:tcW w:w="4253" w:type="dxa"/>
          </w:tcPr>
          <w:p>
            <w:pPr>
              <w:pStyle w:val="yTableNAm"/>
            </w:pPr>
            <w:r>
              <w:t>Denham</w:t>
            </w:r>
          </w:p>
        </w:tc>
        <w:tc>
          <w:tcPr>
            <w:tcW w:w="1134" w:type="dxa"/>
          </w:tcPr>
          <w:p>
            <w:pPr>
              <w:pStyle w:val="yTableNAm"/>
              <w:jc w:val="center"/>
            </w:pPr>
            <w:r>
              <w:rPr>
                <w:szCs w:val="22"/>
              </w:rPr>
              <w:t>0.057</w:t>
            </w:r>
          </w:p>
        </w:tc>
      </w:tr>
      <w:tr>
        <w:trPr>
          <w:cantSplit/>
        </w:trPr>
        <w:tc>
          <w:tcPr>
            <w:tcW w:w="708" w:type="dxa"/>
          </w:tcPr>
          <w:p>
            <w:pPr>
              <w:pStyle w:val="yTableNAm"/>
            </w:pPr>
            <w:r>
              <w:t>11.</w:t>
            </w:r>
          </w:p>
        </w:tc>
        <w:tc>
          <w:tcPr>
            <w:tcW w:w="4253" w:type="dxa"/>
          </w:tcPr>
          <w:p>
            <w:pPr>
              <w:pStyle w:val="yTableNAm"/>
            </w:pPr>
            <w:r>
              <w:t>Esperance</w:t>
            </w:r>
          </w:p>
        </w:tc>
        <w:tc>
          <w:tcPr>
            <w:tcW w:w="1134" w:type="dxa"/>
          </w:tcPr>
          <w:p>
            <w:pPr>
              <w:pStyle w:val="yTableNAm"/>
              <w:jc w:val="center"/>
            </w:pPr>
            <w:r>
              <w:rPr>
                <w:szCs w:val="22"/>
              </w:rPr>
              <w:t>0.057</w:t>
            </w:r>
          </w:p>
        </w:tc>
      </w:tr>
      <w:tr>
        <w:trPr>
          <w:cantSplit/>
        </w:trPr>
        <w:tc>
          <w:tcPr>
            <w:tcW w:w="708" w:type="dxa"/>
          </w:tcPr>
          <w:p>
            <w:pPr>
              <w:pStyle w:val="yTableNAm"/>
            </w:pPr>
            <w:r>
              <w:t>12.</w:t>
            </w:r>
          </w:p>
        </w:tc>
        <w:tc>
          <w:tcPr>
            <w:tcW w:w="4253" w:type="dxa"/>
          </w:tcPr>
          <w:p>
            <w:pPr>
              <w:pStyle w:val="yTableNAm"/>
            </w:pPr>
            <w:r>
              <w:t>Exmouth</w:t>
            </w:r>
          </w:p>
        </w:tc>
        <w:tc>
          <w:tcPr>
            <w:tcW w:w="1134" w:type="dxa"/>
          </w:tcPr>
          <w:p>
            <w:pPr>
              <w:pStyle w:val="yTableNAm"/>
              <w:jc w:val="center"/>
            </w:pPr>
            <w:r>
              <w:rPr>
                <w:szCs w:val="22"/>
              </w:rPr>
              <w:t>0.057</w:t>
            </w:r>
          </w:p>
        </w:tc>
      </w:tr>
      <w:tr>
        <w:trPr>
          <w:cantSplit/>
        </w:trPr>
        <w:tc>
          <w:tcPr>
            <w:tcW w:w="708" w:type="dxa"/>
          </w:tcPr>
          <w:p>
            <w:pPr>
              <w:pStyle w:val="yTableNAm"/>
            </w:pPr>
            <w:r>
              <w:t>13.</w:t>
            </w:r>
          </w:p>
        </w:tc>
        <w:tc>
          <w:tcPr>
            <w:tcW w:w="4253" w:type="dxa"/>
          </w:tcPr>
          <w:p>
            <w:pPr>
              <w:pStyle w:val="yTableNAm"/>
            </w:pPr>
            <w:r>
              <w:t>Fremantle, at Fremantle Fishing Boat Harbour</w:t>
            </w:r>
          </w:p>
        </w:tc>
        <w:tc>
          <w:tcPr>
            <w:tcW w:w="1134" w:type="dxa"/>
          </w:tcPr>
          <w:p>
            <w:pPr>
              <w:pStyle w:val="yTableNAm"/>
              <w:jc w:val="center"/>
              <w:rPr>
                <w:szCs w:val="22"/>
              </w:rPr>
            </w:pPr>
            <w:r>
              <w:rPr>
                <w:szCs w:val="22"/>
              </w:rPr>
              <w:t>0.057</w:t>
            </w:r>
          </w:p>
        </w:tc>
      </w:tr>
      <w:tr>
        <w:trPr>
          <w:cantSplit/>
        </w:trPr>
        <w:tc>
          <w:tcPr>
            <w:tcW w:w="708" w:type="dxa"/>
          </w:tcPr>
          <w:p>
            <w:pPr>
              <w:pStyle w:val="yTableNAm"/>
            </w:pPr>
            <w:r>
              <w:t>14.</w:t>
            </w:r>
          </w:p>
        </w:tc>
        <w:tc>
          <w:tcPr>
            <w:tcW w:w="4253" w:type="dxa"/>
          </w:tcPr>
          <w:p>
            <w:pPr>
              <w:pStyle w:val="yTableNAm"/>
            </w:pPr>
            <w:r>
              <w:t>Green Head</w:t>
            </w:r>
          </w:p>
        </w:tc>
        <w:tc>
          <w:tcPr>
            <w:tcW w:w="1134" w:type="dxa"/>
          </w:tcPr>
          <w:p>
            <w:pPr>
              <w:pStyle w:val="yTableNAm"/>
              <w:jc w:val="center"/>
              <w:rPr>
                <w:szCs w:val="22"/>
              </w:rPr>
            </w:pPr>
            <w:r>
              <w:rPr>
                <w:szCs w:val="22"/>
              </w:rPr>
              <w:t>0.057</w:t>
            </w:r>
          </w:p>
        </w:tc>
      </w:tr>
      <w:tr>
        <w:trPr>
          <w:cantSplit/>
        </w:trPr>
        <w:tc>
          <w:tcPr>
            <w:tcW w:w="708" w:type="dxa"/>
          </w:tcPr>
          <w:p>
            <w:pPr>
              <w:pStyle w:val="yTableNAm"/>
            </w:pPr>
            <w:r>
              <w:t>15.</w:t>
            </w:r>
          </w:p>
        </w:tc>
        <w:tc>
          <w:tcPr>
            <w:tcW w:w="4253" w:type="dxa"/>
          </w:tcPr>
          <w:p>
            <w:pPr>
              <w:pStyle w:val="yTableNAm"/>
            </w:pPr>
            <w:r>
              <w:t>Hillarys Boat Harbour</w:t>
            </w:r>
          </w:p>
        </w:tc>
        <w:tc>
          <w:tcPr>
            <w:tcW w:w="1134" w:type="dxa"/>
          </w:tcPr>
          <w:p>
            <w:pPr>
              <w:pStyle w:val="yTableNAm"/>
              <w:jc w:val="center"/>
              <w:rPr>
                <w:szCs w:val="22"/>
              </w:rPr>
            </w:pPr>
            <w:r>
              <w:rPr>
                <w:szCs w:val="22"/>
              </w:rPr>
              <w:t>0.057</w:t>
            </w:r>
          </w:p>
        </w:tc>
      </w:tr>
      <w:tr>
        <w:trPr>
          <w:cantSplit/>
        </w:trPr>
        <w:tc>
          <w:tcPr>
            <w:tcW w:w="708" w:type="dxa"/>
          </w:tcPr>
          <w:p>
            <w:pPr>
              <w:pStyle w:val="yTableNAm"/>
            </w:pPr>
            <w:r>
              <w:t>16.</w:t>
            </w:r>
          </w:p>
        </w:tc>
        <w:tc>
          <w:tcPr>
            <w:tcW w:w="4253" w:type="dxa"/>
          </w:tcPr>
          <w:p>
            <w:pPr>
              <w:pStyle w:val="yTableNAm"/>
            </w:pPr>
            <w:r>
              <w:t>Hopetoun</w:t>
            </w:r>
          </w:p>
        </w:tc>
        <w:tc>
          <w:tcPr>
            <w:tcW w:w="1134" w:type="dxa"/>
          </w:tcPr>
          <w:p>
            <w:pPr>
              <w:pStyle w:val="yTableNAm"/>
              <w:jc w:val="center"/>
              <w:rPr>
                <w:szCs w:val="22"/>
              </w:rPr>
            </w:pPr>
            <w:r>
              <w:rPr>
                <w:szCs w:val="22"/>
              </w:rPr>
              <w:t>0.057</w:t>
            </w:r>
          </w:p>
        </w:tc>
      </w:tr>
      <w:tr>
        <w:trPr>
          <w:cantSplit/>
        </w:trPr>
        <w:tc>
          <w:tcPr>
            <w:tcW w:w="708" w:type="dxa"/>
          </w:tcPr>
          <w:p>
            <w:pPr>
              <w:pStyle w:val="yTableNAm"/>
            </w:pPr>
            <w:r>
              <w:t>17.</w:t>
            </w:r>
          </w:p>
        </w:tc>
        <w:tc>
          <w:tcPr>
            <w:tcW w:w="4253" w:type="dxa"/>
          </w:tcPr>
          <w:p>
            <w:pPr>
              <w:pStyle w:val="yTableNAm"/>
            </w:pPr>
            <w:r>
              <w:t>Jurien</w:t>
            </w:r>
          </w:p>
        </w:tc>
        <w:tc>
          <w:tcPr>
            <w:tcW w:w="1134" w:type="dxa"/>
          </w:tcPr>
          <w:p>
            <w:pPr>
              <w:pStyle w:val="yTableNAm"/>
              <w:jc w:val="center"/>
              <w:rPr>
                <w:szCs w:val="22"/>
              </w:rPr>
            </w:pPr>
            <w:r>
              <w:rPr>
                <w:szCs w:val="22"/>
              </w:rPr>
              <w:t>0.057</w:t>
            </w:r>
          </w:p>
        </w:tc>
      </w:tr>
      <w:tr>
        <w:trPr>
          <w:cantSplit/>
        </w:trPr>
        <w:tc>
          <w:tcPr>
            <w:tcW w:w="708" w:type="dxa"/>
          </w:tcPr>
          <w:p>
            <w:pPr>
              <w:pStyle w:val="yTableNAm"/>
            </w:pPr>
            <w:r>
              <w:t>18.</w:t>
            </w:r>
          </w:p>
        </w:tc>
        <w:tc>
          <w:tcPr>
            <w:tcW w:w="4253" w:type="dxa"/>
          </w:tcPr>
          <w:p>
            <w:pPr>
              <w:pStyle w:val="yTableNAm"/>
            </w:pPr>
            <w:r>
              <w:t>Kalbarri</w:t>
            </w:r>
          </w:p>
        </w:tc>
        <w:tc>
          <w:tcPr>
            <w:tcW w:w="1134" w:type="dxa"/>
          </w:tcPr>
          <w:p>
            <w:pPr>
              <w:pStyle w:val="yTableNAm"/>
              <w:jc w:val="center"/>
              <w:rPr>
                <w:szCs w:val="22"/>
              </w:rPr>
            </w:pPr>
            <w:r>
              <w:rPr>
                <w:szCs w:val="22"/>
              </w:rPr>
              <w:t>0.057</w:t>
            </w:r>
          </w:p>
        </w:tc>
      </w:tr>
      <w:tr>
        <w:trPr>
          <w:cantSplit/>
        </w:trPr>
        <w:tc>
          <w:tcPr>
            <w:tcW w:w="708" w:type="dxa"/>
          </w:tcPr>
          <w:p>
            <w:pPr>
              <w:pStyle w:val="yTableNAm"/>
            </w:pPr>
            <w:r>
              <w:t>19.</w:t>
            </w:r>
          </w:p>
        </w:tc>
        <w:tc>
          <w:tcPr>
            <w:tcW w:w="4253" w:type="dxa"/>
          </w:tcPr>
          <w:p>
            <w:pPr>
              <w:pStyle w:val="yTableNAm"/>
            </w:pPr>
            <w:r>
              <w:t>Lancelin</w:t>
            </w:r>
          </w:p>
        </w:tc>
        <w:tc>
          <w:tcPr>
            <w:tcW w:w="1134" w:type="dxa"/>
          </w:tcPr>
          <w:p>
            <w:pPr>
              <w:pStyle w:val="yTableNAm"/>
              <w:jc w:val="center"/>
              <w:rPr>
                <w:szCs w:val="22"/>
              </w:rPr>
            </w:pPr>
            <w:r>
              <w:rPr>
                <w:szCs w:val="22"/>
              </w:rPr>
              <w:t>0.057</w:t>
            </w:r>
          </w:p>
        </w:tc>
      </w:tr>
      <w:tr>
        <w:trPr>
          <w:cantSplit/>
        </w:trPr>
        <w:tc>
          <w:tcPr>
            <w:tcW w:w="708" w:type="dxa"/>
          </w:tcPr>
          <w:p>
            <w:pPr>
              <w:pStyle w:val="yTableNAm"/>
            </w:pPr>
            <w:r>
              <w:t>20.</w:t>
            </w:r>
          </w:p>
        </w:tc>
        <w:tc>
          <w:tcPr>
            <w:tcW w:w="4253" w:type="dxa"/>
          </w:tcPr>
          <w:p>
            <w:pPr>
              <w:pStyle w:val="yTableNAm"/>
            </w:pPr>
            <w:r>
              <w:t>Leeman</w:t>
            </w:r>
          </w:p>
        </w:tc>
        <w:tc>
          <w:tcPr>
            <w:tcW w:w="1134" w:type="dxa"/>
          </w:tcPr>
          <w:p>
            <w:pPr>
              <w:pStyle w:val="yTableNAm"/>
              <w:jc w:val="center"/>
              <w:rPr>
                <w:szCs w:val="22"/>
              </w:rPr>
            </w:pPr>
            <w:r>
              <w:rPr>
                <w:szCs w:val="22"/>
              </w:rPr>
              <w:t>0.057</w:t>
            </w:r>
          </w:p>
        </w:tc>
      </w:tr>
      <w:tr>
        <w:trPr>
          <w:cantSplit/>
        </w:trPr>
        <w:tc>
          <w:tcPr>
            <w:tcW w:w="708" w:type="dxa"/>
          </w:tcPr>
          <w:p>
            <w:pPr>
              <w:pStyle w:val="yTableNAm"/>
            </w:pPr>
            <w:r>
              <w:t>21.</w:t>
            </w:r>
          </w:p>
        </w:tc>
        <w:tc>
          <w:tcPr>
            <w:tcW w:w="4253" w:type="dxa"/>
          </w:tcPr>
          <w:p>
            <w:pPr>
              <w:pStyle w:val="yTableNAm"/>
            </w:pPr>
            <w:r>
              <w:t>Onslow, at Beadon Creek Boat Harbour</w:t>
            </w:r>
          </w:p>
        </w:tc>
        <w:tc>
          <w:tcPr>
            <w:tcW w:w="1134" w:type="dxa"/>
          </w:tcPr>
          <w:p>
            <w:pPr>
              <w:pStyle w:val="yTableNAm"/>
              <w:jc w:val="center"/>
              <w:rPr>
                <w:szCs w:val="22"/>
              </w:rPr>
            </w:pPr>
            <w:r>
              <w:rPr>
                <w:szCs w:val="22"/>
              </w:rPr>
              <w:t>0.057</w:t>
            </w:r>
          </w:p>
        </w:tc>
      </w:tr>
      <w:tr>
        <w:trPr>
          <w:cantSplit/>
        </w:trPr>
        <w:tc>
          <w:tcPr>
            <w:tcW w:w="708" w:type="dxa"/>
          </w:tcPr>
          <w:p>
            <w:pPr>
              <w:pStyle w:val="yTableNAm"/>
            </w:pPr>
            <w:r>
              <w:t>22.</w:t>
            </w:r>
          </w:p>
        </w:tc>
        <w:tc>
          <w:tcPr>
            <w:tcW w:w="4253" w:type="dxa"/>
          </w:tcPr>
          <w:p>
            <w:pPr>
              <w:pStyle w:val="yTableNAm"/>
            </w:pPr>
            <w:r>
              <w:t>Point Samson, at Johns Creek Boat Harbour</w:t>
            </w:r>
          </w:p>
        </w:tc>
        <w:tc>
          <w:tcPr>
            <w:tcW w:w="1134" w:type="dxa"/>
          </w:tcPr>
          <w:p>
            <w:pPr>
              <w:pStyle w:val="yTableNAm"/>
              <w:jc w:val="center"/>
              <w:rPr>
                <w:szCs w:val="22"/>
              </w:rPr>
            </w:pPr>
            <w:r>
              <w:rPr>
                <w:szCs w:val="22"/>
              </w:rPr>
              <w:t>0.057</w:t>
            </w:r>
          </w:p>
        </w:tc>
      </w:tr>
      <w:tr>
        <w:trPr>
          <w:cantSplit/>
        </w:trPr>
        <w:tc>
          <w:tcPr>
            <w:tcW w:w="708" w:type="dxa"/>
          </w:tcPr>
          <w:p>
            <w:pPr>
              <w:pStyle w:val="yTableNAm"/>
            </w:pPr>
            <w:r>
              <w:t>23.</w:t>
            </w:r>
          </w:p>
        </w:tc>
        <w:tc>
          <w:tcPr>
            <w:tcW w:w="4253" w:type="dxa"/>
          </w:tcPr>
          <w:p>
            <w:pPr>
              <w:pStyle w:val="yTableNAm"/>
            </w:pPr>
            <w:r>
              <w:t>Port Denison</w:t>
            </w:r>
          </w:p>
        </w:tc>
        <w:tc>
          <w:tcPr>
            <w:tcW w:w="1134" w:type="dxa"/>
          </w:tcPr>
          <w:p>
            <w:pPr>
              <w:pStyle w:val="yTableNAm"/>
              <w:jc w:val="center"/>
              <w:rPr>
                <w:szCs w:val="22"/>
              </w:rPr>
            </w:pPr>
            <w:r>
              <w:rPr>
                <w:szCs w:val="22"/>
              </w:rPr>
              <w:t>0.057</w:t>
            </w:r>
          </w:p>
        </w:tc>
      </w:tr>
      <w:tr>
        <w:trPr>
          <w:cantSplit/>
        </w:trPr>
        <w:tc>
          <w:tcPr>
            <w:tcW w:w="708" w:type="dxa"/>
          </w:tcPr>
          <w:p>
            <w:pPr>
              <w:pStyle w:val="yTableNAm"/>
            </w:pPr>
            <w:r>
              <w:t>24.</w:t>
            </w:r>
          </w:p>
        </w:tc>
        <w:tc>
          <w:tcPr>
            <w:tcW w:w="4253" w:type="dxa"/>
          </w:tcPr>
          <w:p>
            <w:pPr>
              <w:pStyle w:val="yTableNAm"/>
            </w:pPr>
            <w:r>
              <w:t>Port Gregory</w:t>
            </w:r>
          </w:p>
        </w:tc>
        <w:tc>
          <w:tcPr>
            <w:tcW w:w="1134" w:type="dxa"/>
          </w:tcPr>
          <w:p>
            <w:pPr>
              <w:pStyle w:val="yTableNAm"/>
              <w:jc w:val="center"/>
              <w:rPr>
                <w:szCs w:val="22"/>
              </w:rPr>
            </w:pPr>
            <w:r>
              <w:rPr>
                <w:szCs w:val="22"/>
              </w:rPr>
              <w:t>0.057</w:t>
            </w:r>
          </w:p>
        </w:tc>
      </w:tr>
      <w:tr>
        <w:trPr>
          <w:cantSplit/>
        </w:trPr>
        <w:tc>
          <w:tcPr>
            <w:tcW w:w="708" w:type="dxa"/>
          </w:tcPr>
          <w:p>
            <w:pPr>
              <w:pStyle w:val="yTableNAm"/>
            </w:pPr>
            <w:r>
              <w:t>25.</w:t>
            </w:r>
          </w:p>
        </w:tc>
        <w:tc>
          <w:tcPr>
            <w:tcW w:w="4253" w:type="dxa"/>
          </w:tcPr>
          <w:p>
            <w:pPr>
              <w:pStyle w:val="yTableNAm"/>
            </w:pPr>
            <w:r>
              <w:t>Two Rocks Marina</w:t>
            </w:r>
          </w:p>
        </w:tc>
        <w:tc>
          <w:tcPr>
            <w:tcW w:w="1134" w:type="dxa"/>
          </w:tcPr>
          <w:p>
            <w:pPr>
              <w:pStyle w:val="yTableNAm"/>
              <w:jc w:val="center"/>
              <w:rPr>
                <w:szCs w:val="22"/>
              </w:rPr>
            </w:pPr>
            <w:r>
              <w:rPr>
                <w:szCs w:val="22"/>
              </w:rPr>
              <w:t>0.057</w:t>
            </w:r>
          </w:p>
        </w:tc>
      </w:tr>
      <w:tr>
        <w:trPr>
          <w:cantSplit/>
        </w:trPr>
        <w:tc>
          <w:tcPr>
            <w:tcW w:w="708" w:type="dxa"/>
            <w:tcBorders>
              <w:bottom w:val="single" w:sz="4" w:space="0" w:color="auto"/>
            </w:tcBorders>
          </w:tcPr>
          <w:p>
            <w:pPr>
              <w:pStyle w:val="yTableNAm"/>
            </w:pPr>
            <w:r>
              <w:t>26.</w:t>
            </w:r>
          </w:p>
        </w:tc>
        <w:tc>
          <w:tcPr>
            <w:tcW w:w="4253" w:type="dxa"/>
            <w:tcBorders>
              <w:bottom w:val="single" w:sz="4" w:space="0" w:color="auto"/>
            </w:tcBorders>
          </w:tcPr>
          <w:p>
            <w:pPr>
              <w:pStyle w:val="yTableNAm"/>
            </w:pPr>
            <w:r>
              <w:t>Wyndham</w:t>
            </w:r>
          </w:p>
        </w:tc>
        <w:tc>
          <w:tcPr>
            <w:tcW w:w="1134" w:type="dxa"/>
            <w:tcBorders>
              <w:bottom w:val="single" w:sz="4" w:space="0" w:color="auto"/>
            </w:tcBorders>
          </w:tcPr>
          <w:p>
            <w:pPr>
              <w:pStyle w:val="yTableNAm"/>
              <w:jc w:val="center"/>
            </w:pPr>
            <w:r>
              <w:rPr>
                <w:szCs w:val="22"/>
              </w:rPr>
              <w:t>0.01137</w:t>
            </w:r>
            <w:r>
              <w:rPr>
                <w:szCs w:val="22"/>
              </w:rPr>
              <w:br/>
            </w:r>
          </w:p>
        </w:tc>
      </w:tr>
    </w:tbl>
    <w:p>
      <w:pPr>
        <w:pStyle w:val="yFootnotesection"/>
      </w:pPr>
      <w:r>
        <w:tab/>
        <w:t>[Clause 1 inserted in Gazette 22 Jul 2015 p. 2989</w:t>
      </w:r>
      <w:r>
        <w:noBreakHyphen/>
        <w:t>90; amended in Gazette 15 Apr 2016 p. 1181; 26 May 2017 p. 2631.]</w:t>
      </w:r>
    </w:p>
    <w:p>
      <w:pPr>
        <w:pStyle w:val="yScheduleHeading"/>
      </w:pPr>
      <w:bookmarkStart w:id="391" w:name="_Toc470188456"/>
      <w:bookmarkStart w:id="392" w:name="_Toc483481955"/>
      <w:bookmarkStart w:id="393" w:name="_Toc483493821"/>
      <w:bookmarkStart w:id="394" w:name="_Toc483552928"/>
      <w:bookmarkStart w:id="395" w:name="_Toc485378276"/>
      <w:bookmarkStart w:id="396" w:name="_Toc486502635"/>
      <w:bookmarkStart w:id="397" w:name="_Toc486502839"/>
      <w:bookmarkStart w:id="398" w:name="_Toc486503043"/>
      <w:r>
        <w:rPr>
          <w:rStyle w:val="CharSchNo"/>
        </w:rPr>
        <w:t>Schedule 2</w:t>
      </w:r>
      <w:r>
        <w:t> — </w:t>
      </w:r>
      <w:r>
        <w:rPr>
          <w:rStyle w:val="CharSchText"/>
        </w:rPr>
        <w:t>Port of Perth charges</w:t>
      </w:r>
      <w:bookmarkEnd w:id="391"/>
      <w:bookmarkEnd w:id="392"/>
      <w:bookmarkEnd w:id="393"/>
      <w:bookmarkEnd w:id="394"/>
      <w:bookmarkEnd w:id="395"/>
      <w:bookmarkEnd w:id="396"/>
      <w:bookmarkEnd w:id="397"/>
      <w:bookmarkEnd w:id="398"/>
    </w:p>
    <w:p>
      <w:pPr>
        <w:pStyle w:val="yShoulderClause"/>
      </w:pPr>
      <w:r>
        <w:t>[r. 72]</w:t>
      </w:r>
    </w:p>
    <w:p>
      <w:pPr>
        <w:pStyle w:val="yFootnoteheading"/>
      </w:pPr>
      <w:r>
        <w:tab/>
        <w:t>[Heading inserted in Gazette 22 Jul 2015 p. 2990.]</w:t>
      </w:r>
    </w:p>
    <w:p>
      <w:pPr>
        <w:pStyle w:val="yHeading3"/>
      </w:pPr>
      <w:bookmarkStart w:id="399" w:name="_Toc470188457"/>
      <w:bookmarkStart w:id="400" w:name="_Toc483481956"/>
      <w:bookmarkStart w:id="401" w:name="_Toc483493822"/>
      <w:bookmarkStart w:id="402" w:name="_Toc483552929"/>
      <w:bookmarkStart w:id="403" w:name="_Toc485378277"/>
      <w:bookmarkStart w:id="404" w:name="_Toc486502636"/>
      <w:bookmarkStart w:id="405" w:name="_Toc486502840"/>
      <w:bookmarkStart w:id="406" w:name="_Toc486503044"/>
      <w:r>
        <w:rPr>
          <w:rStyle w:val="CharSDivNo"/>
        </w:rPr>
        <w:t>Division 1A</w:t>
      </w:r>
      <w:r>
        <w:rPr>
          <w:b w:val="0"/>
        </w:rPr>
        <w:t> — </w:t>
      </w:r>
      <w:r>
        <w:rPr>
          <w:rStyle w:val="CharSDivText"/>
        </w:rPr>
        <w:t>Application and Standard rates</w:t>
      </w:r>
      <w:bookmarkEnd w:id="399"/>
      <w:bookmarkEnd w:id="400"/>
      <w:bookmarkEnd w:id="401"/>
      <w:bookmarkEnd w:id="402"/>
      <w:bookmarkEnd w:id="403"/>
      <w:bookmarkEnd w:id="404"/>
      <w:bookmarkEnd w:id="405"/>
      <w:bookmarkEnd w:id="406"/>
    </w:p>
    <w:p>
      <w:pPr>
        <w:pStyle w:val="yFootnoteheading"/>
      </w:pPr>
      <w:r>
        <w:tab/>
        <w:t>[Heading inserted in Gazette 22 Jul 2015 p. 2990.]</w:t>
      </w:r>
    </w:p>
    <w:p>
      <w:pPr>
        <w:pStyle w:val="yHeading5"/>
      </w:pPr>
      <w:bookmarkStart w:id="407" w:name="_Toc486503045"/>
      <w:r>
        <w:rPr>
          <w:rStyle w:val="CharSClsNo"/>
        </w:rPr>
        <w:t>1A</w:t>
      </w:r>
      <w:r>
        <w:t>.</w:t>
      </w:r>
      <w:r>
        <w:tab/>
        <w:t>Application of this Schedule</w:t>
      </w:r>
      <w:bookmarkEnd w:id="407"/>
    </w:p>
    <w:p>
      <w:pPr>
        <w:pStyle w:val="ySubsection"/>
      </w:pPr>
      <w:r>
        <w:tab/>
      </w:r>
      <w:r>
        <w:tab/>
        <w:t>The charges in this Schedule apply to the specified jetties and harbours in addition to the charges that apply State</w:t>
      </w:r>
      <w:r>
        <w:noBreakHyphen/>
        <w:t>wide under Schedule 1 Division 2.</w:t>
      </w:r>
    </w:p>
    <w:p>
      <w:pPr>
        <w:pStyle w:val="yFootnotesection"/>
      </w:pPr>
      <w:r>
        <w:tab/>
        <w:t>[Clause 1A inserted in Gazette 22 Jul 2015 p. 2990.]</w:t>
      </w:r>
    </w:p>
    <w:p>
      <w:pPr>
        <w:pStyle w:val="yHeading5"/>
      </w:pPr>
      <w:bookmarkStart w:id="408" w:name="_Toc486503046"/>
      <w:r>
        <w:rPr>
          <w:rStyle w:val="CharSClsNo"/>
        </w:rPr>
        <w:t>1B</w:t>
      </w:r>
      <w:r>
        <w:t>.</w:t>
      </w:r>
      <w:r>
        <w:tab/>
        <w:t>Standard rates for this Schedule</w:t>
      </w:r>
      <w:bookmarkEnd w:id="408"/>
    </w:p>
    <w:p>
      <w:pPr>
        <w:pStyle w:val="ySubsection"/>
      </w:pPr>
      <w:r>
        <w:tab/>
      </w:r>
      <w:r>
        <w:tab/>
        <w:t xml:space="preserve">In this Schedule, the following rates are standard rates — </w:t>
      </w:r>
    </w:p>
    <w:p>
      <w:pPr>
        <w:pStyle w:val="ySubsection"/>
        <w:rPr>
          <w:b/>
        </w:rPr>
      </w:pPr>
      <w:r>
        <w:rPr>
          <w:b/>
        </w:rPr>
        <w:tab/>
      </w:r>
      <w:r>
        <w:rPr>
          <w:b/>
        </w:rPr>
        <w:tab/>
        <w:t xml:space="preserve">Rate 1: a casual daily rate of </w:t>
      </w:r>
      <w:r>
        <w:rPr>
          <w:b/>
          <w:szCs w:val="22"/>
        </w:rPr>
        <w:t>$7.45</w:t>
      </w:r>
      <w:r>
        <w:rPr>
          <w:b/>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 xml:space="preserve">Rate 2: a casual daily rate of </w:t>
      </w:r>
      <w:r>
        <w:rPr>
          <w:b/>
          <w:szCs w:val="22"/>
        </w:rPr>
        <w:t>$52.40</w:t>
      </w:r>
    </w:p>
    <w:p>
      <w:pPr>
        <w:pStyle w:val="ySubsection"/>
      </w:pPr>
      <w:r>
        <w:tab/>
      </w:r>
      <w:r>
        <w:tab/>
        <w:t>Typically used to calculate the standard daily rate for casual use of a pen or alongside berth for a recreational vessel.</w:t>
      </w:r>
    </w:p>
    <w:p>
      <w:pPr>
        <w:pStyle w:val="ySubsection"/>
        <w:rPr>
          <w:b/>
        </w:rPr>
      </w:pPr>
      <w:r>
        <w:rPr>
          <w:b/>
        </w:rPr>
        <w:tab/>
      </w:r>
      <w:r>
        <w:rPr>
          <w:b/>
        </w:rPr>
        <w:tab/>
        <w:t xml:space="preserve">Rate 3: an annual rate of </w:t>
      </w:r>
      <w:r>
        <w:rPr>
          <w:b/>
          <w:szCs w:val="22"/>
        </w:rPr>
        <w:t>$84.00</w:t>
      </w:r>
      <w:r>
        <w:rPr>
          <w:b/>
        </w:rPr>
        <w:t xml:space="preserve"> per metre of the vessel’s length</w:t>
      </w:r>
    </w:p>
    <w:p>
      <w:pPr>
        <w:pStyle w:val="ySubsection"/>
      </w:pPr>
      <w:r>
        <w:tab/>
      </w:r>
      <w:r>
        <w:tab/>
        <w:t>Typically used to calculate the standard annual rate for short term use of a service wharf or jetty for a vessel.</w:t>
      </w:r>
    </w:p>
    <w:p>
      <w:pPr>
        <w:pStyle w:val="yFootnotesection"/>
      </w:pPr>
      <w:r>
        <w:tab/>
        <w:t>[Clause 1B inserted in Gazette 22 Jul 2015 p. 2991; amended in Gazette 15 Apr 2016 p. 1181; 26 May 2017 p. 2631.]</w:t>
      </w:r>
    </w:p>
    <w:p>
      <w:pPr>
        <w:pStyle w:val="yHeading5"/>
      </w:pPr>
      <w:bookmarkStart w:id="409" w:name="_Toc486503047"/>
      <w:r>
        <w:rPr>
          <w:rStyle w:val="CharSClsNo"/>
        </w:rPr>
        <w:t>1C</w:t>
      </w:r>
      <w:r>
        <w:t>.</w:t>
      </w:r>
      <w:r>
        <w:tab/>
        <w:t>Transferability of annual payments</w:t>
      </w:r>
      <w:bookmarkEnd w:id="409"/>
    </w:p>
    <w:p>
      <w:pPr>
        <w:pStyle w:val="ySubsection"/>
      </w:pPr>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1C inserted in Gazette 22 Jul 2015 p. 2991.]</w:t>
      </w:r>
    </w:p>
    <w:p>
      <w:pPr>
        <w:pStyle w:val="yHeading5"/>
      </w:pPr>
      <w:bookmarkStart w:id="410" w:name="_Toc486503048"/>
      <w:r>
        <w:rPr>
          <w:rStyle w:val="CharSClsNo"/>
        </w:rPr>
        <w:t>1D</w:t>
      </w:r>
      <w:r>
        <w:t>.</w:t>
      </w:r>
      <w:r>
        <w:tab/>
        <w:t>Service wharf or jetty entitlements</w:t>
      </w:r>
      <w:bookmarkEnd w:id="410"/>
    </w:p>
    <w:p>
      <w:pPr>
        <w:pStyle w:val="ySubsection"/>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1D inserted in Gazette 22 Jul 2015 p. 2991.]</w:t>
      </w:r>
    </w:p>
    <w:p>
      <w:pPr>
        <w:pStyle w:val="yHeading5"/>
      </w:pPr>
      <w:bookmarkStart w:id="411" w:name="_Toc486503049"/>
      <w:r>
        <w:rPr>
          <w:rStyle w:val="CharSClsNo"/>
        </w:rPr>
        <w:t>1E</w:t>
      </w:r>
      <w:r>
        <w:t>.</w:t>
      </w:r>
      <w:r>
        <w:tab/>
        <w:t>Active loading and unloading</w:t>
      </w:r>
      <w:bookmarkEnd w:id="411"/>
    </w:p>
    <w:p>
      <w:pPr>
        <w:pStyle w:val="ySubsection"/>
      </w:pPr>
      <w:r>
        <w:tab/>
      </w:r>
      <w:r>
        <w:tab/>
        <w:t xml:space="preserve">A fishing vessel for which there has been paid an amount in accordance with clause 1C or 1D may remain at a service wharf or jetty for longer than the one hour allowed under those items,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1E inserted in Gazette 5 Apr 2016 p. 1025.]</w:t>
      </w:r>
    </w:p>
    <w:p>
      <w:pPr>
        <w:pStyle w:val="yHeading5"/>
      </w:pPr>
      <w:bookmarkStart w:id="412" w:name="_Toc486503050"/>
      <w:r>
        <w:rPr>
          <w:rStyle w:val="CharSClsNo"/>
        </w:rPr>
        <w:t>1F</w:t>
      </w:r>
      <w:r>
        <w:t>.</w:t>
      </w:r>
      <w:r>
        <w:tab/>
        <w:t>Wyndham excluded</w:t>
      </w:r>
      <w:bookmarkEnd w:id="412"/>
    </w:p>
    <w:p>
      <w:pPr>
        <w:pStyle w:val="ySubsection"/>
      </w:pPr>
      <w:r>
        <w:rPr>
          <w:szCs w:val="22"/>
        </w:rPr>
        <w:tab/>
      </w:r>
      <w:r>
        <w:rPr>
          <w:szCs w:val="22"/>
        </w:rPr>
        <w:tab/>
      </w:r>
      <w:r>
        <w:t>Clauses 1B, 1C, 1D and 1E do not apply to a vessel in the Port of Wyndham.</w:t>
      </w:r>
    </w:p>
    <w:p>
      <w:pPr>
        <w:pStyle w:val="yFootnotesection"/>
      </w:pPr>
      <w:r>
        <w:tab/>
        <w:t>[Clause 1F inserted in Gazette 5 Apr 2016 p. 1025.]</w:t>
      </w:r>
    </w:p>
    <w:p>
      <w:pPr>
        <w:pStyle w:val="yHeading3"/>
      </w:pPr>
      <w:bookmarkStart w:id="413" w:name="_Toc470188464"/>
      <w:bookmarkStart w:id="414" w:name="_Toc483481963"/>
      <w:bookmarkStart w:id="415" w:name="_Toc483493829"/>
      <w:bookmarkStart w:id="416" w:name="_Toc483552936"/>
      <w:bookmarkStart w:id="417" w:name="_Toc485378284"/>
      <w:bookmarkStart w:id="418" w:name="_Toc486502643"/>
      <w:bookmarkStart w:id="419" w:name="_Toc486502847"/>
      <w:bookmarkStart w:id="420" w:name="_Toc486503051"/>
      <w:r>
        <w:rPr>
          <w:rStyle w:val="CharSDivNo"/>
        </w:rPr>
        <w:t>Division 1</w:t>
      </w:r>
      <w:r>
        <w:rPr>
          <w:b w:val="0"/>
        </w:rPr>
        <w:t> — </w:t>
      </w:r>
      <w:r>
        <w:rPr>
          <w:rStyle w:val="CharSDivText"/>
        </w:rPr>
        <w:t>Specific charges for Port of Perth jetties</w:t>
      </w:r>
      <w:bookmarkEnd w:id="413"/>
      <w:bookmarkEnd w:id="414"/>
      <w:bookmarkEnd w:id="415"/>
      <w:bookmarkEnd w:id="416"/>
      <w:bookmarkEnd w:id="417"/>
      <w:bookmarkEnd w:id="418"/>
      <w:bookmarkEnd w:id="419"/>
      <w:bookmarkEnd w:id="420"/>
    </w:p>
    <w:p>
      <w:pPr>
        <w:pStyle w:val="yFootnoteheading"/>
      </w:pPr>
      <w:r>
        <w:tab/>
        <w:t>[Heading inserted in Gazette 22 Jul 2015 p. 2992.]</w:t>
      </w:r>
    </w:p>
    <w:p>
      <w:pPr>
        <w:pStyle w:val="yHeading5"/>
      </w:pPr>
      <w:bookmarkStart w:id="421" w:name="_Toc486503052"/>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421"/>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1.1.</w:t>
      </w:r>
    </w:p>
    <w:p>
      <w:pPr>
        <w:pStyle w:val="yTHeadingNAm"/>
        <w:ind w:left="993"/>
      </w:pPr>
      <w:r>
        <w:t>Table 1.1 (Jetty permits)</w:t>
      </w:r>
    </w:p>
    <w:tbl>
      <w:tblPr>
        <w:tblW w:w="6010" w:type="dxa"/>
        <w:tblInd w:w="1135" w:type="dxa"/>
        <w:tblLayout w:type="fixed"/>
        <w:tblCellMar>
          <w:top w:w="57" w:type="dxa"/>
          <w:left w:w="57" w:type="dxa"/>
          <w:right w:w="57" w:type="dxa"/>
        </w:tblCellMar>
        <w:tblLook w:val="0000" w:firstRow="0" w:lastRow="0" w:firstColumn="0" w:lastColumn="0" w:noHBand="0" w:noVBand="0"/>
      </w:tblPr>
      <w:tblGrid>
        <w:gridCol w:w="630"/>
        <w:gridCol w:w="5380"/>
      </w:tblGrid>
      <w:tr>
        <w:trPr>
          <w:cantSplit/>
          <w:tblHeader/>
        </w:trPr>
        <w:tc>
          <w:tcPr>
            <w:tcW w:w="630" w:type="dxa"/>
            <w:tcBorders>
              <w:top w:val="single" w:sz="4" w:space="0" w:color="auto"/>
              <w:bottom w:val="single" w:sz="4" w:space="0" w:color="auto"/>
            </w:tcBorders>
          </w:tcPr>
          <w:p>
            <w:pPr>
              <w:pStyle w:val="yTableNAm"/>
            </w:pPr>
            <w:r>
              <w:rPr>
                <w:b/>
              </w:rPr>
              <w:t>Item</w:t>
            </w:r>
          </w:p>
        </w:tc>
        <w:tc>
          <w:tcPr>
            <w:tcW w:w="5380" w:type="dxa"/>
            <w:tcBorders>
              <w:top w:val="single" w:sz="4" w:space="0" w:color="auto"/>
              <w:bottom w:val="single" w:sz="4" w:space="0" w:color="auto"/>
            </w:tcBorders>
          </w:tcPr>
          <w:p>
            <w:pPr>
              <w:pStyle w:val="yTableNAm"/>
            </w:pPr>
            <w:r>
              <w:rPr>
                <w:b/>
              </w:rPr>
              <w:t>Service and charge</w:t>
            </w:r>
          </w:p>
        </w:tc>
      </w:tr>
      <w:tr>
        <w:trPr>
          <w:cantSplit/>
        </w:trPr>
        <w:tc>
          <w:tcPr>
            <w:tcW w:w="630" w:type="dxa"/>
          </w:tcPr>
          <w:p>
            <w:pPr>
              <w:pStyle w:val="yTableNAm"/>
            </w:pPr>
            <w:r>
              <w:t>1.</w:t>
            </w:r>
          </w:p>
        </w:tc>
        <w:tc>
          <w:tcPr>
            <w:tcW w:w="5380" w:type="dxa"/>
          </w:tcPr>
          <w:p>
            <w:pPr>
              <w:pStyle w:val="yTableNAm"/>
            </w:pPr>
            <w:r>
              <w:t xml:space="preserve">For a vessel for 12 months — the higher of </w:t>
            </w:r>
            <w:r>
              <w:rPr>
                <w:szCs w:val="22"/>
              </w:rPr>
              <w:t>$4 540.45</w:t>
            </w:r>
            <w:r>
              <w:t xml:space="preserve"> and the result of the following calculation —</w:t>
            </w:r>
          </w:p>
        </w:tc>
      </w:tr>
      <w:tr>
        <w:trPr>
          <w:cantSplit/>
        </w:trPr>
        <w:tc>
          <w:tcPr>
            <w:tcW w:w="630" w:type="dxa"/>
          </w:tcPr>
          <w:p>
            <w:pPr>
              <w:pStyle w:val="zyTableNAm"/>
            </w:pPr>
          </w:p>
        </w:tc>
        <w:tc>
          <w:tcPr>
            <w:tcW w:w="5380" w:type="dxa"/>
          </w:tcPr>
          <w:p>
            <w:pPr>
              <w:pStyle w:val="yTableNAm"/>
              <w:tabs>
                <w:tab w:val="clear" w:pos="567"/>
              </w:tabs>
              <w:ind w:left="226" w:hanging="226"/>
            </w:pPr>
            <w:r>
              <w:t>•</w:t>
            </w:r>
            <w:r>
              <w:tab/>
            </w:r>
            <w:r>
              <w:rPr>
                <w:szCs w:val="22"/>
              </w:rPr>
              <w:t>$63.50</w:t>
            </w:r>
            <w:r>
              <w:t xml:space="preserve"> per passenger calculated on the vessel’s passenger carrying capacity under its highest class of survey</w:t>
            </w:r>
          </w:p>
        </w:tc>
      </w:tr>
      <w:tr>
        <w:trPr>
          <w:cantSplit/>
        </w:trPr>
        <w:tc>
          <w:tcPr>
            <w:tcW w:w="630" w:type="dxa"/>
          </w:tcPr>
          <w:p>
            <w:pPr>
              <w:pStyle w:val="zyTableNAm"/>
            </w:pPr>
          </w:p>
        </w:tc>
        <w:tc>
          <w:tcPr>
            <w:tcW w:w="5380" w:type="dxa"/>
          </w:tcPr>
          <w:p>
            <w:pPr>
              <w:pStyle w:val="yTableNAm"/>
              <w:tabs>
                <w:tab w:val="clear" w:pos="567"/>
              </w:tabs>
              <w:ind w:left="226" w:hanging="226"/>
            </w:pPr>
            <w:r>
              <w:t>•</w:t>
            </w:r>
            <w:r>
              <w:tab/>
              <w:t>plus —</w:t>
            </w:r>
          </w:p>
        </w:tc>
      </w:tr>
      <w:tr>
        <w:trPr>
          <w:cantSplit/>
        </w:trPr>
        <w:tc>
          <w:tcPr>
            <w:tcW w:w="630" w:type="dxa"/>
          </w:tcPr>
          <w:p>
            <w:pPr>
              <w:pStyle w:val="zyTableNAm"/>
            </w:pPr>
          </w:p>
        </w:tc>
        <w:tc>
          <w:tcPr>
            <w:tcW w:w="5380" w:type="dxa"/>
          </w:tcPr>
          <w:p>
            <w:pPr>
              <w:pStyle w:val="yTableNAm"/>
              <w:tabs>
                <w:tab w:val="clear" w:pos="567"/>
              </w:tabs>
              <w:ind w:left="787" w:hanging="284"/>
            </w:pPr>
            <w:r>
              <w:t>•</w:t>
            </w:r>
            <w:r>
              <w:tab/>
              <w:t xml:space="preserve">for a vessel up to 35 m long, the higher of </w:t>
            </w:r>
            <w:r>
              <w:rPr>
                <w:szCs w:val="22"/>
              </w:rPr>
              <w:t>$8 172.00</w:t>
            </w:r>
            <w:r>
              <w:t xml:space="preserve"> and </w:t>
            </w:r>
            <w:r>
              <w:rPr>
                <w:szCs w:val="22"/>
              </w:rPr>
              <w:t>$454.00</w:t>
            </w:r>
            <w:r>
              <w:t xml:space="preserve"> per metre of the vessel’s length; or</w:t>
            </w:r>
          </w:p>
        </w:tc>
      </w:tr>
      <w:tr>
        <w:trPr>
          <w:cantSplit/>
        </w:trPr>
        <w:tc>
          <w:tcPr>
            <w:tcW w:w="630" w:type="dxa"/>
          </w:tcPr>
          <w:p>
            <w:pPr>
              <w:pStyle w:val="zyTableNAm"/>
            </w:pPr>
          </w:p>
        </w:tc>
        <w:tc>
          <w:tcPr>
            <w:tcW w:w="5380" w:type="dxa"/>
          </w:tcPr>
          <w:p>
            <w:pPr>
              <w:pStyle w:val="yTableNAm"/>
              <w:tabs>
                <w:tab w:val="clear" w:pos="567"/>
              </w:tabs>
              <w:ind w:left="787" w:hanging="284"/>
            </w:pPr>
            <w:r>
              <w:t>•</w:t>
            </w:r>
            <w:r>
              <w:tab/>
              <w:t xml:space="preserve">for a vessel 35 m long or over, </w:t>
            </w:r>
            <w:r>
              <w:rPr>
                <w:szCs w:val="22"/>
              </w:rPr>
              <w:t>$726.50</w:t>
            </w:r>
            <w:r>
              <w:t xml:space="preserve"> per metre of the vessel’s length</w:t>
            </w:r>
          </w:p>
        </w:tc>
      </w:tr>
      <w:tr>
        <w:trPr>
          <w:cantSplit/>
        </w:trPr>
        <w:tc>
          <w:tcPr>
            <w:tcW w:w="630" w:type="dxa"/>
          </w:tcPr>
          <w:p>
            <w:pPr>
              <w:pStyle w:val="zyTableNAm"/>
            </w:pPr>
          </w:p>
        </w:tc>
        <w:tc>
          <w:tcPr>
            <w:tcW w:w="5380" w:type="dxa"/>
          </w:tcPr>
          <w:p>
            <w:pPr>
              <w:pStyle w:val="yTableNAm"/>
              <w:tabs>
                <w:tab w:val="clear" w:pos="567"/>
              </w:tabs>
              <w:ind w:left="787" w:hanging="284"/>
            </w:pPr>
            <w:r>
              <w:t>•</w:t>
            </w:r>
            <w:r>
              <w:tab/>
              <w:t xml:space="preserve">minus — </w:t>
            </w:r>
            <w:r>
              <w:rPr>
                <w:szCs w:val="22"/>
              </w:rPr>
              <w:t>$6 356.00</w:t>
            </w:r>
          </w:p>
        </w:tc>
      </w:tr>
      <w:tr>
        <w:trPr>
          <w:cantSplit/>
        </w:trPr>
        <w:tc>
          <w:tcPr>
            <w:tcW w:w="630" w:type="dxa"/>
            <w:tcBorders>
              <w:bottom w:val="single" w:sz="4" w:space="0" w:color="auto"/>
            </w:tcBorders>
          </w:tcPr>
          <w:p>
            <w:pPr>
              <w:pStyle w:val="yTableNAm"/>
            </w:pPr>
            <w:r>
              <w:t>2.</w:t>
            </w:r>
          </w:p>
        </w:tc>
        <w:tc>
          <w:tcPr>
            <w:tcW w:w="5380" w:type="dxa"/>
            <w:tcBorders>
              <w:bottom w:val="single" w:sz="4" w:space="0" w:color="auto"/>
            </w:tcBorders>
          </w:tcPr>
          <w:p>
            <w:pPr>
              <w:pStyle w:val="yTableNAm"/>
            </w:pPr>
            <w:r>
              <w:t xml:space="preserve">Sullage charge for a vessel for which the item 1 charge has not been paid, per pump out — </w:t>
            </w:r>
            <w:r>
              <w:rPr>
                <w:szCs w:val="22"/>
              </w:rPr>
              <w:t>$90.80</w:t>
            </w:r>
          </w:p>
        </w:tc>
      </w:tr>
    </w:tbl>
    <w:p>
      <w:pPr>
        <w:pStyle w:val="yFootnotesection"/>
      </w:pPr>
      <w:r>
        <w:tab/>
        <w:t>[Clause 1 inserted in Gazette 22 Jul 2015 p. 2992; amended in Gazette 26 May 2017 p. 2631.]</w:t>
      </w:r>
    </w:p>
    <w:p>
      <w:pPr>
        <w:pStyle w:val="yHeading5"/>
      </w:pPr>
      <w:bookmarkStart w:id="422" w:name="_Toc486503053"/>
      <w:r>
        <w:rPr>
          <w:rStyle w:val="CharSClsNo"/>
        </w:rPr>
        <w:t>2</w:t>
      </w:r>
      <w:r>
        <w:t>.</w:t>
      </w:r>
      <w:r>
        <w:tab/>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422"/>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2.1.</w:t>
      </w:r>
    </w:p>
    <w:p>
      <w:pPr>
        <w:pStyle w:val="yTHeadingNAm"/>
        <w:ind w:left="1134"/>
      </w:pPr>
      <w:r>
        <w:t>Table 2.1 (Jetty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02"/>
        <w:gridCol w:w="4246"/>
        <w:gridCol w:w="1134"/>
      </w:tblGrid>
      <w:tr>
        <w:trPr>
          <w:cantSplit/>
          <w:tblHeader/>
        </w:trPr>
        <w:tc>
          <w:tcPr>
            <w:tcW w:w="602" w:type="dxa"/>
            <w:tcBorders>
              <w:top w:val="single" w:sz="4" w:space="0" w:color="auto"/>
              <w:bottom w:val="single" w:sz="4" w:space="0" w:color="auto"/>
            </w:tcBorders>
          </w:tcPr>
          <w:p>
            <w:pPr>
              <w:pStyle w:val="yTableNAm"/>
            </w:pPr>
            <w:r>
              <w:rPr>
                <w:b/>
              </w:rPr>
              <w:t>Item</w:t>
            </w:r>
          </w:p>
        </w:tc>
        <w:tc>
          <w:tcPr>
            <w:tcW w:w="4246"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02" w:type="dxa"/>
            <w:tcBorders>
              <w:top w:val="single" w:sz="4" w:space="0" w:color="auto"/>
              <w:bottom w:val="single" w:sz="4" w:space="0" w:color="auto"/>
            </w:tcBorders>
          </w:tcPr>
          <w:p>
            <w:pPr>
              <w:pStyle w:val="yTableNAm"/>
            </w:pPr>
            <w:r>
              <w:t>1.</w:t>
            </w:r>
          </w:p>
        </w:tc>
        <w:tc>
          <w:tcPr>
            <w:tcW w:w="4246" w:type="dxa"/>
            <w:tcBorders>
              <w:top w:val="single" w:sz="4" w:space="0" w:color="auto"/>
              <w:bottom w:val="single" w:sz="4" w:space="0" w:color="auto"/>
            </w:tcBorders>
          </w:tcPr>
          <w:p>
            <w:pPr>
              <w:pStyle w:val="yTableNAm"/>
            </w:pPr>
            <w:r>
              <w:t>For short term use by a vessel, an amount calculated using standard Rate 3</w:t>
            </w:r>
          </w:p>
        </w:tc>
        <w:tc>
          <w:tcPr>
            <w:tcW w:w="1134" w:type="dxa"/>
            <w:tcBorders>
              <w:top w:val="single" w:sz="4" w:space="0" w:color="auto"/>
              <w:bottom w:val="single" w:sz="4" w:space="0" w:color="auto"/>
            </w:tcBorders>
          </w:tcPr>
          <w:p>
            <w:pPr>
              <w:pStyle w:val="yTableNAm"/>
              <w:jc w:val="center"/>
            </w:pPr>
          </w:p>
        </w:tc>
      </w:tr>
    </w:tbl>
    <w:p>
      <w:pPr>
        <w:pStyle w:val="yFootnotesection"/>
      </w:pPr>
      <w:r>
        <w:tab/>
        <w:t>[Clause 2 inserted in Gazette 22 Jul 2015 p. 2992</w:t>
      </w:r>
      <w:r>
        <w:noBreakHyphen/>
        <w:t>3.]</w:t>
      </w:r>
    </w:p>
    <w:p>
      <w:pPr>
        <w:pStyle w:val="yHeading3"/>
      </w:pPr>
      <w:bookmarkStart w:id="423" w:name="_Toc470188467"/>
      <w:bookmarkStart w:id="424" w:name="_Toc483481966"/>
      <w:bookmarkStart w:id="425" w:name="_Toc483493832"/>
      <w:bookmarkStart w:id="426" w:name="_Toc483552939"/>
      <w:bookmarkStart w:id="427" w:name="_Toc485378287"/>
      <w:bookmarkStart w:id="428" w:name="_Toc486502646"/>
      <w:bookmarkStart w:id="429" w:name="_Toc486502850"/>
      <w:bookmarkStart w:id="430" w:name="_Toc486503054"/>
      <w:r>
        <w:rPr>
          <w:rStyle w:val="CharSDivNo"/>
        </w:rPr>
        <w:t>Division 2</w:t>
      </w:r>
      <w:r>
        <w:rPr>
          <w:b w:val="0"/>
        </w:rPr>
        <w:t> — </w:t>
      </w:r>
      <w:r>
        <w:rPr>
          <w:rStyle w:val="CharSDivText"/>
        </w:rPr>
        <w:t>Charges for boat pens</w:t>
      </w:r>
      <w:bookmarkEnd w:id="423"/>
      <w:bookmarkEnd w:id="424"/>
      <w:bookmarkEnd w:id="425"/>
      <w:bookmarkEnd w:id="426"/>
      <w:bookmarkEnd w:id="427"/>
      <w:bookmarkEnd w:id="428"/>
      <w:bookmarkEnd w:id="429"/>
      <w:bookmarkEnd w:id="430"/>
    </w:p>
    <w:p>
      <w:pPr>
        <w:pStyle w:val="yFootnoteheading"/>
      </w:pPr>
      <w:r>
        <w:tab/>
        <w:t>[Heading inserted in Gazette 22 Jul 2015 p. 2993.]</w:t>
      </w:r>
    </w:p>
    <w:p>
      <w:pPr>
        <w:pStyle w:val="yHeading5"/>
      </w:pPr>
      <w:bookmarkStart w:id="431" w:name="_Toc486503055"/>
      <w:r>
        <w:rPr>
          <w:rStyle w:val="CharSClsNo"/>
        </w:rPr>
        <w:t>3</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31"/>
    </w:p>
    <w:p>
      <w:pPr>
        <w:pStyle w:val="y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charges to be paid under regulation 72 for a permit to use a boat pen are set out in Table 3.1.</w:t>
      </w:r>
    </w:p>
    <w:p>
      <w:pPr>
        <w:pStyle w:val="yTHeadingNAm"/>
        <w:ind w:left="1134"/>
      </w:pPr>
      <w:r>
        <w:t>Table 3.1 (Pen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30"/>
        <w:gridCol w:w="4218"/>
        <w:gridCol w:w="1134"/>
      </w:tblGrid>
      <w:tr>
        <w:trPr>
          <w:cantSplit/>
          <w:tblHeader/>
        </w:trPr>
        <w:tc>
          <w:tcPr>
            <w:tcW w:w="630" w:type="dxa"/>
            <w:tcBorders>
              <w:top w:val="single" w:sz="4" w:space="0" w:color="auto"/>
              <w:bottom w:val="single" w:sz="4" w:space="0" w:color="auto"/>
            </w:tcBorders>
          </w:tcPr>
          <w:p>
            <w:pPr>
              <w:pStyle w:val="yTableNAm"/>
            </w:pPr>
            <w:r>
              <w:rPr>
                <w:b/>
              </w:rPr>
              <w:t>Item</w:t>
            </w:r>
          </w:p>
        </w:tc>
        <w:tc>
          <w:tcPr>
            <w:tcW w:w="4218"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18" w:type="dxa"/>
          </w:tcPr>
          <w:p>
            <w:pPr>
              <w:pStyle w:val="yTableNAm"/>
            </w:pPr>
            <w:r>
              <w:t>For the use of a pen with a walkway, an amount calculated per metre of the pen’s length using the annual rate of</w:t>
            </w:r>
          </w:p>
        </w:tc>
        <w:tc>
          <w:tcPr>
            <w:tcW w:w="1134" w:type="dxa"/>
          </w:tcPr>
          <w:p>
            <w:pPr>
              <w:pStyle w:val="yTableNAm"/>
              <w:jc w:val="center"/>
            </w:pPr>
            <w:r>
              <w:br/>
            </w:r>
            <w:r>
              <w:br/>
            </w:r>
            <w:r>
              <w:rPr>
                <w:szCs w:val="22"/>
              </w:rPr>
              <w:t>614.00</w:t>
            </w:r>
            <w:r>
              <w:rPr>
                <w:szCs w:val="22"/>
              </w:rPr>
              <w:br/>
            </w:r>
          </w:p>
        </w:tc>
      </w:tr>
      <w:tr>
        <w:trPr>
          <w:cantSplit/>
        </w:trPr>
        <w:tc>
          <w:tcPr>
            <w:tcW w:w="630" w:type="dxa"/>
          </w:tcPr>
          <w:p>
            <w:pPr>
              <w:pStyle w:val="yTableNAm"/>
            </w:pPr>
            <w:r>
              <w:t>2.</w:t>
            </w:r>
          </w:p>
        </w:tc>
        <w:tc>
          <w:tcPr>
            <w:tcW w:w="4218" w:type="dxa"/>
          </w:tcPr>
          <w:p>
            <w:pPr>
              <w:pStyle w:val="yTableNAm"/>
            </w:pPr>
            <w:r>
              <w:t>For the use of a pen without a walkway, an amount calculated per metre of the pen’s length using the annual rate of</w:t>
            </w:r>
          </w:p>
        </w:tc>
        <w:tc>
          <w:tcPr>
            <w:tcW w:w="1134" w:type="dxa"/>
          </w:tcPr>
          <w:p>
            <w:pPr>
              <w:pStyle w:val="yTableNAm"/>
              <w:jc w:val="center"/>
            </w:pPr>
            <w:r>
              <w:br/>
            </w:r>
            <w:r>
              <w:br/>
            </w:r>
            <w:r>
              <w:rPr>
                <w:szCs w:val="22"/>
              </w:rPr>
              <w:t>552.00</w:t>
            </w:r>
            <w:r>
              <w:rPr>
                <w:szCs w:val="22"/>
              </w:rPr>
              <w:br/>
            </w:r>
          </w:p>
        </w:tc>
      </w:tr>
      <w:tr>
        <w:trPr>
          <w:cantSplit/>
        </w:trPr>
        <w:tc>
          <w:tcPr>
            <w:tcW w:w="630" w:type="dxa"/>
          </w:tcPr>
          <w:p>
            <w:pPr>
              <w:pStyle w:val="yTableNAm"/>
            </w:pPr>
            <w:r>
              <w:t>3.</w:t>
            </w:r>
          </w:p>
        </w:tc>
        <w:tc>
          <w:tcPr>
            <w:tcW w:w="4218" w:type="dxa"/>
          </w:tcPr>
          <w:p>
            <w:pPr>
              <w:pStyle w:val="yTableNAm"/>
            </w:pPr>
            <w:r>
              <w:t>For the use of an alongside berth, an amount calculated per metre of the vessel’s length using the annual rate of</w:t>
            </w:r>
          </w:p>
        </w:tc>
        <w:tc>
          <w:tcPr>
            <w:tcW w:w="1134" w:type="dxa"/>
          </w:tcPr>
          <w:p>
            <w:pPr>
              <w:pStyle w:val="yTableNAm"/>
              <w:jc w:val="center"/>
            </w:pPr>
            <w:r>
              <w:br/>
            </w:r>
            <w:r>
              <w:br/>
            </w:r>
            <w:r>
              <w:rPr>
                <w:szCs w:val="22"/>
              </w:rPr>
              <w:t>614.00</w:t>
            </w:r>
            <w:r>
              <w:rPr>
                <w:szCs w:val="22"/>
              </w:rPr>
              <w:br/>
            </w:r>
          </w:p>
        </w:tc>
      </w:tr>
      <w:tr>
        <w:trPr>
          <w:cantSplit/>
        </w:trPr>
        <w:tc>
          <w:tcPr>
            <w:tcW w:w="630" w:type="dxa"/>
            <w:tcBorders>
              <w:bottom w:val="single" w:sz="4" w:space="0" w:color="auto"/>
            </w:tcBorders>
          </w:tcPr>
          <w:p>
            <w:pPr>
              <w:pStyle w:val="yTableNAm"/>
            </w:pPr>
            <w:r>
              <w:t>4.</w:t>
            </w:r>
          </w:p>
        </w:tc>
        <w:tc>
          <w:tcPr>
            <w:tcW w:w="4218" w:type="dxa"/>
            <w:tcBorders>
              <w:bottom w:val="single" w:sz="4" w:space="0" w:color="auto"/>
            </w:tcBorders>
          </w:tcPr>
          <w:p>
            <w:pPr>
              <w:pStyle w:val="yTableNAm"/>
            </w:pPr>
            <w:r>
              <w:t>For the casual daily use of a pen or alongside berth by a recreational vessel, an amount calculated using standard Rate 2</w:t>
            </w:r>
          </w:p>
        </w:tc>
        <w:tc>
          <w:tcPr>
            <w:tcW w:w="1134" w:type="dxa"/>
            <w:tcBorders>
              <w:bottom w:val="single" w:sz="4" w:space="0" w:color="auto"/>
            </w:tcBorders>
          </w:tcPr>
          <w:p>
            <w:pPr>
              <w:pStyle w:val="yTableNAm"/>
              <w:jc w:val="center"/>
            </w:pPr>
          </w:p>
        </w:tc>
      </w:tr>
    </w:tbl>
    <w:p>
      <w:pPr>
        <w:pStyle w:val="yFootnotesection"/>
      </w:pPr>
      <w:r>
        <w:tab/>
        <w:t>[Clause 3 inserted in Gazette 22 Jul 2015 p. 2993; amended in Gazette 15 Apr 2016 p. 1181; 26 May 2017 p. 2632.]</w:t>
      </w:r>
    </w:p>
    <w:p>
      <w:pPr>
        <w:pStyle w:val="yHeading5"/>
      </w:pPr>
      <w:bookmarkStart w:id="432" w:name="_Toc486503056"/>
      <w:r>
        <w:rPr>
          <w:rStyle w:val="CharSClsNo"/>
        </w:rPr>
        <w:t>4</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32"/>
    </w:p>
    <w:p>
      <w:pPr>
        <w:pStyle w:val="y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charges to be paid under regulation 72 for a permit to use a jetty or boat pen are set out in Table 4.1.</w:t>
      </w:r>
    </w:p>
    <w:p>
      <w:pPr>
        <w:pStyle w:val="yTHeadingNAm"/>
        <w:ind w:left="1134"/>
      </w:pPr>
      <w:r>
        <w:t>Table 4.1 (Jetty and pen permits)</w:t>
      </w:r>
    </w:p>
    <w:tbl>
      <w:tblPr>
        <w:tblW w:w="0" w:type="auto"/>
        <w:tblInd w:w="1191" w:type="dxa"/>
        <w:tblLayout w:type="fixed"/>
        <w:tblCellMar>
          <w:top w:w="57" w:type="dxa"/>
          <w:left w:w="57" w:type="dxa"/>
          <w:right w:w="57" w:type="dxa"/>
        </w:tblCellMar>
        <w:tblLook w:val="0000" w:firstRow="0" w:lastRow="0" w:firstColumn="0" w:lastColumn="0" w:noHBand="0" w:noVBand="0"/>
      </w:tblPr>
      <w:tblGrid>
        <w:gridCol w:w="630"/>
        <w:gridCol w:w="4190"/>
        <w:gridCol w:w="1134"/>
      </w:tblGrid>
      <w:tr>
        <w:trPr>
          <w:tblHeader/>
        </w:trPr>
        <w:tc>
          <w:tcPr>
            <w:tcW w:w="630"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Borders>
              <w:top w:val="single" w:sz="4" w:space="0" w:color="auto"/>
            </w:tcBorders>
          </w:tcPr>
          <w:p>
            <w:pPr>
              <w:pStyle w:val="yTableNAm"/>
            </w:pPr>
            <w:r>
              <w:t>1.</w:t>
            </w:r>
          </w:p>
        </w:tc>
        <w:tc>
          <w:tcPr>
            <w:tcW w:w="4190" w:type="dxa"/>
            <w:tcBorders>
              <w:top w:val="single" w:sz="4" w:space="0" w:color="auto"/>
            </w:tcBorders>
          </w:tcPr>
          <w:p>
            <w:pPr>
              <w:pStyle w:val="yTableNAm"/>
            </w:pPr>
            <w:r>
              <w:t>For the use, other than casual daily use, of a pen, an amount calculated per metre of the pen’s length using the annual rate of</w:t>
            </w:r>
          </w:p>
        </w:tc>
        <w:tc>
          <w:tcPr>
            <w:tcW w:w="1134" w:type="dxa"/>
            <w:tcBorders>
              <w:top w:val="single" w:sz="4" w:space="0" w:color="auto"/>
            </w:tcBorders>
          </w:tcPr>
          <w:p>
            <w:pPr>
              <w:pStyle w:val="yTableNAm"/>
              <w:jc w:val="center"/>
            </w:pPr>
            <w:r>
              <w:br/>
            </w:r>
            <w:r>
              <w:rPr>
                <w:szCs w:val="24"/>
              </w:rPr>
              <w:br/>
            </w:r>
            <w:r>
              <w:rPr>
                <w:szCs w:val="22"/>
              </w:rPr>
              <w:t>562.00</w:t>
            </w:r>
            <w:r>
              <w:rPr>
                <w:szCs w:val="22"/>
              </w:rPr>
              <w:br/>
            </w:r>
          </w:p>
        </w:tc>
      </w:tr>
      <w:tr>
        <w:trPr>
          <w:cantSplit/>
        </w:trPr>
        <w:tc>
          <w:tcPr>
            <w:tcW w:w="630" w:type="dxa"/>
          </w:tcPr>
          <w:p>
            <w:pPr>
              <w:pStyle w:val="yTableNAm"/>
            </w:pPr>
            <w:r>
              <w:t>2.</w:t>
            </w:r>
          </w:p>
        </w:tc>
        <w:tc>
          <w:tcPr>
            <w:tcW w:w="4190" w:type="dxa"/>
          </w:tcPr>
          <w:p>
            <w:pPr>
              <w:pStyle w:val="yTableNAm"/>
            </w:pPr>
            <w:r>
              <w:t>For the use, other than casual daily use, of an alongside berth, an amount calculated per metre of the vessel’s length using the annual rate of</w:t>
            </w:r>
          </w:p>
        </w:tc>
        <w:tc>
          <w:tcPr>
            <w:tcW w:w="1134" w:type="dxa"/>
          </w:tcPr>
          <w:p>
            <w:pPr>
              <w:pStyle w:val="yTableNAm"/>
              <w:jc w:val="center"/>
            </w:pPr>
            <w:r>
              <w:br/>
            </w:r>
            <w:r>
              <w:br/>
            </w:r>
            <w:r>
              <w:rPr>
                <w:szCs w:val="24"/>
              </w:rPr>
              <w:br/>
            </w:r>
            <w:r>
              <w:rPr>
                <w:szCs w:val="22"/>
              </w:rPr>
              <w:t>562.00</w:t>
            </w:r>
            <w:r>
              <w:rPr>
                <w:szCs w:val="22"/>
              </w:rPr>
              <w:br/>
            </w:r>
          </w:p>
        </w:tc>
      </w:tr>
      <w:tr>
        <w:trPr>
          <w:cantSplit/>
        </w:trPr>
        <w:tc>
          <w:tcPr>
            <w:tcW w:w="630" w:type="dxa"/>
          </w:tcPr>
          <w:p>
            <w:pPr>
              <w:pStyle w:val="yTableNAm"/>
            </w:pPr>
            <w:r>
              <w:t>3.</w:t>
            </w:r>
          </w:p>
        </w:tc>
        <w:tc>
          <w:tcPr>
            <w:tcW w:w="4190" w:type="dxa"/>
          </w:tcPr>
          <w:p>
            <w:pPr>
              <w:pStyle w:val="yTableNAm"/>
            </w:pPr>
            <w:r>
              <w:t xml:space="preserve">For the casual daily use of a pen or an alongside berth — </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commercial vessel, an amount calculated using standard Rate 1</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recreational vessel, an amount calculated using standard Rate 2</w:t>
            </w:r>
          </w:p>
        </w:tc>
        <w:tc>
          <w:tcPr>
            <w:tcW w:w="1134" w:type="dxa"/>
          </w:tcPr>
          <w:p>
            <w:pPr>
              <w:pStyle w:val="yTableNAm"/>
              <w:jc w:val="center"/>
            </w:pPr>
          </w:p>
        </w:tc>
      </w:tr>
      <w:tr>
        <w:trPr>
          <w:cantSplit/>
        </w:trPr>
        <w:tc>
          <w:tcPr>
            <w:tcW w:w="630" w:type="dxa"/>
            <w:tcBorders>
              <w:bottom w:val="single" w:sz="4" w:space="0" w:color="auto"/>
            </w:tcBorders>
          </w:tcPr>
          <w:p>
            <w:pPr>
              <w:pStyle w:val="yTableNAm"/>
            </w:pPr>
            <w:r>
              <w:t>4.</w:t>
            </w:r>
          </w:p>
        </w:tc>
        <w:tc>
          <w:tcPr>
            <w:tcW w:w="4190" w:type="dxa"/>
            <w:tcBorders>
              <w:bottom w:val="single" w:sz="4" w:space="0" w:color="auto"/>
            </w:tcBorders>
          </w:tcPr>
          <w:p>
            <w:pPr>
              <w:pStyle w:val="yTableNAm"/>
            </w:pPr>
            <w:r>
              <w:t xml:space="preserve">For the short term use of the service </w:t>
            </w:r>
            <w:r>
              <w:rPr>
                <w:szCs w:val="22"/>
              </w:rPr>
              <w:t>wharf or</w:t>
            </w:r>
            <w:r>
              <w:t xml:space="preserve"> jetty by a vessel, an amount calculated using standard Rate 3</w:t>
            </w:r>
          </w:p>
        </w:tc>
        <w:tc>
          <w:tcPr>
            <w:tcW w:w="1134" w:type="dxa"/>
            <w:tcBorders>
              <w:bottom w:val="single" w:sz="4" w:space="0" w:color="auto"/>
            </w:tcBorders>
          </w:tcPr>
          <w:p>
            <w:pPr>
              <w:pStyle w:val="yTableNAm"/>
              <w:jc w:val="center"/>
            </w:pPr>
          </w:p>
        </w:tc>
      </w:tr>
    </w:tbl>
    <w:p>
      <w:pPr>
        <w:pStyle w:val="yFootnotesection"/>
      </w:pPr>
      <w:r>
        <w:tab/>
        <w:t>[Clause 4 inserted in Gazette 22 Jul 2015 p. 2994; amended in Gazette 15 Apr 2016 p. 1181; 23 Dec 2016 p. 5914; 26 May 2017 p. 2632.]</w:t>
      </w:r>
    </w:p>
    <w:p>
      <w:pPr>
        <w:pStyle w:val="yHeading5"/>
      </w:pPr>
      <w:bookmarkStart w:id="433" w:name="_Toc486503057"/>
      <w:r>
        <w:rPr>
          <w:rStyle w:val="CharSClsNo"/>
        </w:rPr>
        <w:t>5</w:t>
      </w:r>
      <w:r>
        <w:t>.</w:t>
      </w:r>
      <w:r>
        <w:tab/>
        <w:t>Jervoise Bay</w:t>
      </w:r>
      <w:bookmarkEnd w:id="433"/>
    </w:p>
    <w:p>
      <w:pPr>
        <w:pStyle w:val="ySubsection"/>
      </w:pPr>
      <w:r>
        <w:tab/>
        <w:t>(1)</w:t>
      </w:r>
      <w:r>
        <w:tab/>
        <w:t>This clause applies to the Jervoise Bay.</w:t>
      </w:r>
    </w:p>
    <w:p>
      <w:pPr>
        <w:pStyle w:val="ySubsection"/>
      </w:pPr>
      <w:r>
        <w:tab/>
        <w:t>(2)</w:t>
      </w:r>
      <w:r>
        <w:tab/>
        <w:t>The dues and charges to be paid under these regulations are set out in Table 5.1.</w:t>
      </w:r>
    </w:p>
    <w:p>
      <w:pPr>
        <w:pStyle w:val="yTHeadingNAm"/>
        <w:ind w:left="1134"/>
      </w:pPr>
      <w:r>
        <w:t>Table 5.1 (Mooring use)</w:t>
      </w:r>
    </w:p>
    <w:tbl>
      <w:tblPr>
        <w:tblW w:w="5912" w:type="dxa"/>
        <w:tblInd w:w="1233" w:type="dxa"/>
        <w:tblLayout w:type="fixed"/>
        <w:tblCellMar>
          <w:top w:w="57" w:type="dxa"/>
          <w:left w:w="57" w:type="dxa"/>
          <w:right w:w="57" w:type="dxa"/>
        </w:tblCellMar>
        <w:tblLook w:val="0000" w:firstRow="0" w:lastRow="0" w:firstColumn="0" w:lastColumn="0" w:noHBand="0" w:noVBand="0"/>
      </w:tblPr>
      <w:tblGrid>
        <w:gridCol w:w="588"/>
        <w:gridCol w:w="4190"/>
        <w:gridCol w:w="1134"/>
      </w:tblGrid>
      <w:tr>
        <w:trPr>
          <w:cantSplit/>
          <w:tblHeader/>
        </w:trPr>
        <w:tc>
          <w:tcPr>
            <w:tcW w:w="588"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588" w:type="dxa"/>
          </w:tcPr>
          <w:p>
            <w:pPr>
              <w:pStyle w:val="yTableNAm"/>
            </w:pPr>
            <w:r>
              <w:t>1.</w:t>
            </w:r>
          </w:p>
        </w:tc>
        <w:tc>
          <w:tcPr>
            <w:tcW w:w="4190" w:type="dxa"/>
          </w:tcPr>
          <w:p>
            <w:pPr>
              <w:pStyle w:val="yTableNAm"/>
            </w:pPr>
            <w:r>
              <w:t>For the use, other than casual daily use, of a piled mooring, an amount calculated per metre of the vessel’s length using the annual rate of</w:t>
            </w:r>
          </w:p>
        </w:tc>
        <w:tc>
          <w:tcPr>
            <w:tcW w:w="1134" w:type="dxa"/>
          </w:tcPr>
          <w:p>
            <w:pPr>
              <w:pStyle w:val="yTableNAm"/>
              <w:jc w:val="center"/>
            </w:pPr>
            <w:r>
              <w:br/>
            </w:r>
            <w:r>
              <w:br/>
            </w:r>
            <w:r>
              <w:br/>
            </w:r>
            <w:r>
              <w:rPr>
                <w:szCs w:val="22"/>
              </w:rPr>
              <w:t>173.00</w:t>
            </w:r>
            <w:r>
              <w:rPr>
                <w:szCs w:val="22"/>
              </w:rPr>
              <w:br/>
            </w:r>
          </w:p>
        </w:tc>
      </w:tr>
      <w:tr>
        <w:trPr>
          <w:cantSplit/>
        </w:trPr>
        <w:tc>
          <w:tcPr>
            <w:tcW w:w="588" w:type="dxa"/>
          </w:tcPr>
          <w:p>
            <w:pPr>
              <w:pStyle w:val="yTableNAm"/>
            </w:pPr>
            <w:r>
              <w:t>2.</w:t>
            </w:r>
          </w:p>
        </w:tc>
        <w:tc>
          <w:tcPr>
            <w:tcW w:w="4190" w:type="dxa"/>
          </w:tcPr>
          <w:p>
            <w:pPr>
              <w:pStyle w:val="yTableNAm"/>
            </w:pPr>
            <w:r>
              <w:t>For the casual daily use of a piled mooring by a commercial vessel, an amount calculated using standard Rate 1</w:t>
            </w:r>
          </w:p>
        </w:tc>
        <w:tc>
          <w:tcPr>
            <w:tcW w:w="1134" w:type="dxa"/>
          </w:tcPr>
          <w:p>
            <w:pPr>
              <w:pStyle w:val="yTableNAm"/>
              <w:jc w:val="center"/>
            </w:pPr>
            <w:r>
              <w:br/>
            </w:r>
            <w:r>
              <w:br/>
            </w:r>
          </w:p>
        </w:tc>
      </w:tr>
      <w:tr>
        <w:trPr>
          <w:cantSplit/>
        </w:trPr>
        <w:tc>
          <w:tcPr>
            <w:tcW w:w="588" w:type="dxa"/>
            <w:tcBorders>
              <w:bottom w:val="single" w:sz="4" w:space="0" w:color="auto"/>
            </w:tcBorders>
          </w:tcPr>
          <w:p>
            <w:pPr>
              <w:pStyle w:val="yTableNAm"/>
            </w:pPr>
            <w:r>
              <w:t>3.</w:t>
            </w:r>
          </w:p>
        </w:tc>
        <w:tc>
          <w:tcPr>
            <w:tcW w:w="4190" w:type="dxa"/>
            <w:tcBorders>
              <w:bottom w:val="single" w:sz="4" w:space="0" w:color="auto"/>
            </w:tcBorders>
          </w:tcPr>
          <w:p>
            <w:pPr>
              <w:pStyle w:val="yTableNAm"/>
            </w:pPr>
            <w:r>
              <w:t>For the casual daily use of a piled mooring by a recreational vessel, an amount calculated using standard Rate 2</w:t>
            </w:r>
          </w:p>
        </w:tc>
        <w:tc>
          <w:tcPr>
            <w:tcW w:w="1134" w:type="dxa"/>
            <w:tcBorders>
              <w:bottom w:val="single" w:sz="4" w:space="0" w:color="auto"/>
            </w:tcBorders>
          </w:tcPr>
          <w:p>
            <w:pPr>
              <w:pStyle w:val="yTableNAm"/>
              <w:jc w:val="center"/>
            </w:pPr>
            <w:r>
              <w:br/>
            </w:r>
            <w:r>
              <w:br/>
            </w:r>
          </w:p>
        </w:tc>
      </w:tr>
    </w:tbl>
    <w:p>
      <w:pPr>
        <w:pStyle w:val="yFootnotesection"/>
      </w:pPr>
      <w:r>
        <w:tab/>
        <w:t>[Clause 5 inserted in Gazette 22 Jul 2015 p. 2995; amended in Gazette 15 Apr 2016 p. 1181; 26 May 2017 p. 2632.]</w:t>
      </w:r>
    </w:p>
    <w:p>
      <w:pPr>
        <w:tabs>
          <w:tab w:val="left" w:pos="423"/>
        </w:tabs>
        <w:ind w:left="423" w:hanging="423"/>
        <w:sectPr>
          <w:headerReference w:type="even" r:id="rId27"/>
          <w:headerReference w:type="default" r:id="rId28"/>
          <w:pgSz w:w="11907" w:h="16840" w:code="9"/>
          <w:pgMar w:top="2376" w:right="2404" w:bottom="3544" w:left="2404" w:header="709" w:footer="3380" w:gutter="0"/>
          <w:cols w:space="720"/>
          <w:noEndnote/>
          <w:docGrid w:linePitch="326"/>
        </w:sectPr>
      </w:pPr>
    </w:p>
    <w:p>
      <w:pPr>
        <w:pStyle w:val="yScheduleHeading"/>
        <w:outlineLvl w:val="0"/>
      </w:pPr>
      <w:bookmarkStart w:id="435" w:name="_Toc470188471"/>
      <w:bookmarkStart w:id="436" w:name="_Toc483481970"/>
      <w:bookmarkStart w:id="437" w:name="_Toc483493836"/>
      <w:bookmarkStart w:id="438" w:name="_Toc483552943"/>
      <w:bookmarkStart w:id="439" w:name="_Toc485378291"/>
      <w:bookmarkStart w:id="440" w:name="_Toc486502650"/>
      <w:bookmarkStart w:id="441" w:name="_Toc486502854"/>
      <w:bookmarkStart w:id="442" w:name="_Toc486503058"/>
      <w:r>
        <w:rPr>
          <w:rStyle w:val="CharSchNo"/>
        </w:rPr>
        <w:t>Schedule 3</w:t>
      </w:r>
      <w:r>
        <w:rPr>
          <w:rStyle w:val="CharSDivNo"/>
        </w:rPr>
        <w:t> </w:t>
      </w:r>
      <w:r>
        <w:t>—</w:t>
      </w:r>
      <w:r>
        <w:rPr>
          <w:rStyle w:val="CharSDivText"/>
        </w:rPr>
        <w:t> </w:t>
      </w:r>
      <w:r>
        <w:rPr>
          <w:rStyle w:val="CharSchText"/>
        </w:rPr>
        <w:t>Forms</w:t>
      </w:r>
      <w:bookmarkEnd w:id="435"/>
      <w:bookmarkEnd w:id="436"/>
      <w:bookmarkEnd w:id="437"/>
      <w:bookmarkEnd w:id="438"/>
      <w:bookmarkEnd w:id="439"/>
      <w:bookmarkEnd w:id="440"/>
      <w:bookmarkEnd w:id="441"/>
      <w:bookmarkEnd w:id="442"/>
    </w:p>
    <w:p>
      <w:pPr>
        <w:pStyle w:val="yFootnoteheading"/>
      </w:pPr>
      <w:r>
        <w:tab/>
        <w:t>[Heading inserted in Gazette 24 Jun 2005 p. 2829.]</w:t>
      </w:r>
    </w:p>
    <w:p>
      <w:pPr>
        <w:pStyle w:val="yFootnotesection"/>
      </w:pPr>
      <w:r>
        <w:tab/>
        <w:t>[Forms 1 and 2 deleted in Gazette 24 Nov 1972 p. 4491.]</w:t>
      </w:r>
    </w:p>
    <w:p>
      <w:pPr>
        <w:pStyle w:val="yTable"/>
        <w:jc w:val="center"/>
        <w:outlineLvl w:val="0"/>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 amended in Gazette 25 Jul 2014 p. 2661.]</w:t>
      </w:r>
    </w:p>
    <w:p>
      <w:pPr>
        <w:pStyle w:val="yEdnoteschedule"/>
        <w:outlineLvl w:val="9"/>
      </w:pPr>
      <w:r>
        <w:t>[Schedule 4 deleted in Gazette 22 Jun 2007 p. 2940.]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443" w:name="_Toc470188472"/>
      <w:bookmarkStart w:id="444" w:name="_Toc483481971"/>
      <w:bookmarkStart w:id="445" w:name="_Toc483493837"/>
      <w:bookmarkStart w:id="446" w:name="_Toc483552944"/>
      <w:bookmarkStart w:id="447" w:name="_Toc485378292"/>
      <w:bookmarkStart w:id="448" w:name="_Toc486502651"/>
      <w:bookmarkStart w:id="449" w:name="_Toc486502855"/>
      <w:bookmarkStart w:id="450" w:name="_Toc486503059"/>
      <w:r>
        <w:t>Notes</w:t>
      </w:r>
      <w:bookmarkEnd w:id="443"/>
      <w:bookmarkEnd w:id="444"/>
      <w:bookmarkEnd w:id="445"/>
      <w:bookmarkEnd w:id="446"/>
      <w:bookmarkEnd w:id="447"/>
      <w:bookmarkEnd w:id="448"/>
      <w:bookmarkEnd w:id="449"/>
      <w:bookmarkEnd w:id="450"/>
    </w:p>
    <w:p>
      <w:pPr>
        <w:pStyle w:val="nSubsection"/>
      </w:pPr>
      <w:r>
        <w:rPr>
          <w:vertAlign w:val="superscript"/>
        </w:rPr>
        <w:t>1</w:t>
      </w:r>
      <w:r>
        <w:tab/>
        <w:t xml:space="preserve">This is a compilation of the </w:t>
      </w:r>
      <w:r>
        <w:rPr>
          <w:i/>
          <w:noProof/>
        </w:rPr>
        <w:t>Jetties Regulations 1940</w:t>
      </w:r>
      <w:r>
        <w:t xml:space="preserve"> and includes the amendments made by the other written laws referred to in the following table.  The table also contains information about any reprint.</w:t>
      </w:r>
    </w:p>
    <w:p>
      <w:pPr>
        <w:pStyle w:val="nHeading3"/>
      </w:pPr>
      <w:bookmarkStart w:id="451" w:name="_Toc486503060"/>
      <w:r>
        <w:t>Compilation table</w:t>
      </w:r>
      <w:bookmarkEnd w:id="451"/>
    </w:p>
    <w:tbl>
      <w:tblPr>
        <w:tblW w:w="0" w:type="auto"/>
        <w:tblInd w:w="56" w:type="dxa"/>
        <w:tblLayout w:type="fixed"/>
        <w:tblCellMar>
          <w:left w:w="56" w:type="dxa"/>
          <w:right w:w="56" w:type="dxa"/>
        </w:tblCellMar>
        <w:tblLook w:val="0000" w:firstRow="0" w:lastRow="0" w:firstColumn="0" w:lastColumn="0" w:noHBand="0" w:noVBand="0"/>
      </w:tblPr>
      <w:tblGrid>
        <w:gridCol w:w="3090"/>
        <w:gridCol w:w="1276"/>
        <w:gridCol w:w="2722"/>
      </w:tblGrid>
      <w:tr>
        <w:trPr>
          <w:cantSplit/>
          <w:tblHeader/>
        </w:trPr>
        <w:tc>
          <w:tcPr>
            <w:tcW w:w="3090"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b/>
              </w:rPr>
            </w:pPr>
            <w:r>
              <w:t>5 Sep 1941 p. 1244</w:t>
            </w:r>
          </w:p>
        </w:tc>
        <w:tc>
          <w:tcPr>
            <w:tcW w:w="2722" w:type="dxa"/>
          </w:tcPr>
          <w:p>
            <w:pPr>
              <w:pStyle w:val="nTable"/>
              <w:spacing w:after="40"/>
            </w:pPr>
            <w:r>
              <w:t>5 Sep 1941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20 Oct 1944 p. 893</w:t>
            </w:r>
          </w:p>
        </w:tc>
        <w:tc>
          <w:tcPr>
            <w:tcW w:w="2722" w:type="dxa"/>
          </w:tcPr>
          <w:p>
            <w:pPr>
              <w:pStyle w:val="nTable"/>
              <w:spacing w:after="40"/>
            </w:pPr>
            <w:r>
              <w:t>20 Oct 1944</w:t>
            </w:r>
          </w:p>
        </w:tc>
      </w:tr>
      <w:tr>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rPr>
                <w:rFonts w:ascii="Arial" w:hAnsi="Arial"/>
              </w:rPr>
            </w:pPr>
            <w:r>
              <w:t>11 Jan 1946</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 Jan 1947</w:t>
            </w:r>
            <w:r>
              <w:br/>
              <w:t>p. 7</w:t>
            </w:r>
          </w:p>
        </w:tc>
        <w:tc>
          <w:tcPr>
            <w:tcW w:w="2722" w:type="dxa"/>
          </w:tcPr>
          <w:p>
            <w:pPr>
              <w:pStyle w:val="nTable"/>
              <w:spacing w:after="40"/>
            </w:pPr>
            <w:r>
              <w:t>3 Jan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Jan 1947 p. 182</w:t>
            </w:r>
          </w:p>
        </w:tc>
        <w:tc>
          <w:tcPr>
            <w:tcW w:w="2722" w:type="dxa"/>
          </w:tcPr>
          <w:p>
            <w:pPr>
              <w:pStyle w:val="nTable"/>
              <w:spacing w:after="40"/>
            </w:pPr>
            <w:r>
              <w:t>31 Jan 1947</w:t>
            </w:r>
          </w:p>
        </w:tc>
      </w:tr>
      <w:tr>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29 Oct 1948 p. 2579</w:t>
            </w:r>
          </w:p>
        </w:tc>
        <w:tc>
          <w:tcPr>
            <w:tcW w:w="2722" w:type="dxa"/>
          </w:tcPr>
          <w:p>
            <w:pPr>
              <w:pStyle w:val="nTable"/>
              <w:spacing w:after="40"/>
              <w:rPr>
                <w:rFonts w:ascii="Arial" w:hAnsi="Arial"/>
              </w:rPr>
            </w:pPr>
            <w:r>
              <w:t>29 Oct 1948</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Dec 1948 p. 3114</w:t>
            </w:r>
          </w:p>
        </w:tc>
        <w:tc>
          <w:tcPr>
            <w:tcW w:w="2722" w:type="dxa"/>
          </w:tcPr>
          <w:p>
            <w:pPr>
              <w:pStyle w:val="nTable"/>
              <w:spacing w:after="40"/>
            </w:pPr>
            <w:r>
              <w:t>31 Dec 1948</w:t>
            </w:r>
          </w:p>
        </w:tc>
      </w:tr>
      <w:tr>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 Mar 1951 p. 470</w:t>
            </w:r>
          </w:p>
        </w:tc>
        <w:tc>
          <w:tcPr>
            <w:tcW w:w="2722" w:type="dxa"/>
          </w:tcPr>
          <w:p>
            <w:pPr>
              <w:pStyle w:val="nTable"/>
              <w:spacing w:after="40"/>
            </w:pPr>
            <w:r>
              <w:t>2 Mar 1951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rPr>
                <w:rFonts w:ascii="Arial" w:hAnsi="Arial"/>
              </w:rPr>
            </w:pPr>
            <w:r>
              <w:t>2 May 1952</w:t>
            </w:r>
          </w:p>
        </w:tc>
      </w:tr>
      <w:tr>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rPr>
          <w:cantSplit/>
        </w:trPr>
        <w:tc>
          <w:tcPr>
            <w:tcW w:w="4366" w:type="dxa"/>
            <w:gridSpan w:val="2"/>
          </w:tcPr>
          <w:p>
            <w:pPr>
              <w:pStyle w:val="nTable"/>
              <w:spacing w:after="40"/>
              <w:rPr>
                <w:rFonts w:ascii="Arial" w:hAnsi="Arial"/>
              </w:rPr>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rPr>
          <w:cantSplit/>
        </w:trPr>
        <w:tc>
          <w:tcPr>
            <w:tcW w:w="3090" w:type="dxa"/>
          </w:tcPr>
          <w:p>
            <w:pPr>
              <w:pStyle w:val="nTable"/>
              <w:spacing w:after="40"/>
              <w:rPr>
                <w:rFonts w:ascii="Arial" w:hAnsi="Arial"/>
              </w:rPr>
            </w:pPr>
            <w:r>
              <w:t>Untitled regulations</w:t>
            </w:r>
          </w:p>
        </w:tc>
        <w:tc>
          <w:tcPr>
            <w:tcW w:w="1276" w:type="dxa"/>
          </w:tcPr>
          <w:p>
            <w:pPr>
              <w:pStyle w:val="nTable"/>
              <w:spacing w:after="40"/>
              <w:rPr>
                <w:rFonts w:ascii="Arial" w:hAnsi="Arial"/>
              </w:rPr>
            </w:pPr>
            <w:r>
              <w:t>22 Aug 1975 p. 3040-3</w:t>
            </w:r>
          </w:p>
        </w:tc>
        <w:tc>
          <w:tcPr>
            <w:tcW w:w="2722" w:type="dxa"/>
          </w:tcPr>
          <w:p>
            <w:pPr>
              <w:pStyle w:val="nTable"/>
              <w:spacing w:after="40"/>
              <w:rPr>
                <w:rFonts w:ascii="Arial" w:hAnsi="Arial"/>
              </w:rPr>
            </w:pPr>
            <w:r>
              <w:t>22 Aug 1975</w:t>
            </w:r>
          </w:p>
        </w:tc>
      </w:tr>
      <w:tr>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rPr>
          <w:cantSplit/>
        </w:trPr>
        <w:tc>
          <w:tcPr>
            <w:tcW w:w="3090" w:type="dxa"/>
          </w:tcPr>
          <w:p>
            <w:pPr>
              <w:pStyle w:val="nTable"/>
              <w:spacing w:after="40"/>
              <w:rPr>
                <w:i/>
              </w:rPr>
            </w:pPr>
            <w:r>
              <w:rPr>
                <w:i/>
              </w:rPr>
              <w:t>Jetties Amendment Regulations 2002</w:t>
            </w:r>
          </w:p>
        </w:tc>
        <w:tc>
          <w:tcPr>
            <w:tcW w:w="1276" w:type="dxa"/>
          </w:tcPr>
          <w:p>
            <w:pPr>
              <w:pStyle w:val="nTable"/>
              <w:spacing w:after="40"/>
              <w:rPr>
                <w:rFonts w:ascii="Arial" w:hAnsi="Arial"/>
              </w:rPr>
            </w:pPr>
            <w:r>
              <w:t>14 Jun 2002 p. 2299-300</w:t>
            </w:r>
          </w:p>
        </w:tc>
        <w:tc>
          <w:tcPr>
            <w:tcW w:w="2722" w:type="dxa"/>
          </w:tcPr>
          <w:p>
            <w:pPr>
              <w:pStyle w:val="nTable"/>
              <w:spacing w:after="40"/>
            </w:pPr>
            <w:r>
              <w:t xml:space="preserve">14 Jun 2002 </w:t>
            </w:r>
          </w:p>
        </w:tc>
      </w:tr>
      <w:tr>
        <w:trPr>
          <w:cantSplit/>
        </w:trPr>
        <w:tc>
          <w:tcPr>
            <w:tcW w:w="3090" w:type="dxa"/>
          </w:tcPr>
          <w:p>
            <w:pPr>
              <w:pStyle w:val="nTable"/>
              <w:spacing w:after="40"/>
              <w:rPr>
                <w:i/>
              </w:rPr>
            </w:pPr>
            <w:r>
              <w:rPr>
                <w:i/>
              </w:rPr>
              <w:t>Jetties Amendment Regulations (No. 2) 2002</w:t>
            </w:r>
          </w:p>
        </w:tc>
        <w:tc>
          <w:tcPr>
            <w:tcW w:w="1276" w:type="dxa"/>
          </w:tcPr>
          <w:p>
            <w:pPr>
              <w:pStyle w:val="nTable"/>
              <w:spacing w:after="40"/>
              <w:rPr>
                <w:rFonts w:ascii="Arial" w:hAnsi="Arial"/>
              </w:rPr>
            </w:pPr>
            <w:r>
              <w:t>14 Jun 2002 p. 2301</w:t>
            </w:r>
            <w:r>
              <w:noBreakHyphen/>
              <w:t>18</w:t>
            </w:r>
          </w:p>
        </w:tc>
        <w:tc>
          <w:tcPr>
            <w:tcW w:w="2722" w:type="dxa"/>
          </w:tcPr>
          <w:p>
            <w:pPr>
              <w:pStyle w:val="nTable"/>
              <w:spacing w:after="40"/>
            </w:pPr>
            <w:r>
              <w:t>1 Jul 2002 (see r. 2)</w:t>
            </w:r>
          </w:p>
        </w:tc>
      </w:tr>
      <w:tr>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rPr>
                <w:rFonts w:ascii="Times" w:hAnsi="Times"/>
              </w:rPr>
            </w:pPr>
            <w:r>
              <w:t xml:space="preserve">1 Jan 2005 (see r. 2 and </w:t>
            </w:r>
            <w:r>
              <w:rPr>
                <w:i/>
              </w:rPr>
              <w:t>Gazette</w:t>
            </w:r>
            <w:r>
              <w:t xml:space="preserve"> 31 Dec 2004 p. 7130)</w:t>
            </w:r>
          </w:p>
        </w:tc>
      </w:tr>
      <w:tr>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rFonts w:ascii="Arial" w:hAnsi="Arial"/>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rFonts w:ascii="Arial" w:hAnsi="Arial"/>
                <w:bCs/>
                <w:snapToGrid w:val="0"/>
              </w:rPr>
            </w:pPr>
            <w:r>
              <w:rPr>
                <w:bCs/>
                <w:snapToGrid w:val="0"/>
              </w:rPr>
              <w:t>r. 1 and 2: 7 May 2013 (see r. 2(a));</w:t>
            </w:r>
            <w:r>
              <w:rPr>
                <w:bCs/>
                <w:snapToGrid w:val="0"/>
              </w:rPr>
              <w:br/>
              <w:t>Regulations other than r. 1 and 2: 8 May 2013 (see r. 2(b))</w:t>
            </w:r>
          </w:p>
        </w:tc>
      </w:tr>
      <w:tr>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rFonts w:ascii="Arial" w:hAnsi="Arial"/>
                <w:bCs/>
              </w:rPr>
            </w:pPr>
            <w:r>
              <w:rPr>
                <w:bCs/>
              </w:rPr>
              <w:t>28 Jun 2013 p. 2831</w:t>
            </w:r>
            <w:r>
              <w:rPr>
                <w:bCs/>
              </w:rPr>
              <w:noBreakHyphen/>
              <w:t>85</w:t>
            </w:r>
          </w:p>
        </w:tc>
        <w:tc>
          <w:tcPr>
            <w:tcW w:w="2722" w:type="dxa"/>
          </w:tcPr>
          <w:p>
            <w:pPr>
              <w:pStyle w:val="nTable"/>
              <w:spacing w:after="40"/>
              <w:rPr>
                <w:rFonts w:ascii="Arial" w:hAnsi="Arial"/>
                <w:bCs/>
                <w:snapToGrid w:val="0"/>
              </w:rPr>
            </w:pPr>
            <w:r>
              <w:rPr>
                <w:bCs/>
                <w:snapToGrid w:val="0"/>
              </w:rPr>
              <w:t>r. 1 and 2: 28 Jun 2013 (see r. 2(a));</w:t>
            </w:r>
            <w:r>
              <w:rPr>
                <w:bCs/>
                <w:snapToGrid w:val="0"/>
              </w:rPr>
              <w:br/>
              <w:t>Regulations other than r. 1 and 2: 1 Jul 2013 (see r. 2(b))</w:t>
            </w:r>
          </w:p>
        </w:tc>
      </w:tr>
      <w:tr>
        <w:trPr>
          <w:cantSplit/>
        </w:trPr>
        <w:tc>
          <w:tcPr>
            <w:tcW w:w="7088" w:type="dxa"/>
            <w:gridSpan w:val="3"/>
            <w:shd w:val="clear" w:color="auto" w:fill="auto"/>
          </w:tcPr>
          <w:p>
            <w:pPr>
              <w:pStyle w:val="nTable"/>
              <w:spacing w:after="40"/>
              <w:rPr>
                <w:rFonts w:ascii="Arial" w:hAnsi="Arial"/>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rFonts w:ascii="Arial" w:hAnsi="Arial"/>
                <w:bCs/>
              </w:rPr>
            </w:pPr>
            <w:r>
              <w:rPr>
                <w:bCs/>
              </w:rPr>
              <w:t>7 Feb 2014 p. 287</w:t>
            </w:r>
            <w:r>
              <w:rPr>
                <w:bCs/>
              </w:rPr>
              <w:noBreakHyphen/>
              <w:t>9</w:t>
            </w:r>
          </w:p>
        </w:tc>
        <w:tc>
          <w:tcPr>
            <w:tcW w:w="2722" w:type="dxa"/>
          </w:tcPr>
          <w:p>
            <w:pPr>
              <w:pStyle w:val="nTable"/>
              <w:spacing w:after="40"/>
              <w:rPr>
                <w:rFonts w:ascii="Arial" w:hAnsi="Arial"/>
                <w:bCs/>
                <w:snapToGrid w:val="0"/>
              </w:rPr>
            </w:pPr>
            <w:r>
              <w:rPr>
                <w:bCs/>
                <w:snapToGrid w:val="0"/>
              </w:rPr>
              <w:t>r. 1 and 2: 7 Feb 2014 (see r. 2(a));</w:t>
            </w:r>
            <w:r>
              <w:rPr>
                <w:bCs/>
                <w:snapToGrid w:val="0"/>
              </w:rPr>
              <w:br/>
              <w:t>Regulations other than r. 1 and 2: 8 Feb 2014 (see r. 2(b))</w:t>
            </w:r>
          </w:p>
        </w:tc>
      </w:tr>
      <w:tr>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blPrEx>
          <w:tblBorders>
            <w:top w:val="single" w:sz="8" w:space="0" w:color="auto"/>
            <w:bottom w:val="single" w:sz="4" w:space="0" w:color="auto"/>
            <w:insideH w:val="single" w:sz="8" w:space="0" w:color="auto"/>
          </w:tblBorders>
        </w:tblPrEx>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blPrEx>
          <w:tblBorders>
            <w:top w:val="single" w:sz="8" w:space="0" w:color="auto"/>
            <w:bottom w:val="single" w:sz="4" w:space="0" w:color="auto"/>
            <w:insideH w:val="single" w:sz="8" w:space="0" w:color="auto"/>
          </w:tblBorders>
        </w:tblPrEx>
        <w:tc>
          <w:tcPr>
            <w:tcW w:w="3090" w:type="dxa"/>
            <w:tcBorders>
              <w:top w:val="nil"/>
              <w:bottom w:val="nil"/>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pPr>
              <w:pStyle w:val="nTable"/>
              <w:spacing w:after="40"/>
            </w:pPr>
            <w:r>
              <w:t>23 Dec 2016 p. 5913</w:t>
            </w:r>
            <w:r>
              <w:noBreakHyphen/>
              <w:t>15</w:t>
            </w:r>
          </w:p>
        </w:tc>
        <w:tc>
          <w:tcPr>
            <w:tcW w:w="2722" w:type="dxa"/>
            <w:tcBorders>
              <w:top w:val="nil"/>
              <w:bottom w:val="nil"/>
            </w:tcBorders>
          </w:tcPr>
          <w:p>
            <w:pPr>
              <w:pStyle w:val="nTable"/>
              <w:spacing w:after="40"/>
              <w:rPr>
                <w:bCs/>
                <w:i/>
                <w:snapToGrid w:val="0"/>
              </w:rPr>
            </w:pPr>
            <w:r>
              <w:rPr>
                <w:bCs/>
                <w:snapToGrid w:val="0"/>
              </w:rPr>
              <w:t>24 Dec 2016 (see r. 2(b))</w:t>
            </w:r>
          </w:p>
        </w:tc>
      </w:tr>
      <w:tr>
        <w:tblPrEx>
          <w:tblBorders>
            <w:top w:val="single" w:sz="8" w:space="0" w:color="auto"/>
            <w:bottom w:val="single" w:sz="4" w:space="0" w:color="auto"/>
            <w:insideH w:val="single" w:sz="8" w:space="0" w:color="auto"/>
          </w:tblBorders>
        </w:tblPrEx>
        <w:tc>
          <w:tcPr>
            <w:tcW w:w="3090" w:type="dxa"/>
            <w:tcBorders>
              <w:top w:val="nil"/>
              <w:bottom w:val="single" w:sz="4" w:space="0" w:color="auto"/>
            </w:tcBorders>
          </w:tcPr>
          <w:p>
            <w:pPr>
              <w:pStyle w:val="nTable"/>
              <w:spacing w:after="40"/>
              <w:rPr>
                <w:i/>
              </w:rPr>
            </w:pPr>
            <w:r>
              <w:rPr>
                <w:bCs/>
                <w:i/>
                <w:iCs/>
              </w:rPr>
              <w:t>Jetties Amendment Regulations 2017</w:t>
            </w:r>
          </w:p>
        </w:tc>
        <w:tc>
          <w:tcPr>
            <w:tcW w:w="1276" w:type="dxa"/>
            <w:tcBorders>
              <w:top w:val="nil"/>
              <w:bottom w:val="single" w:sz="4" w:space="0" w:color="auto"/>
            </w:tcBorders>
          </w:tcPr>
          <w:p>
            <w:pPr>
              <w:pStyle w:val="nTable"/>
              <w:keepNext/>
              <w:keepLines/>
              <w:spacing w:after="40"/>
            </w:pPr>
            <w:r>
              <w:t>26 May 2017</w:t>
            </w:r>
          </w:p>
          <w:p>
            <w:pPr>
              <w:pStyle w:val="nTable"/>
              <w:spacing w:after="40"/>
            </w:pPr>
            <w:r>
              <w:t>p. 2623</w:t>
            </w:r>
            <w:r>
              <w:noBreakHyphen/>
              <w:t>32</w:t>
            </w:r>
          </w:p>
        </w:tc>
        <w:tc>
          <w:tcPr>
            <w:tcW w:w="2722" w:type="dxa"/>
            <w:tcBorders>
              <w:top w:val="nil"/>
              <w:bottom w:val="single" w:sz="4" w:space="0" w:color="auto"/>
            </w:tcBorders>
          </w:tcPr>
          <w:p>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bl>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reprint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Subsection"/>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Heading5"/>
      </w:pPr>
      <w:r>
        <w:rPr>
          <w:rStyle w:val="CharSectno"/>
        </w:rPr>
        <w:tab/>
      </w:r>
      <w:r>
        <w:t>17.</w:t>
      </w:r>
      <w:r>
        <w:tab/>
        <w:t>Regulation 95A amended</w:t>
      </w:r>
    </w:p>
    <w:p>
      <w:pPr>
        <w:pStyle w:val="nSubsection"/>
      </w:pPr>
      <w:r>
        <w:tab/>
      </w:r>
      <w:r>
        <w:tab/>
      </w:r>
      <w:r>
        <w:tab/>
        <w:t>In regulation 95A(1) delete “schedule of charges.” and insert:</w:t>
      </w:r>
    </w:p>
    <w:p>
      <w:pPr>
        <w:pStyle w:val="BlankOpen"/>
      </w:pPr>
    </w:p>
    <w:p>
      <w:pPr>
        <w:pStyle w:val="nSubsection"/>
        <w:ind w:left="1440" w:hanging="1440"/>
      </w:pPr>
      <w:r>
        <w:tab/>
      </w:r>
      <w:r>
        <w:tab/>
        <w:t>the requirement to pay any applicable dues or charges prescribed in Schedule 1.</w:t>
      </w:r>
    </w:p>
    <w:p>
      <w:pPr>
        <w:pStyle w:val="BlankClose"/>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453" w:name="_Toc470188474"/>
      <w:bookmarkStart w:id="454" w:name="_Toc483481974"/>
      <w:bookmarkStart w:id="455" w:name="_Toc483493840"/>
      <w:bookmarkStart w:id="456" w:name="_Toc483552947"/>
      <w:bookmarkStart w:id="457" w:name="_Toc485378294"/>
      <w:bookmarkStart w:id="458" w:name="_Toc486502653"/>
      <w:bookmarkStart w:id="459" w:name="_Toc486502857"/>
      <w:bookmarkStart w:id="460" w:name="_Toc486503061"/>
      <w:r>
        <w:rPr>
          <w:sz w:val="28"/>
        </w:rPr>
        <w:t>Defined terms</w:t>
      </w:r>
      <w:bookmarkEnd w:id="453"/>
      <w:bookmarkEnd w:id="454"/>
      <w:bookmarkEnd w:id="455"/>
      <w:bookmarkEnd w:id="456"/>
      <w:bookmarkEnd w:id="457"/>
      <w:bookmarkEnd w:id="458"/>
      <w:bookmarkEnd w:id="459"/>
      <w:bookmarkEnd w:id="4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berthing due</w:t>
      </w:r>
      <w:r>
        <w:tab/>
        <w:t>6(1)</w:t>
      </w:r>
    </w:p>
    <w:p>
      <w:pPr>
        <w:pStyle w:val="DefinedTerms"/>
      </w:pPr>
      <w:r>
        <w:t>catamaran pen</w:t>
      </w:r>
      <w:r>
        <w:tab/>
        <w:t>6(1)</w:t>
      </w:r>
    </w:p>
    <w:p>
      <w:pPr>
        <w:pStyle w:val="DefinedTerms"/>
      </w:pPr>
      <w:r>
        <w:t>commercial vessel</w:t>
      </w:r>
      <w:r>
        <w:tab/>
        <w:t>3(1)</w:t>
      </w:r>
    </w:p>
    <w:p>
      <w:pPr>
        <w:pStyle w:val="DefinedTerms"/>
      </w:pPr>
      <w:r>
        <w:t>day</w:t>
      </w:r>
      <w:r>
        <w:tab/>
        <w:t>3(2)</w:t>
      </w:r>
    </w:p>
    <w:p>
      <w:pPr>
        <w:pStyle w:val="DefinedTerms"/>
      </w:pPr>
      <w:r>
        <w:t>Department</w:t>
      </w:r>
      <w:r>
        <w:tab/>
        <w:t>3(1)</w:t>
      </w:r>
    </w:p>
    <w:p>
      <w:pPr>
        <w:pStyle w:val="DefinedTerms"/>
      </w:pPr>
      <w:r>
        <w:t>enhanced facilities</w:t>
      </w:r>
      <w:r>
        <w:tab/>
        <w:t>Sch. 1 cl. 26(1)</w:t>
      </w:r>
    </w:p>
    <w:p>
      <w:pPr>
        <w:pStyle w:val="DefinedTerms"/>
      </w:pPr>
      <w:r>
        <w:t>fishing vessel</w:t>
      </w:r>
      <w:r>
        <w:tab/>
        <w:t>3(1)</w:t>
      </w:r>
    </w:p>
    <w:p>
      <w:pPr>
        <w:pStyle w:val="DefinedTerms"/>
      </w:pPr>
      <w:r>
        <w:t>jetty</w:t>
      </w:r>
      <w:r>
        <w:tab/>
        <w:t>3(1)</w:t>
      </w:r>
    </w:p>
    <w:p>
      <w:pPr>
        <w:pStyle w:val="DefinedTerms"/>
      </w:pPr>
      <w:r>
        <w:t>master</w:t>
      </w:r>
      <w:r>
        <w:tab/>
        <w:t>3(1)</w:t>
      </w:r>
    </w:p>
    <w:p>
      <w:pPr>
        <w:pStyle w:val="DefinedTerms"/>
      </w:pPr>
      <w:r>
        <w:t>officer</w:t>
      </w:r>
      <w:r>
        <w:tab/>
        <w:t>3(1)</w:t>
      </w:r>
    </w:p>
    <w:p>
      <w:pPr>
        <w:pStyle w:val="DefinedTerms"/>
      </w:pPr>
      <w:r>
        <w:t>owner</w:t>
      </w:r>
      <w:r>
        <w:tab/>
        <w:t>3(1)</w:t>
      </w:r>
    </w:p>
    <w:p>
      <w:pPr>
        <w:pStyle w:val="DefinedTerms"/>
      </w:pPr>
      <w:r>
        <w:t>premises</w:t>
      </w:r>
      <w:r>
        <w:tab/>
        <w:t>3(1)</w:t>
      </w:r>
    </w:p>
    <w:p>
      <w:pPr>
        <w:pStyle w:val="DefinedTerms"/>
      </w:pPr>
      <w:r>
        <w:t>public jetty</w:t>
      </w:r>
      <w:r>
        <w:tab/>
        <w:t>3(1)</w:t>
      </w:r>
    </w:p>
    <w:p>
      <w:pPr>
        <w:pStyle w:val="DefinedTerms"/>
      </w:pPr>
      <w:r>
        <w:t>recreational vessel</w:t>
      </w:r>
      <w:r>
        <w:tab/>
        <w:t>3(1)</w:t>
      </w:r>
    </w:p>
    <w:p>
      <w:pPr>
        <w:pStyle w:val="DefinedTerms"/>
      </w:pPr>
      <w:r>
        <w:t>service vessel</w:t>
      </w:r>
      <w:r>
        <w:tab/>
        <w:t>Sch. 1 cl. 12(2), 21(2) and 22(2)</w:t>
      </w:r>
    </w:p>
    <w:p>
      <w:pPr>
        <w:pStyle w:val="DefinedTerms"/>
      </w:pPr>
      <w:r>
        <w:t>short term</w:t>
      </w:r>
      <w:r>
        <w:tab/>
        <w:t>3(2)</w:t>
      </w:r>
    </w:p>
    <w:p>
      <w:pPr>
        <w:pStyle w:val="DefinedTerms"/>
      </w:pPr>
      <w:r>
        <w:t>swing mooring fee</w:t>
      </w:r>
      <w:r>
        <w:tab/>
        <w:t>3(1)</w:t>
      </w:r>
    </w:p>
    <w:p>
      <w:pPr>
        <w:pStyle w:val="DefinedTerms"/>
      </w:pPr>
      <w:r>
        <w:t>tourism vessel</w:t>
      </w:r>
      <w:r>
        <w:tab/>
        <w:t>3(1)</w:t>
      </w:r>
    </w:p>
    <w:p>
      <w:pPr>
        <w:pStyle w:val="DefinedTerms"/>
      </w:pPr>
      <w:r>
        <w:t>unit</w:t>
      </w:r>
      <w:r>
        <w:tab/>
        <w:t>3(5)</w:t>
      </w:r>
    </w:p>
    <w:p>
      <w:pPr>
        <w:pStyle w:val="DefinedTerms"/>
      </w:pPr>
      <w:r>
        <w:t>vessel</w:t>
      </w:r>
      <w:r>
        <w:tab/>
        <w:t>3(1)</w:t>
      </w:r>
    </w:p>
    <w:p>
      <w:pPr>
        <w:pStyle w:val="DefinedTerms"/>
      </w:pPr>
      <w:r>
        <w:t>week</w:t>
      </w:r>
      <w:r>
        <w:tab/>
        <w:t>3(2)</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434" w:name="Schedule"/>
    <w:bookmarkEnd w:id="4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boat pens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Charges for boat pens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2" w:name="Compilation"/>
    <w:bookmarkEnd w:id="45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1" w:name="DefinedTerms"/>
    <w:bookmarkEnd w:id="46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2" w:name="Coversheet"/>
    <w:bookmarkEnd w:id="46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3</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3</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F54"/>
    <w:lvl w:ilvl="0">
      <w:start w:val="1"/>
      <w:numFmt w:val="decimal"/>
      <w:lvlText w:val="%1."/>
      <w:lvlJc w:val="left"/>
      <w:pPr>
        <w:tabs>
          <w:tab w:val="num" w:pos="1492"/>
        </w:tabs>
        <w:ind w:left="1492" w:hanging="360"/>
      </w:pPr>
    </w:lvl>
  </w:abstractNum>
  <w:abstractNum w:abstractNumId="1">
    <w:nsid w:val="FFFFFF7D"/>
    <w:multiLevelType w:val="singleLevel"/>
    <w:tmpl w:val="39BC533A"/>
    <w:lvl w:ilvl="0">
      <w:start w:val="1"/>
      <w:numFmt w:val="decimal"/>
      <w:lvlText w:val="%1."/>
      <w:lvlJc w:val="left"/>
      <w:pPr>
        <w:tabs>
          <w:tab w:val="num" w:pos="1209"/>
        </w:tabs>
        <w:ind w:left="1209" w:hanging="360"/>
      </w:pPr>
    </w:lvl>
  </w:abstractNum>
  <w:abstractNum w:abstractNumId="2">
    <w:nsid w:val="FFFFFF7E"/>
    <w:multiLevelType w:val="singleLevel"/>
    <w:tmpl w:val="FD3A4256"/>
    <w:lvl w:ilvl="0">
      <w:start w:val="1"/>
      <w:numFmt w:val="decimal"/>
      <w:lvlText w:val="%1."/>
      <w:lvlJc w:val="left"/>
      <w:pPr>
        <w:tabs>
          <w:tab w:val="num" w:pos="926"/>
        </w:tabs>
        <w:ind w:left="926" w:hanging="360"/>
      </w:pPr>
    </w:lvl>
  </w:abstractNum>
  <w:abstractNum w:abstractNumId="3">
    <w:nsid w:val="FFFFFF7F"/>
    <w:multiLevelType w:val="singleLevel"/>
    <w:tmpl w:val="C8E23BB6"/>
    <w:lvl w:ilvl="0">
      <w:start w:val="1"/>
      <w:numFmt w:val="decimal"/>
      <w:lvlText w:val="%1."/>
      <w:lvlJc w:val="left"/>
      <w:pPr>
        <w:tabs>
          <w:tab w:val="num" w:pos="643"/>
        </w:tabs>
        <w:ind w:left="643" w:hanging="360"/>
      </w:pPr>
    </w:lvl>
  </w:abstractNum>
  <w:abstractNum w:abstractNumId="4">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E831FA"/>
    <w:lvl w:ilvl="0">
      <w:start w:val="1"/>
      <w:numFmt w:val="decimal"/>
      <w:lvlText w:val="%1."/>
      <w:lvlJc w:val="left"/>
      <w:pPr>
        <w:tabs>
          <w:tab w:val="num" w:pos="360"/>
        </w:tabs>
        <w:ind w:left="360" w:hanging="360"/>
      </w:pPr>
    </w:lvl>
  </w:abstractNum>
  <w:abstractNum w:abstractNumId="9">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E5B4C5A"/>
    <w:multiLevelType w:val="hybridMultilevel"/>
    <w:tmpl w:val="A4DCF4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078357F"/>
    <w:multiLevelType w:val="multilevel"/>
    <w:tmpl w:val="22A0C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4486386"/>
    <w:multiLevelType w:val="hybridMultilevel"/>
    <w:tmpl w:val="CB58A76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22153555"/>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1C767-0A30-473A-AD30-7879A89E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28346</Words>
  <Characters>130680</Characters>
  <Application>Microsoft Office Word</Application>
  <DocSecurity>0</DocSecurity>
  <Lines>4840</Lines>
  <Paragraphs>2891</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1940 - 09-g0-01</dc:title>
  <dc:subject/>
  <dc:creator/>
  <cp:keywords/>
  <dc:description/>
  <cp:lastModifiedBy>svcMRProcess</cp:lastModifiedBy>
  <cp:revision>4</cp:revision>
  <cp:lastPrinted>2017-06-29T08:54:00Z</cp:lastPrinted>
  <dcterms:created xsi:type="dcterms:W3CDTF">2019-05-31T09:18:00Z</dcterms:created>
  <dcterms:modified xsi:type="dcterms:W3CDTF">2019-05-31T09:18:00Z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01 Jul 2017</vt:lpwstr>
  </property>
  <property fmtid="{D5CDD505-2E9C-101B-9397-08002B2CF9AE}" pid="8" name="Suffix">
    <vt:lpwstr>09-g0-01</vt:lpwstr>
  </property>
  <property fmtid="{D5CDD505-2E9C-101B-9397-08002B2CF9AE}" pid="9" name="CommencementDate">
    <vt:lpwstr>20170701</vt:lpwstr>
  </property>
</Properties>
</file>