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_Toc486423620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r>
        <w:tab/>
      </w:r>
      <w:r>
        <w:fldChar w:fldCharType="begin"/>
      </w:r>
      <w:r>
        <w:instrText xml:space="preserve"> PAGEREF _Toc486423621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r>
        <w:tab/>
      </w:r>
      <w:r>
        <w:fldChar w:fldCharType="begin"/>
      </w:r>
      <w:r>
        <w:instrText xml:space="preserve"> PAGEREF _Toc486423622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r>
        <w:tab/>
      </w:r>
      <w:r>
        <w:fldChar w:fldCharType="begin"/>
      </w:r>
      <w:r>
        <w:instrText xml:space="preserve"> PAGEREF _Toc486423623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r>
        <w:tab/>
      </w:r>
      <w:r>
        <w:fldChar w:fldCharType="begin"/>
      </w:r>
      <w:r>
        <w:instrText xml:space="preserve"> PAGEREF _Toc486423624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7A.</w:t>
      </w:r>
      <w:r>
        <w:tab/>
        <w:t>Prescribed particulars for register of authorisations</w:t>
      </w:r>
      <w:r>
        <w:tab/>
      </w:r>
      <w:r>
        <w:fldChar w:fldCharType="begin"/>
      </w:r>
      <w:r>
        <w:instrText xml:space="preserve"> PAGEREF _Toc486423625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7B.</w:t>
      </w:r>
      <w:r>
        <w:tab/>
        <w:t>Changes in employment of yard managers and salespersons must be notified to Commissioner</w:t>
      </w:r>
      <w:r>
        <w:tab/>
      </w:r>
      <w:r>
        <w:fldChar w:fldCharType="begin"/>
      </w:r>
      <w:r>
        <w:instrText xml:space="preserve"> PAGEREF _Toc486423626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Classes of business and categories of licence prescribed (Act s. 5A)</w:t>
      </w:r>
      <w:r>
        <w:tab/>
      </w:r>
      <w:r>
        <w:fldChar w:fldCharType="begin"/>
      </w:r>
      <w:r>
        <w:instrText xml:space="preserve"> PAGEREF _Toc486423627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Exempt sales and exempt exchanges prescribed (Act s. 5B(4))</w:t>
      </w:r>
      <w:r>
        <w:tab/>
      </w:r>
      <w:r>
        <w:fldChar w:fldCharType="begin"/>
      </w:r>
      <w:r>
        <w:instrText xml:space="preserve"> PAGEREF _Toc486423628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Third Schedule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Fourth 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Classes and descriptions of business and categories of dealer’s licence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_Toc486423633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3" w:name="_Toc4864236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</w:t>
      </w:r>
      <w:r>
        <w:rPr>
          <w:b/>
        </w:rPr>
        <w:noBreakHyphen/>
        <w:t>5.</w:t>
      </w:r>
      <w:r>
        <w:tab/>
        <w:t>Deleted in Gazette 27 Jun 2017 p. 3413.]</w:t>
      </w:r>
    </w:p>
    <w:p>
      <w:pPr>
        <w:pStyle w:val="Heading5"/>
        <w:rPr>
          <w:snapToGrid w:val="0"/>
        </w:rPr>
      </w:pPr>
      <w:bookmarkStart w:id="4" w:name="_Toc48642362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 in Gazette 13 Aug 2002 p. 4156.]</w:t>
      </w:r>
    </w:p>
    <w:p>
      <w:pPr>
        <w:pStyle w:val="Heading5"/>
        <w:rPr>
          <w:snapToGrid w:val="0"/>
        </w:rPr>
      </w:pPr>
      <w:bookmarkStart w:id="5" w:name="_Toc48642362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 in Gazette 29 Dec 1995 p. 6343.] </w:t>
      </w:r>
    </w:p>
    <w:p>
      <w:pPr>
        <w:pStyle w:val="Heading5"/>
        <w:rPr>
          <w:snapToGrid w:val="0"/>
        </w:rPr>
      </w:pPr>
      <w:bookmarkStart w:id="6" w:name="_Toc48642362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 in Gazette 29 Dec 1995 p. 6343.] </w:t>
      </w:r>
    </w:p>
    <w:p>
      <w:pPr>
        <w:pStyle w:val="Heading5"/>
        <w:rPr>
          <w:snapToGrid w:val="0"/>
        </w:rPr>
      </w:pPr>
      <w:bookmarkStart w:id="7" w:name="_Toc48642362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 in Gazette 29 Dec 1995 p. 6343.] </w:t>
      </w:r>
    </w:p>
    <w:p>
      <w:pPr>
        <w:pStyle w:val="Heading5"/>
      </w:pPr>
      <w:bookmarkStart w:id="8" w:name="_Toc483319696"/>
      <w:bookmarkStart w:id="9" w:name="_Toc483319736"/>
      <w:bookmarkStart w:id="10" w:name="_Toc486423625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8"/>
      <w:bookmarkEnd w:id="9"/>
      <w:bookmarkEnd w:id="10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bookmarkStart w:id="11" w:name="_Toc483319697"/>
      <w:bookmarkStart w:id="12" w:name="_Toc483319737"/>
      <w:r>
        <w:tab/>
        <w:t>[Regulation 7A inserted in Gazette 27 Jun 2017 p. 3413</w:t>
      </w:r>
      <w:r>
        <w:noBreakHyphen/>
        <w:t xml:space="preserve">14.] </w:t>
      </w:r>
    </w:p>
    <w:p>
      <w:pPr>
        <w:pStyle w:val="Heading5"/>
      </w:pPr>
      <w:bookmarkStart w:id="13" w:name="_Toc486423626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1"/>
      <w:bookmarkEnd w:id="12"/>
      <w:bookmarkEnd w:id="13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 in Gazette 27 Jun 2017 p. 3414.] </w:t>
      </w:r>
    </w:p>
    <w:p>
      <w:pPr>
        <w:pStyle w:val="Heading5"/>
      </w:pPr>
      <w:bookmarkStart w:id="14" w:name="_Toc486423627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4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 in Gazette 13 Aug 2002 p. 4156.]</w:t>
      </w:r>
    </w:p>
    <w:p>
      <w:pPr>
        <w:pStyle w:val="Heading5"/>
        <w:spacing w:before="160"/>
      </w:pPr>
      <w:bookmarkStart w:id="15" w:name="_Toc486423628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5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 in Gazette 10 Jan 2012 p. 409</w:t>
      </w:r>
      <w:r>
        <w:noBreakHyphen/>
        <w:t>11; amended in Gazette 8 Jan 2015 p. 86.]</w:t>
      </w:r>
    </w:p>
    <w:p>
      <w:pPr>
        <w:pStyle w:val="yEdnoteschedule"/>
      </w:pPr>
      <w:r>
        <w:t>[First and Second Schedule deleted in Gazette 27 Jun 2017 p. 3414.]</w:t>
      </w:r>
    </w:p>
    <w:p>
      <w:pPr>
        <w:pStyle w:val="yEdnoteschedule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09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6" w:name="_Toc455046390"/>
      <w:bookmarkStart w:id="17" w:name="_Toc455046410"/>
      <w:bookmarkStart w:id="18" w:name="_Toc485983672"/>
      <w:bookmarkStart w:id="19" w:name="_Toc486423629"/>
      <w:r>
        <w:rPr>
          <w:rStyle w:val="CharSchNo"/>
        </w:rPr>
        <w:t>Third Schedule</w:t>
      </w:r>
      <w:r>
        <w:t> — </w:t>
      </w:r>
      <w:r>
        <w:rPr>
          <w:rStyle w:val="CharSchText"/>
        </w:rPr>
        <w:t>Fees</w:t>
      </w:r>
      <w:bookmarkEnd w:id="16"/>
      <w:bookmarkEnd w:id="17"/>
      <w:bookmarkEnd w:id="18"/>
      <w:bookmarkEnd w:id="19"/>
    </w:p>
    <w:p>
      <w:pPr>
        <w:pStyle w:val="yShoulderClause"/>
      </w:pPr>
      <w:r>
        <w:t>[r. 7]</w:t>
      </w:r>
    </w:p>
    <w:p>
      <w:pPr>
        <w:pStyle w:val="yFootnoteheading"/>
        <w:spacing w:after="80"/>
      </w:pPr>
      <w:r>
        <w:tab/>
        <w:t>[Heading inserted in Gazette 17 Jun 2014 p. 1969.]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3"/>
        <w:gridCol w:w="4942"/>
        <w:gridCol w:w="1153"/>
      </w:tblGrid>
      <w:tr>
        <w:trPr>
          <w:cantSplit/>
          <w:tblHeader/>
        </w:trPr>
        <w:tc>
          <w:tcPr>
            <w:tcW w:w="993" w:type="dxa"/>
          </w:tcPr>
          <w:p>
            <w:pPr>
              <w:pStyle w:val="yTableNAm"/>
            </w:pPr>
            <w:r>
              <w:rPr>
                <w:b/>
              </w:rPr>
              <w:t>Item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center"/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dealer’s licence or renewal of a dealer’s licence for the period prescribed by regulation 6A 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20E(5) in relation to the licence, a 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870.35</w:t>
            </w:r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141.95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20F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a temporary permit under section 20H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182.15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yard manager’s licence or renewal of yard manager’s licence for the period prescribed by regulation 6A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438.85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salesperson’s licence or renewal of salesperson’s licence for the period prescribed by regulation 6A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298.45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Application for car market operator’s registration or renewal of car market operator’s registration </w:t>
            </w:r>
            <w:r>
              <w:tab/>
            </w:r>
          </w:p>
          <w:p>
            <w:pPr>
              <w:pStyle w:val="yTableNAm"/>
              <w:tabs>
                <w:tab w:val="left" w:leader="dot" w:pos="4820"/>
              </w:tabs>
            </w:pPr>
            <w:r>
              <w:t xml:space="preserve">plus, in respect of each premises to be authorised under section 21A(5) in relation to the registration, a further </w:t>
            </w:r>
            <w:r>
              <w:tab/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866.25</w:t>
            </w:r>
          </w:p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alteration of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141.95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under section 21B in respect of each added premises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866.25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Application for exemption from the Act under section 31(1)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rPr>
                <w:szCs w:val="22"/>
              </w:rPr>
              <w:t>139.50</w:t>
            </w:r>
          </w:p>
        </w:tc>
      </w:tr>
      <w:tr>
        <w:trPr>
          <w:cantSplit/>
        </w:trPr>
        <w:tc>
          <w:tcPr>
            <w:tcW w:w="5935" w:type="dxa"/>
            <w:gridSpan w:val="2"/>
          </w:tcPr>
          <w:p>
            <w:pPr>
              <w:pStyle w:val="yTableNAm"/>
              <w:tabs>
                <w:tab w:val="left" w:pos="1109"/>
                <w:tab w:val="left" w:leader="dot" w:pos="4820"/>
              </w:tabs>
            </w:pPr>
            <w:r>
              <w:rPr>
                <w:i/>
              </w:rPr>
              <w:t>[11-15. deleted]</w:t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Duplicate licence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nil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4942" w:type="dxa"/>
            <w:tcBorders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>Certificate showing whether or not a person was recorded in the register kept under section 24 as the holder of an authorisation on a specified date or during a specific period —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first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11.60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942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each subsequent page </w:t>
            </w:r>
            <w:r>
              <w:tab/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2.20</w:t>
            </w:r>
          </w:p>
        </w:tc>
      </w:tr>
      <w:tr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Certificate showing all persons recorded in the register kept under section 24 as the holders of an authorisation on a specified date or during a specific period </w:t>
            </w:r>
            <w: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115.50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rPr>
                <w:sz w:val="24"/>
              </w:rPr>
              <w:br w:type="page"/>
            </w:r>
            <w:r>
              <w:t>19.</w:t>
            </w:r>
          </w:p>
        </w:tc>
        <w:tc>
          <w:tcPr>
            <w:tcW w:w="4942" w:type="dxa"/>
          </w:tcPr>
          <w:p>
            <w:pPr>
              <w:pStyle w:val="yTableNAm"/>
              <w:tabs>
                <w:tab w:val="left" w:leader="dot" w:pos="4820"/>
              </w:tabs>
            </w:pPr>
            <w:r>
              <w:t xml:space="preserve">Inspection of register kept under section 24 </w:t>
            </w:r>
            <w:r>
              <w:tab/>
            </w:r>
          </w:p>
        </w:tc>
        <w:tc>
          <w:tcPr>
            <w:tcW w:w="1153" w:type="dxa"/>
          </w:tcPr>
          <w:p>
            <w:pPr>
              <w:pStyle w:val="yTableNAm"/>
              <w:tabs>
                <w:tab w:val="clear" w:pos="567"/>
                <w:tab w:val="left" w:pos="336"/>
              </w:tabs>
              <w:jc w:val="right"/>
            </w:pPr>
            <w:r>
              <w:rPr>
                <w:szCs w:val="22"/>
              </w:rPr>
              <w:t>11.25</w:t>
            </w:r>
          </w:p>
        </w:tc>
      </w:tr>
    </w:tbl>
    <w:p>
      <w:pPr>
        <w:pStyle w:val="yFootnotesection"/>
      </w:pPr>
      <w:r>
        <w:tab/>
        <w:t>[Third Schedule inserted in Gazette 17 Jun 2014 p. 1969-70; amended in Gazette 15 Jul 2014 p. 2461-2; 23 Jun 2015 p. 2178</w:t>
      </w:r>
      <w:r>
        <w:noBreakHyphen/>
        <w:t>9; 3 Jun 2016 p. 1763-4; 23 Jun 2017 p. 3242</w:t>
      </w:r>
      <w:r>
        <w:noBreakHyphen/>
        <w:t>3.]</w:t>
      </w:r>
    </w:p>
    <w:p>
      <w:pPr>
        <w:pStyle w:val="yScheduleHeading"/>
      </w:pPr>
      <w:bookmarkStart w:id="20" w:name="_Toc455046391"/>
      <w:bookmarkStart w:id="21" w:name="_Toc455046411"/>
      <w:bookmarkStart w:id="22" w:name="_Toc485983673"/>
      <w:bookmarkStart w:id="23" w:name="_Toc486423630"/>
      <w:r>
        <w:rPr>
          <w:rStyle w:val="CharSchNo"/>
        </w:rPr>
        <w:t>Fourth Schedule</w:t>
      </w:r>
      <w:bookmarkEnd w:id="20"/>
      <w:bookmarkEnd w:id="21"/>
      <w:bookmarkEnd w:id="22"/>
      <w:bookmarkEnd w:id="23"/>
    </w:p>
    <w:p>
      <w:pPr>
        <w:pStyle w:val="yShoulderClause"/>
      </w:pPr>
      <w:r>
        <w:t>[r. 8]</w:t>
      </w:r>
    </w:p>
    <w:p>
      <w:pPr>
        <w:pStyle w:val="yHeading2"/>
        <w:spacing w:before="120" w:after="120"/>
        <w:outlineLvl w:val="9"/>
      </w:pPr>
      <w:bookmarkStart w:id="24" w:name="_Toc455046392"/>
      <w:bookmarkStart w:id="25" w:name="_Toc455046412"/>
      <w:bookmarkStart w:id="26" w:name="_Toc485983674"/>
      <w:bookmarkStart w:id="27" w:name="_Toc486423631"/>
      <w:r>
        <w:rPr>
          <w:rStyle w:val="CharSchText"/>
        </w:rPr>
        <w:t>Classes and descriptions of business and categories of dealer’s licence</w:t>
      </w:r>
      <w:bookmarkEnd w:id="24"/>
      <w:bookmarkEnd w:id="25"/>
      <w:bookmarkEnd w:id="26"/>
      <w:bookmarkEnd w:id="27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 in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8" w:name="_Toc455046393"/>
      <w:bookmarkStart w:id="29" w:name="_Toc455046413"/>
      <w:bookmarkStart w:id="30" w:name="_Toc485983675"/>
      <w:bookmarkStart w:id="31" w:name="_Toc486423632"/>
      <w:r>
        <w:t>Notes</w:t>
      </w:r>
      <w:bookmarkEnd w:id="28"/>
      <w:bookmarkEnd w:id="29"/>
      <w:bookmarkEnd w:id="30"/>
      <w:bookmarkEnd w:id="3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2" w:name="_Toc486423633"/>
      <w:r>
        <w:t>Compilation table</w:t>
      </w:r>
      <w:bookmarkEnd w:id="3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29"/>
        <w:gridCol w:w="2693"/>
        <w:gridCol w:w="18"/>
      </w:tblGrid>
      <w:tr>
        <w:trPr>
          <w:gridAfter w:val="1"/>
          <w:wAfter w:w="18" w:type="dxa"/>
          <w:cantSplit/>
          <w:tblHeader/>
        </w:trPr>
        <w:tc>
          <w:tcPr>
            <w:tcW w:w="3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305" w:type="dxa"/>
            <w:gridSpan w:val="2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15 Jul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305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rPr>
          <w:gridAfter w:val="1"/>
          <w:wAfter w:w="18" w:type="dxa"/>
          <w:cantSplit/>
        </w:trPr>
        <w:tc>
          <w:tcPr>
            <w:tcW w:w="7121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1"/>
          <w:wAfter w:w="18" w:type="dxa"/>
        </w:trP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305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4" w:name="_Toc485983677"/>
      <w:bookmarkStart w:id="35" w:name="_Toc486423634"/>
      <w:r>
        <w:rPr>
          <w:sz w:val="28"/>
        </w:rPr>
        <w:t>Defined terms</w:t>
      </w:r>
      <w:bookmarkEnd w:id="34"/>
      <w:bookmarkEnd w:id="3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form</w:t>
      </w:r>
      <w:r>
        <w:tab/>
        <w:t>2</w:t>
      </w:r>
    </w:p>
    <w:p>
      <w:pPr>
        <w:pStyle w:val="DefinedTerms"/>
      </w:pPr>
      <w:r>
        <w:t>related company</w:t>
      </w:r>
      <w:r>
        <w:tab/>
        <w:t>9(1)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06-d0-01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6" w:name="DefinedTerms"/>
    <w:bookmarkEnd w:id="3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7" w:name="Coversheet"/>
    <w:bookmarkEnd w:id="3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30102954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3052</Words>
  <Characters>14652</Characters>
  <Application>Microsoft Office Word</Application>
  <DocSecurity>0</DocSecurity>
  <Lines>666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1974 - 06-d0-01</dc:title>
  <dc:subject/>
  <dc:creator/>
  <cp:keywords/>
  <dc:description/>
  <cp:lastModifiedBy>svcMRProcess</cp:lastModifiedBy>
  <cp:revision>4</cp:revision>
  <cp:lastPrinted>2015-09-01T03:58:00Z</cp:lastPrinted>
  <dcterms:created xsi:type="dcterms:W3CDTF">2017-06-30T05:30:00Z</dcterms:created>
  <dcterms:modified xsi:type="dcterms:W3CDTF">2017-06-30T05:30:00Z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AsAtDate">
    <vt:lpwstr>01 Jul 2017</vt:lpwstr>
  </property>
  <property fmtid="{D5CDD505-2E9C-101B-9397-08002B2CF9AE}" pid="8" name="Suffix">
    <vt:lpwstr>06-d0-01</vt:lpwstr>
  </property>
  <property fmtid="{D5CDD505-2E9C-101B-9397-08002B2CF9AE}" pid="9" name="CommencementDate">
    <vt:lpwstr>20170701</vt:lpwstr>
  </property>
</Properties>
</file>