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_Toc170125242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_Toc170125243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_Toc170125244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_Toc170125245 \h </w:instrText>
      </w:r>
      <w:r>
        <w:fldChar w:fldCharType="separate"/>
      </w:r>
      <w:r>
        <w:t>3</w:t>
      </w:r>
      <w:r>
        <w:fldChar w:fldCharType="end"/>
      </w:r>
    </w:p>
    <w:p>
      <w:pPr>
        <w:pStyle w:val="TOC2"/>
        <w:tabs>
          <w:tab w:val="right" w:leader="dot" w:pos="7086"/>
        </w:tabs>
        <w:rPr>
          <w:b w:val="0"/>
          <w:sz w:val="24"/>
          <w:szCs w:val="24"/>
        </w:rPr>
      </w:pPr>
      <w:r>
        <w:rPr>
          <w:szCs w:val="30"/>
        </w:rPr>
        <w:t>Part 3 — The Coal Industry Superannuation Board</w:t>
      </w:r>
    </w:p>
    <w:p>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_Toc170125247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_Toc170125248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_Toc170125249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_Toc170125250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_Toc170125251 \h </w:instrText>
      </w:r>
      <w:r>
        <w:fldChar w:fldCharType="separate"/>
      </w:r>
      <w:r>
        <w:t>12</w:t>
      </w:r>
      <w:r>
        <w:fldChar w:fldCharType="end"/>
      </w:r>
    </w:p>
    <w:p>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_Toc170125252 \h </w:instrText>
      </w:r>
      <w:r>
        <w:fldChar w:fldCharType="separate"/>
      </w:r>
      <w:r>
        <w:t>12</w:t>
      </w:r>
      <w:r>
        <w:fldChar w:fldCharType="end"/>
      </w:r>
    </w:p>
    <w:p>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_Toc170125253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_Toc170125254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_Toc170125255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_Toc170125256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_Toc170125257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_Toc170125258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_Toc170125259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to make determinations</w:t>
      </w:r>
      <w:r>
        <w:tab/>
      </w:r>
      <w:r>
        <w:fldChar w:fldCharType="begin"/>
      </w:r>
      <w:r>
        <w:instrText xml:space="preserve"> PAGEREF _Toc170125260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_Toc170125261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_Toc170125262 \h </w:instrText>
      </w:r>
      <w:r>
        <w:fldChar w:fldCharType="separate"/>
      </w:r>
      <w:r>
        <w:t>16</w:t>
      </w:r>
      <w:r>
        <w:fldChar w:fldCharType="end"/>
      </w:r>
    </w:p>
    <w:p>
      <w:pPr>
        <w:pStyle w:val="TOC8"/>
        <w:rPr>
          <w:sz w:val="24"/>
          <w:szCs w:val="24"/>
        </w:rPr>
      </w:pPr>
      <w:r>
        <w:rPr>
          <w:szCs w:val="24"/>
        </w:rPr>
        <w:t>20.</w:t>
      </w:r>
      <w:r>
        <w:rPr>
          <w:szCs w:val="24"/>
        </w:rPr>
        <w:tab/>
        <w:t>Appointment of actuary</w:t>
      </w:r>
      <w:r>
        <w:tab/>
      </w:r>
      <w:r>
        <w:fldChar w:fldCharType="begin"/>
      </w:r>
      <w:r>
        <w:instrText xml:space="preserve"> PAGEREF _Toc170125263 \h </w:instrText>
      </w:r>
      <w:r>
        <w:fldChar w:fldCharType="separate"/>
      </w:r>
      <w:r>
        <w:t>16</w:t>
      </w:r>
      <w:r>
        <w:fldChar w:fldCharType="end"/>
      </w:r>
    </w:p>
    <w:p>
      <w:pPr>
        <w:pStyle w:val="TOC8"/>
        <w:rPr>
          <w:sz w:val="24"/>
          <w:szCs w:val="24"/>
        </w:rPr>
      </w:pPr>
      <w:r>
        <w:rPr>
          <w:szCs w:val="24"/>
        </w:rPr>
        <w:lastRenderedPageBreak/>
        <w:t>21</w:t>
      </w:r>
      <w:r>
        <w:rPr>
          <w:snapToGrid w:val="0"/>
          <w:szCs w:val="24"/>
        </w:rPr>
        <w:t>.</w:t>
      </w:r>
      <w:r>
        <w:rPr>
          <w:snapToGrid w:val="0"/>
          <w:szCs w:val="24"/>
        </w:rPr>
        <w:tab/>
        <w:t>Officers of the Board</w:t>
      </w:r>
      <w:r>
        <w:tab/>
      </w:r>
      <w:r>
        <w:fldChar w:fldCharType="begin"/>
      </w:r>
      <w:r>
        <w:instrText xml:space="preserve"> PAGEREF _Toc170125264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_Toc170125265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_Toc170125266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_Toc170125267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_Toc170125268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_Toc170125269 \h </w:instrText>
      </w:r>
      <w:r>
        <w:fldChar w:fldCharType="separate"/>
      </w:r>
      <w:r>
        <w:t>18</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_Toc170125271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_Toc170125272 \h </w:instrText>
      </w:r>
      <w:r>
        <w:fldChar w:fldCharType="separate"/>
      </w:r>
      <w:r>
        <w:t>20</w:t>
      </w:r>
      <w:r>
        <w:fldChar w:fldCharType="end"/>
      </w:r>
    </w:p>
    <w:p>
      <w:pPr>
        <w:pStyle w:val="TOC8"/>
        <w:rPr>
          <w:sz w:val="24"/>
          <w:szCs w:val="24"/>
        </w:rPr>
      </w:pPr>
      <w:r>
        <w:rPr>
          <w:szCs w:val="24"/>
        </w:rPr>
        <w:t>29A.</w:t>
      </w:r>
      <w:r>
        <w:rPr>
          <w:szCs w:val="24"/>
        </w:rPr>
        <w:tab/>
        <w:t>Unclaimed Money Act 1990 does not apply to unclaimed benefits</w:t>
      </w:r>
      <w:r>
        <w:tab/>
      </w:r>
      <w:r>
        <w:fldChar w:fldCharType="begin"/>
      </w:r>
      <w:r>
        <w:instrText xml:space="preserve"> PAGEREF _Toc170125273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_Toc170125274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_Toc170125275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_Toc170125276 \h </w:instrText>
      </w:r>
      <w:r>
        <w:fldChar w:fldCharType="separate"/>
      </w:r>
      <w:r>
        <w:t>22</w:t>
      </w:r>
      <w:r>
        <w:fldChar w:fldCharType="end"/>
      </w:r>
    </w:p>
    <w:p>
      <w:pPr>
        <w:pStyle w:val="TOC2"/>
        <w:tabs>
          <w:tab w:val="right" w:leader="dot" w:pos="7086"/>
        </w:tabs>
        <w:rPr>
          <w:b w:val="0"/>
          <w:sz w:val="24"/>
          <w:szCs w:val="24"/>
        </w:rPr>
      </w:pPr>
      <w:r>
        <w:rPr>
          <w:szCs w:val="30"/>
        </w:rPr>
        <w:t>Part 5 — Consequential, repeal and transitional provisions</w:t>
      </w:r>
    </w:p>
    <w:p>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_Toc170125278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_Toc170125281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Elections</w:t>
      </w:r>
      <w:r>
        <w:tab/>
      </w:r>
      <w:r>
        <w:fldChar w:fldCharType="begin"/>
      </w:r>
      <w:r>
        <w:instrText xml:space="preserve"> PAGEREF _Toc170125282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Appointments</w:t>
      </w:r>
      <w:r>
        <w:tab/>
      </w:r>
      <w:r>
        <w:fldChar w:fldCharType="begin"/>
      </w:r>
      <w:r>
        <w:instrText xml:space="preserve"> PAGEREF _Toc170125283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t>Terms of office</w:t>
      </w:r>
      <w:r>
        <w:tab/>
      </w:r>
      <w:r>
        <w:fldChar w:fldCharType="begin"/>
      </w:r>
      <w:r>
        <w:instrText xml:space="preserve"> PAGEREF _Toc170125284 \h </w:instrText>
      </w:r>
      <w:r>
        <w:fldChar w:fldCharType="separate"/>
      </w:r>
      <w:r>
        <w:t>26</w:t>
      </w:r>
      <w:r>
        <w:fldChar w:fldCharType="end"/>
      </w:r>
    </w:p>
    <w:p>
      <w:pPr>
        <w:pStyle w:val="TOC8"/>
        <w:rPr>
          <w:sz w:val="24"/>
          <w:szCs w:val="24"/>
        </w:rPr>
      </w:pPr>
      <w:r>
        <w:rPr>
          <w:szCs w:val="22"/>
        </w:rPr>
        <w:t>5</w:t>
      </w:r>
      <w:r>
        <w:rPr>
          <w:snapToGrid w:val="0"/>
          <w:szCs w:val="22"/>
        </w:rPr>
        <w:t>.</w:t>
      </w:r>
      <w:r>
        <w:rPr>
          <w:snapToGrid w:val="0"/>
          <w:szCs w:val="22"/>
        </w:rPr>
        <w:tab/>
        <w:t>Publication</w:t>
      </w:r>
      <w:r>
        <w:tab/>
      </w:r>
      <w:r>
        <w:fldChar w:fldCharType="begin"/>
      </w:r>
      <w:r>
        <w:instrText xml:space="preserve"> PAGEREF _Toc170125285 \h </w:instrText>
      </w:r>
      <w:r>
        <w:fldChar w:fldCharType="separate"/>
      </w:r>
      <w:r>
        <w:t>28</w:t>
      </w:r>
      <w:r>
        <w:fldChar w:fldCharType="end"/>
      </w:r>
    </w:p>
    <w:p>
      <w:pPr>
        <w:pStyle w:val="TOC8"/>
        <w:rPr>
          <w:sz w:val="24"/>
          <w:szCs w:val="24"/>
        </w:rPr>
      </w:pPr>
      <w:r>
        <w:rPr>
          <w:szCs w:val="22"/>
        </w:rPr>
        <w:t>6</w:t>
      </w:r>
      <w:r>
        <w:rPr>
          <w:snapToGrid w:val="0"/>
          <w:szCs w:val="22"/>
        </w:rPr>
        <w:t xml:space="preserve">. </w:t>
      </w:r>
      <w:r>
        <w:rPr>
          <w:snapToGrid w:val="0"/>
          <w:szCs w:val="22"/>
        </w:rPr>
        <w:tab/>
        <w:t>How vacancies occur</w:t>
      </w:r>
      <w:r>
        <w:tab/>
      </w:r>
      <w:r>
        <w:fldChar w:fldCharType="begin"/>
      </w:r>
      <w:r>
        <w:instrText xml:space="preserve"> PAGEREF _Toc170125286 \h </w:instrText>
      </w:r>
      <w:r>
        <w:fldChar w:fldCharType="separate"/>
      </w:r>
      <w:r>
        <w:t>28</w:t>
      </w:r>
      <w:r>
        <w:fldChar w:fldCharType="end"/>
      </w:r>
    </w:p>
    <w:p>
      <w:pPr>
        <w:pStyle w:val="TOC8"/>
        <w:rPr>
          <w:sz w:val="24"/>
          <w:szCs w:val="24"/>
        </w:rPr>
      </w:pPr>
      <w:r>
        <w:rPr>
          <w:szCs w:val="22"/>
        </w:rPr>
        <w:t>6A</w:t>
      </w:r>
      <w:r>
        <w:rPr>
          <w:snapToGrid w:val="0"/>
          <w:szCs w:val="22"/>
        </w:rPr>
        <w:t xml:space="preserve">. </w:t>
      </w:r>
      <w:r>
        <w:rPr>
          <w:snapToGrid w:val="0"/>
          <w:szCs w:val="22"/>
        </w:rPr>
        <w:tab/>
        <w:t>Vacancies to be filled within certain period</w:t>
      </w:r>
      <w:r>
        <w:tab/>
      </w:r>
      <w:r>
        <w:fldChar w:fldCharType="begin"/>
      </w:r>
      <w:r>
        <w:instrText xml:space="preserve"> PAGEREF _Toc170125287 \h </w:instrText>
      </w:r>
      <w:r>
        <w:fldChar w:fldCharType="separate"/>
      </w:r>
      <w:r>
        <w:t>29</w:t>
      </w:r>
      <w:r>
        <w:fldChar w:fldCharType="end"/>
      </w:r>
    </w:p>
    <w:p>
      <w:pPr>
        <w:pStyle w:val="TOC8"/>
        <w:rPr>
          <w:sz w:val="24"/>
          <w:szCs w:val="24"/>
        </w:rPr>
      </w:pPr>
      <w:r>
        <w:rPr>
          <w:szCs w:val="22"/>
        </w:rPr>
        <w:t>7</w:t>
      </w:r>
      <w:r>
        <w:rPr>
          <w:snapToGrid w:val="0"/>
          <w:szCs w:val="22"/>
        </w:rPr>
        <w:t xml:space="preserve">. </w:t>
      </w:r>
      <w:r>
        <w:rPr>
          <w:snapToGrid w:val="0"/>
          <w:szCs w:val="22"/>
        </w:rPr>
        <w:tab/>
        <w:t>Alternate members</w:t>
      </w:r>
      <w:r>
        <w:tab/>
      </w:r>
      <w:r>
        <w:fldChar w:fldCharType="begin"/>
      </w:r>
      <w:r>
        <w:instrText xml:space="preserve"> PAGEREF _Toc170125288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Meetings of the Board</w:t>
      </w:r>
      <w:r>
        <w:tab/>
      </w:r>
      <w:r>
        <w:fldChar w:fldCharType="begin"/>
      </w:r>
      <w:r>
        <w:instrText xml:space="preserve"> PAGEREF _Toc170125289 \h </w:instrText>
      </w:r>
      <w:r>
        <w:fldChar w:fldCharType="separate"/>
      </w:r>
      <w:r>
        <w:t>30</w:t>
      </w:r>
      <w:r>
        <w:fldChar w:fldCharType="end"/>
      </w:r>
    </w:p>
    <w:p>
      <w:pPr>
        <w:pStyle w:val="TOC8"/>
        <w:rPr>
          <w:sz w:val="24"/>
          <w:szCs w:val="24"/>
        </w:rPr>
      </w:pPr>
      <w:r>
        <w:rPr>
          <w:szCs w:val="22"/>
        </w:rPr>
        <w:t>10</w:t>
      </w:r>
      <w:r>
        <w:rPr>
          <w:snapToGrid w:val="0"/>
          <w:szCs w:val="22"/>
        </w:rPr>
        <w:t>.</w:t>
      </w:r>
      <w:r>
        <w:rPr>
          <w:snapToGrid w:val="0"/>
          <w:szCs w:val="22"/>
        </w:rPr>
        <w:tab/>
        <w:t>Performance of functions by resolution</w:t>
      </w:r>
      <w:r>
        <w:tab/>
      </w:r>
      <w:r>
        <w:fldChar w:fldCharType="begin"/>
      </w:r>
      <w:r>
        <w:instrText xml:space="preserve"> PAGEREF _Toc170125290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Disclosure of interest</w:t>
      </w:r>
      <w:r>
        <w:tab/>
      </w:r>
      <w:r>
        <w:fldChar w:fldCharType="begin"/>
      </w:r>
      <w:r>
        <w:instrText xml:space="preserve"> PAGEREF _Toc170125291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Common seal</w:t>
      </w:r>
      <w:r>
        <w:tab/>
      </w:r>
      <w:r>
        <w:fldChar w:fldCharType="begin"/>
      </w:r>
      <w:r>
        <w:instrText xml:space="preserve"> PAGEREF _Toc170125292 \h </w:instrText>
      </w:r>
      <w:r>
        <w:fldChar w:fldCharType="separate"/>
      </w:r>
      <w:r>
        <w:t>31</w:t>
      </w:r>
      <w:r>
        <w:fldChar w:fldCharType="end"/>
      </w:r>
    </w:p>
    <w:p>
      <w:pPr>
        <w:pStyle w:val="TOC8"/>
        <w:rPr>
          <w:sz w:val="24"/>
          <w:szCs w:val="24"/>
        </w:rPr>
      </w:pPr>
      <w:r>
        <w:rPr>
          <w:szCs w:val="22"/>
        </w:rPr>
        <w:t>13</w:t>
      </w:r>
      <w:r>
        <w:rPr>
          <w:snapToGrid w:val="0"/>
          <w:szCs w:val="22"/>
        </w:rPr>
        <w:t>.</w:t>
      </w:r>
      <w:r>
        <w:rPr>
          <w:snapToGrid w:val="0"/>
          <w:szCs w:val="22"/>
        </w:rPr>
        <w:tab/>
        <w:t>Allowances</w:t>
      </w:r>
      <w:r>
        <w:tab/>
      </w:r>
      <w:r>
        <w:fldChar w:fldCharType="begin"/>
      </w:r>
      <w:r>
        <w:instrText xml:space="preserve"> PAGEREF _Toc170125293 \h </w:instrText>
      </w:r>
      <w:r>
        <w:fldChar w:fldCharType="separate"/>
      </w:r>
      <w:r>
        <w:t>32</w:t>
      </w:r>
      <w:r>
        <w:fldChar w:fldCharType="end"/>
      </w:r>
    </w:p>
    <w:p>
      <w:pPr>
        <w:pStyle w:val="TOC8"/>
        <w:rPr>
          <w:sz w:val="24"/>
          <w:szCs w:val="24"/>
        </w:rPr>
      </w:pPr>
      <w:r>
        <w:rPr>
          <w:szCs w:val="22"/>
        </w:rPr>
        <w:t>14</w:t>
      </w:r>
      <w:r>
        <w:rPr>
          <w:snapToGrid w:val="0"/>
          <w:szCs w:val="22"/>
        </w:rPr>
        <w:t xml:space="preserve">. </w:t>
      </w:r>
      <w:r>
        <w:rPr>
          <w:snapToGrid w:val="0"/>
          <w:szCs w:val="22"/>
        </w:rPr>
        <w:tab/>
        <w:t>Protection from liability</w:t>
      </w:r>
      <w:r>
        <w:tab/>
      </w:r>
      <w:r>
        <w:fldChar w:fldCharType="begin"/>
      </w:r>
      <w:r>
        <w:instrText xml:space="preserve"> PAGEREF _Toc170125294 \h </w:instrText>
      </w:r>
      <w:r>
        <w:fldChar w:fldCharType="separate"/>
      </w:r>
      <w:r>
        <w:t>32</w:t>
      </w:r>
      <w:r>
        <w:fldChar w:fldCharType="end"/>
      </w:r>
    </w:p>
    <w:p>
      <w:pPr>
        <w:pStyle w:val="TOC2"/>
        <w:tabs>
          <w:tab w:val="right" w:leader="dot" w:pos="7086"/>
        </w:tabs>
        <w:rPr>
          <w:b w:val="0"/>
          <w:sz w:val="24"/>
          <w:szCs w:val="24"/>
        </w:rPr>
      </w:pPr>
      <w:r>
        <w:rPr>
          <w:szCs w:val="28"/>
        </w:rPr>
        <w:lastRenderedPageBreak/>
        <w:t>Schedule 3</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_Toc170125296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Reciprocating States</w:t>
      </w:r>
      <w:r>
        <w:tab/>
      </w:r>
      <w:r>
        <w:fldChar w:fldCharType="begin"/>
      </w:r>
      <w:r>
        <w:instrText xml:space="preserve"> PAGEREF _Toc170125297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_Toc170125299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bookmarkStart w:id="1" w:name="_Toc135715607"/>
      <w:bookmarkStart w:id="2" w:name="_Toc135716386"/>
      <w:bookmarkStart w:id="3" w:name="_Toc135717490"/>
      <w:bookmarkStart w:id="4" w:name="_Toc135718295"/>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1701252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180"/>
        <w:rPr>
          <w:snapToGrid w:val="0"/>
        </w:rPr>
      </w:pPr>
      <w:bookmarkStart w:id="6" w:name="_Toc494852064"/>
      <w:bookmarkStart w:id="7" w:name="_Toc501513259"/>
      <w:bookmarkStart w:id="8" w:name="_Toc17012524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9" w:name="_Toc494852065"/>
      <w:bookmarkStart w:id="10" w:name="_Toc501513260"/>
      <w:bookmarkStart w:id="11" w:name="_Toc17012524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2" w:name="_Toc494852066"/>
      <w:bookmarkStart w:id="13" w:name="_Toc501513261"/>
      <w:bookmarkStart w:id="14" w:name="_Toc170125244"/>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t>“</w:t>
      </w:r>
      <w:r>
        <w:rPr>
          <w:rStyle w:val="CharDefText"/>
        </w:rPr>
        <w:t>Administration Manager</w:t>
      </w:r>
      <w:r>
        <w:rPr>
          <w:b/>
        </w:rPr>
        <w:t>”</w:t>
      </w:r>
      <w:r>
        <w:t xml:space="preserve"> means the Administration Manager appointed under section 19;</w:t>
      </w:r>
    </w:p>
    <w:p>
      <w:pPr>
        <w:pStyle w:val="Defstart"/>
        <w:spacing w:before="70"/>
      </w:pPr>
      <w:r>
        <w:rPr>
          <w:b/>
        </w:rPr>
        <w:tab/>
        <w:t>“</w:t>
      </w:r>
      <w:r>
        <w:rPr>
          <w:rStyle w:val="CharDefText"/>
        </w:rPr>
        <w:t>Board</w:t>
      </w:r>
      <w:r>
        <w:rPr>
          <w:b/>
        </w:rPr>
        <w:t>”</w:t>
      </w:r>
      <w:r>
        <w:t xml:space="preserve"> means the Coal Industry Superannuation Board established under section 7;</w:t>
      </w:r>
    </w:p>
    <w:p>
      <w:pPr>
        <w:pStyle w:val="Defstart"/>
        <w:spacing w:before="70"/>
      </w:pPr>
      <w:r>
        <w:rPr>
          <w:b/>
        </w:rPr>
        <w:tab/>
        <w:t>“</w:t>
      </w:r>
      <w:r>
        <w:rPr>
          <w:rStyle w:val="CharDefText"/>
        </w:rPr>
        <w:t>Commissioner</w:t>
      </w:r>
      <w:r>
        <w:rPr>
          <w:b/>
        </w:rPr>
        <w:t>”</w:t>
      </w:r>
      <w:r>
        <w:t xml:space="preserve"> has the same meaning as in the SIS Act;</w:t>
      </w:r>
    </w:p>
    <w:p>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t>“</w:t>
      </w:r>
      <w:r>
        <w:rPr>
          <w:rStyle w:val="CharDefText"/>
        </w:rPr>
        <w:t>delegate</w:t>
      </w:r>
      <w:r>
        <w:rPr>
          <w:b/>
        </w:rPr>
        <w:t>”</w:t>
      </w:r>
      <w:r>
        <w:t xml:space="preserve"> means a person to whom any function of the Board is delegated under section 16;</w:t>
      </w:r>
    </w:p>
    <w:p>
      <w:pPr>
        <w:pStyle w:val="Defstart"/>
        <w:spacing w:before="70"/>
      </w:pPr>
      <w:r>
        <w:rPr>
          <w:b/>
        </w:rPr>
        <w:tab/>
        <w:t>“</w:t>
      </w:r>
      <w:r>
        <w:rPr>
          <w:rStyle w:val="CharDefText"/>
        </w:rPr>
        <w:t>employer</w:t>
      </w:r>
      <w:r>
        <w:rPr>
          <w:b/>
        </w:rPr>
        <w:t>”</w:t>
      </w:r>
      <w:r>
        <w:t xml:space="preserve"> means an employer mentioned in Schedule 1;</w:t>
      </w:r>
    </w:p>
    <w:p>
      <w:pPr>
        <w:pStyle w:val="Defstart"/>
        <w:spacing w:before="70"/>
      </w:pPr>
      <w:r>
        <w:rPr>
          <w:b/>
        </w:rPr>
        <w:tab/>
        <w:t>“</w:t>
      </w:r>
      <w:r>
        <w:rPr>
          <w:rStyle w:val="CharDefText"/>
        </w:rPr>
        <w:t>Fund</w:t>
      </w:r>
      <w:r>
        <w:rPr>
          <w:b/>
        </w:rPr>
        <w:t>”</w:t>
      </w:r>
      <w:r>
        <w:t xml:space="preserve"> means the Coal Industry Superannuation Fund established under section 9;</w:t>
      </w:r>
    </w:p>
    <w:p>
      <w:pPr>
        <w:pStyle w:val="Defstart"/>
        <w:spacing w:before="70"/>
      </w:pPr>
      <w:r>
        <w:rPr>
          <w:b/>
        </w:rPr>
        <w:tab/>
        <w:t>“</w:t>
      </w:r>
      <w:r>
        <w:rPr>
          <w:rStyle w:val="CharDefText"/>
        </w:rPr>
        <w:t>investment manager</w:t>
      </w:r>
      <w:r>
        <w:rPr>
          <w:b/>
        </w:rPr>
        <w:t>”</w:t>
      </w:r>
      <w:r>
        <w:t xml:space="preserve"> means an investment manager appointed under section 18;</w:t>
      </w:r>
    </w:p>
    <w:p>
      <w:pPr>
        <w:pStyle w:val="Defstart"/>
        <w:spacing w:before="70"/>
      </w:pPr>
      <w:r>
        <w:rPr>
          <w:b/>
        </w:rPr>
        <w:tab/>
        <w:t>“mine worker”</w:t>
      </w:r>
      <w:r>
        <w:t xml:space="preserve"> means a person who is a mine worker under section 4;</w:t>
      </w:r>
    </w:p>
    <w:p>
      <w:pPr>
        <w:pStyle w:val="Defstart"/>
        <w:keepNext/>
        <w:spacing w:before="70"/>
      </w:pPr>
      <w:r>
        <w:rPr>
          <w:b/>
        </w:rPr>
        <w:tab/>
        <w:t>“</w:t>
      </w:r>
      <w:r>
        <w:rPr>
          <w:rStyle w:val="CharDefText"/>
        </w:rPr>
        <w:t>officer</w:t>
      </w:r>
      <w:r>
        <w:rPr>
          <w:b/>
        </w:rPr>
        <w:t>”</w:t>
      </w:r>
      <w:r>
        <w:t xml:space="preserve"> of the Board, means — </w:t>
      </w:r>
    </w:p>
    <w:p>
      <w:pPr>
        <w:pStyle w:val="Defpara"/>
        <w:spacing w:before="70"/>
      </w:pPr>
      <w:r>
        <w:tab/>
        <w:t>(a)</w:t>
      </w:r>
      <w:r>
        <w:tab/>
        <w:t>the Administration Manager; and</w:t>
      </w:r>
    </w:p>
    <w:p>
      <w:pPr>
        <w:pStyle w:val="Defpara"/>
      </w:pPr>
      <w:r>
        <w:lastRenderedPageBreak/>
        <w:tab/>
        <w:t>(b)</w:t>
      </w:r>
      <w:r>
        <w:tab/>
        <w:t>any person appointed to be an officer of the Board under section 21(1);</w:t>
      </w:r>
    </w:p>
    <w:p>
      <w:pPr>
        <w:pStyle w:val="Defstart"/>
      </w:pPr>
      <w:r>
        <w:rPr>
          <w:b/>
        </w:rPr>
        <w:tab/>
        <w:t>“</w:t>
      </w:r>
      <w:r>
        <w:rPr>
          <w:rStyle w:val="CharDefText"/>
        </w:rPr>
        <w:t>open cut</w:t>
      </w:r>
      <w:r>
        <w:rPr>
          <w:b/>
        </w:rPr>
        <w:t>”</w:t>
      </w:r>
      <w:r>
        <w:t xml:space="preserve"> means a coal mine that is formed by an excavation in the ground and that has no overlying cover of earth;</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t>“</w:t>
      </w:r>
      <w:r>
        <w:rPr>
          <w:rStyle w:val="CharDefText"/>
        </w:rPr>
        <w:t>SIS Act</w:t>
      </w:r>
      <w:r>
        <w:rPr>
          <w:b/>
        </w:rPr>
        <w: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t>“</w:t>
      </w:r>
      <w:r>
        <w:rPr>
          <w:rStyle w:val="CharDefText"/>
        </w:rPr>
        <w:t>the actuary</w:t>
      </w:r>
      <w:r>
        <w:rPr>
          <w:b/>
        </w:rPr>
        <w:t>”</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s.4; No. 46 of 1995 s.5.] </w:t>
      </w:r>
    </w:p>
    <w:p>
      <w:pPr>
        <w:pStyle w:val="Heading5"/>
        <w:rPr>
          <w:snapToGrid w:val="0"/>
        </w:rPr>
      </w:pPr>
      <w:bookmarkStart w:id="15" w:name="_Toc494852067"/>
      <w:bookmarkStart w:id="16" w:name="_Toc501513262"/>
      <w:bookmarkStart w:id="17" w:name="_Toc170125245"/>
      <w:r>
        <w:rPr>
          <w:rStyle w:val="CharSectno"/>
        </w:rPr>
        <w:t>4</w:t>
      </w:r>
      <w:r>
        <w:rPr>
          <w:snapToGrid w:val="0"/>
        </w:rPr>
        <w:t>.</w:t>
      </w:r>
      <w:r>
        <w:rPr>
          <w:snapToGrid w:val="0"/>
        </w:rPr>
        <w:tab/>
        <w:t>Mine worker</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other than a person who is for the time being excluded by a notice of the Board under subsection (3);</w:t>
      </w:r>
    </w:p>
    <w:p>
      <w:pPr>
        <w:pStyle w:val="Indenta"/>
        <w:rPr>
          <w:snapToGrid w:val="0"/>
        </w:rPr>
      </w:pPr>
      <w:r>
        <w:rPr>
          <w:snapToGrid w:val="0"/>
        </w:rPr>
        <w:tab/>
        <w:t>(b)</w:t>
      </w:r>
      <w:r>
        <w:rPr>
          <w:snapToGrid w:val="0"/>
        </w:rPr>
        <w:tab/>
        <w:t xml:space="preserve">an employee’s inspector appointed under section 17 of the </w:t>
      </w:r>
      <w:r>
        <w:rPr>
          <w:i/>
          <w:snapToGrid w:val="0"/>
        </w:rPr>
        <w:t>Mines Safety and Inspection Act 1994;</w:t>
      </w:r>
      <w:r>
        <w:rPr>
          <w:snapToGrid w:val="0"/>
        </w:rPr>
        <w:t xml:space="preserve"> </w:t>
      </w:r>
    </w:p>
    <w:p>
      <w:pPr>
        <w:pStyle w:val="Indenta"/>
        <w:rPr>
          <w:snapToGrid w:val="0"/>
        </w:rPr>
      </w:pPr>
      <w:r>
        <w:rPr>
          <w:snapToGrid w:val="0"/>
        </w:rPr>
        <w:tab/>
        <w:t>(c)</w:t>
      </w:r>
      <w:r>
        <w:rPr>
          <w:snapToGrid w:val="0"/>
        </w:rPr>
        <w:tab/>
        <w:t>a person who — </w:t>
      </w:r>
    </w:p>
    <w:p>
      <w:pPr>
        <w:pStyle w:val="Indenti"/>
        <w:spacing w:before="60"/>
        <w:rPr>
          <w:snapToGrid w:val="0"/>
        </w:rPr>
      </w:pPr>
      <w:r>
        <w:rPr>
          <w:snapToGrid w:val="0"/>
        </w:rPr>
        <w:lastRenderedPageBreak/>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s.109.] </w:t>
      </w:r>
    </w:p>
    <w:p>
      <w:pPr>
        <w:pStyle w:val="Ednotesection"/>
      </w:pPr>
      <w:r>
        <w:t>[</w:t>
      </w:r>
      <w:r>
        <w:rPr>
          <w:b/>
          <w:bCs/>
        </w:rPr>
        <w:t>5.</w:t>
      </w:r>
      <w:r>
        <w:tab/>
        <w:t>Repealed by No. 16 of 2006 s. 4.]</w:t>
      </w:r>
    </w:p>
    <w:p>
      <w:pPr>
        <w:pStyle w:val="Ednotepart"/>
      </w:pPr>
      <w:r>
        <w:t>[Part 2 (section 6) repealed by No. 46 of 1995 s.6.]</w:t>
      </w:r>
    </w:p>
    <w:p>
      <w:pPr>
        <w:pStyle w:val="Heading2"/>
      </w:pPr>
      <w:bookmarkStart w:id="18" w:name="_Toc135715613"/>
      <w:bookmarkStart w:id="19" w:name="_Toc135716392"/>
      <w:bookmarkStart w:id="20" w:name="_Toc135717496"/>
      <w:bookmarkStart w:id="21" w:name="_Toc135718301"/>
      <w:bookmarkStart w:id="22" w:name="_Toc170125246"/>
      <w:r>
        <w:rPr>
          <w:rStyle w:val="CharPartNo"/>
        </w:rPr>
        <w:t>Part 3</w:t>
      </w:r>
      <w:r>
        <w:rPr>
          <w:rStyle w:val="CharDivNo"/>
        </w:rPr>
        <w:t> </w:t>
      </w:r>
      <w:r>
        <w:t>—</w:t>
      </w:r>
      <w:r>
        <w:rPr>
          <w:rStyle w:val="CharDivText"/>
        </w:rPr>
        <w:t> </w:t>
      </w:r>
      <w:r>
        <w:rPr>
          <w:rStyle w:val="CharPartText"/>
        </w:rPr>
        <w:t>The Coal Industry Superannuation Board</w:t>
      </w:r>
      <w:bookmarkEnd w:id="18"/>
      <w:bookmarkEnd w:id="19"/>
      <w:bookmarkEnd w:id="20"/>
      <w:bookmarkEnd w:id="21"/>
      <w:bookmarkEnd w:id="22"/>
      <w:r>
        <w:rPr>
          <w:rStyle w:val="CharPartText"/>
        </w:rPr>
        <w:t xml:space="preserve"> </w:t>
      </w:r>
    </w:p>
    <w:p>
      <w:pPr>
        <w:pStyle w:val="Heading5"/>
        <w:rPr>
          <w:snapToGrid w:val="0"/>
        </w:rPr>
      </w:pPr>
      <w:bookmarkStart w:id="23" w:name="_Toc494852069"/>
      <w:bookmarkStart w:id="24" w:name="_Toc501513264"/>
      <w:bookmarkStart w:id="25" w:name="_Toc170125247"/>
      <w:r>
        <w:rPr>
          <w:rStyle w:val="CharSectno"/>
        </w:rPr>
        <w:t>7</w:t>
      </w:r>
      <w:r>
        <w:rPr>
          <w:snapToGrid w:val="0"/>
        </w:rPr>
        <w:t>.</w:t>
      </w:r>
      <w:r>
        <w:rPr>
          <w:snapToGrid w:val="0"/>
        </w:rPr>
        <w:tab/>
        <w:t>Establishment of the Board</w:t>
      </w:r>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s.7.] </w:t>
      </w:r>
    </w:p>
    <w:p>
      <w:pPr>
        <w:pStyle w:val="Heading5"/>
        <w:rPr>
          <w:snapToGrid w:val="0"/>
        </w:rPr>
      </w:pPr>
      <w:bookmarkStart w:id="26" w:name="_Toc494852070"/>
      <w:bookmarkStart w:id="27" w:name="_Toc501513265"/>
      <w:bookmarkStart w:id="28" w:name="_Toc170125248"/>
      <w:r>
        <w:rPr>
          <w:rStyle w:val="CharSectno"/>
        </w:rPr>
        <w:t>8</w:t>
      </w:r>
      <w:r>
        <w:rPr>
          <w:snapToGrid w:val="0"/>
        </w:rPr>
        <w:t>.</w:t>
      </w:r>
      <w:r>
        <w:rPr>
          <w:snapToGrid w:val="0"/>
        </w:rPr>
        <w:tab/>
        <w:t>Constitution of the Board</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s.8.] </w:t>
      </w:r>
    </w:p>
    <w:p>
      <w:pPr>
        <w:pStyle w:val="Heading5"/>
        <w:rPr>
          <w:snapToGrid w:val="0"/>
        </w:rPr>
      </w:pPr>
      <w:bookmarkStart w:id="29" w:name="_Toc494852071"/>
      <w:bookmarkStart w:id="30" w:name="_Toc501513266"/>
      <w:bookmarkStart w:id="31" w:name="_Toc170125249"/>
      <w:r>
        <w:rPr>
          <w:rStyle w:val="CharSectno"/>
        </w:rPr>
        <w:t>9</w:t>
      </w:r>
      <w:r>
        <w:rPr>
          <w:snapToGrid w:val="0"/>
        </w:rPr>
        <w:t>.</w:t>
      </w:r>
      <w:r>
        <w:rPr>
          <w:snapToGrid w:val="0"/>
        </w:rPr>
        <w:tab/>
        <w:t>The Coal Industry Superannuation Fund</w:t>
      </w:r>
      <w:bookmarkEnd w:id="29"/>
      <w:bookmarkEnd w:id="30"/>
      <w:bookmarkEnd w:id="31"/>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s.9; No. 16 of 2006 s. 5.] </w:t>
      </w:r>
    </w:p>
    <w:p>
      <w:pPr>
        <w:pStyle w:val="Heading5"/>
        <w:rPr>
          <w:snapToGrid w:val="0"/>
        </w:rPr>
      </w:pPr>
      <w:bookmarkStart w:id="32" w:name="_Toc494852072"/>
      <w:bookmarkStart w:id="33" w:name="_Toc501513267"/>
      <w:bookmarkStart w:id="34" w:name="_Toc170125250"/>
      <w:r>
        <w:rPr>
          <w:rStyle w:val="CharSectno"/>
        </w:rPr>
        <w:t>10</w:t>
      </w:r>
      <w:r>
        <w:rPr>
          <w:snapToGrid w:val="0"/>
        </w:rPr>
        <w:t>.</w:t>
      </w:r>
      <w:r>
        <w:rPr>
          <w:snapToGrid w:val="0"/>
        </w:rPr>
        <w:tab/>
        <w:t>Functions and general powers of the Board</w:t>
      </w:r>
      <w:bookmarkEnd w:id="32"/>
      <w:bookmarkEnd w:id="33"/>
      <w:bookmarkEnd w:id="34"/>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ss.5 and 19; No. 16 of 2006 s. 6.] </w:t>
      </w:r>
    </w:p>
    <w:p>
      <w:pPr>
        <w:pStyle w:val="Heading5"/>
        <w:rPr>
          <w:snapToGrid w:val="0"/>
        </w:rPr>
      </w:pPr>
      <w:bookmarkStart w:id="35" w:name="_Toc494852073"/>
      <w:bookmarkStart w:id="36" w:name="_Toc501513268"/>
      <w:bookmarkStart w:id="37" w:name="_Toc170125251"/>
      <w:r>
        <w:rPr>
          <w:rStyle w:val="CharSectno"/>
        </w:rPr>
        <w:t>10A</w:t>
      </w:r>
      <w:r>
        <w:rPr>
          <w:snapToGrid w:val="0"/>
        </w:rPr>
        <w:t xml:space="preserve">. </w:t>
      </w:r>
      <w:r>
        <w:rPr>
          <w:snapToGrid w:val="0"/>
        </w:rPr>
        <w:tab/>
        <w:t>Compliance with SIS Act</w:t>
      </w:r>
      <w:bookmarkEnd w:id="35"/>
      <w:bookmarkEnd w:id="36"/>
      <w:bookmarkEnd w:id="37"/>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s.10.] </w:t>
      </w:r>
    </w:p>
    <w:p>
      <w:pPr>
        <w:pStyle w:val="Heading5"/>
        <w:rPr>
          <w:snapToGrid w:val="0"/>
        </w:rPr>
      </w:pPr>
      <w:bookmarkStart w:id="38" w:name="_Toc494852074"/>
      <w:bookmarkStart w:id="39" w:name="_Toc501513269"/>
      <w:bookmarkStart w:id="40" w:name="_Toc170125252"/>
      <w:r>
        <w:rPr>
          <w:rStyle w:val="CharSectno"/>
        </w:rPr>
        <w:t>10AA</w:t>
      </w:r>
      <w:r>
        <w:rPr>
          <w:snapToGrid w:val="0"/>
        </w:rPr>
        <w:t xml:space="preserve">. </w:t>
      </w:r>
      <w:r>
        <w:rPr>
          <w:snapToGrid w:val="0"/>
        </w:rPr>
        <w:tab/>
        <w:t>Consent of Board to be obtained if required under SIS Act</w:t>
      </w:r>
      <w:bookmarkEnd w:id="38"/>
      <w:bookmarkEnd w:id="39"/>
      <w:bookmarkEnd w:id="40"/>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s.10.] </w:t>
      </w:r>
    </w:p>
    <w:p>
      <w:pPr>
        <w:pStyle w:val="Heading5"/>
        <w:rPr>
          <w:snapToGrid w:val="0"/>
        </w:rPr>
      </w:pPr>
      <w:bookmarkStart w:id="41" w:name="_Toc494852075"/>
      <w:bookmarkStart w:id="42" w:name="_Toc501513270"/>
      <w:bookmarkStart w:id="43" w:name="_Toc170125253"/>
      <w:r>
        <w:rPr>
          <w:rStyle w:val="CharSectno"/>
        </w:rPr>
        <w:t>10B</w:t>
      </w:r>
      <w:r>
        <w:rPr>
          <w:snapToGrid w:val="0"/>
        </w:rPr>
        <w:t xml:space="preserve">. </w:t>
      </w:r>
      <w:r>
        <w:rPr>
          <w:snapToGrid w:val="0"/>
        </w:rPr>
        <w:tab/>
        <w:t>Board may administer Long Service Leave Fund on behalf of Commonwealth</w:t>
      </w:r>
      <w:bookmarkEnd w:id="41"/>
      <w:r>
        <w:rPr>
          <w:snapToGrid w:val="0"/>
        </w:rPr>
        <w:t xml:space="preserve"> Corporation</w:t>
      </w:r>
      <w:bookmarkEnd w:id="42"/>
      <w:bookmarkEnd w:id="43"/>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s.19.] </w:t>
      </w:r>
    </w:p>
    <w:p>
      <w:pPr>
        <w:pStyle w:val="Heading5"/>
        <w:rPr>
          <w:snapToGrid w:val="0"/>
        </w:rPr>
      </w:pPr>
      <w:bookmarkStart w:id="44" w:name="_Toc494852076"/>
      <w:bookmarkStart w:id="45" w:name="_Toc501513271"/>
      <w:bookmarkStart w:id="46" w:name="_Toc170125254"/>
      <w:r>
        <w:rPr>
          <w:rStyle w:val="CharSectno"/>
        </w:rPr>
        <w:t>11</w:t>
      </w:r>
      <w:r>
        <w:rPr>
          <w:snapToGrid w:val="0"/>
        </w:rPr>
        <w:t>.</w:t>
      </w:r>
      <w:r>
        <w:rPr>
          <w:snapToGrid w:val="0"/>
        </w:rPr>
        <w:tab/>
        <w:t>Power to invest</w:t>
      </w:r>
      <w:bookmarkEnd w:id="44"/>
      <w:bookmarkEnd w:id="45"/>
      <w:bookmarkEnd w:id="46"/>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s.7; No. 1 of 1997 s.18.] </w:t>
      </w:r>
    </w:p>
    <w:p>
      <w:pPr>
        <w:pStyle w:val="Heading5"/>
        <w:rPr>
          <w:snapToGrid w:val="0"/>
        </w:rPr>
      </w:pPr>
      <w:bookmarkStart w:id="47" w:name="_Toc494852077"/>
      <w:bookmarkStart w:id="48" w:name="_Toc501513272"/>
      <w:bookmarkStart w:id="49" w:name="_Toc170125255"/>
      <w:r>
        <w:rPr>
          <w:rStyle w:val="CharSectno"/>
        </w:rPr>
        <w:t>12</w:t>
      </w:r>
      <w:r>
        <w:rPr>
          <w:snapToGrid w:val="0"/>
        </w:rPr>
        <w:t>.</w:t>
      </w:r>
      <w:r>
        <w:rPr>
          <w:snapToGrid w:val="0"/>
        </w:rPr>
        <w:tab/>
        <w:t>Investment policy</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50" w:name="_Toc494852078"/>
      <w:bookmarkStart w:id="51" w:name="_Toc501513273"/>
      <w:bookmarkStart w:id="52" w:name="_Toc170125256"/>
      <w:r>
        <w:rPr>
          <w:rStyle w:val="CharSectno"/>
        </w:rPr>
        <w:t>13</w:t>
      </w:r>
      <w:r>
        <w:rPr>
          <w:snapToGrid w:val="0"/>
        </w:rPr>
        <w:t>.</w:t>
      </w:r>
      <w:r>
        <w:rPr>
          <w:snapToGrid w:val="0"/>
        </w:rPr>
        <w:tab/>
        <w:t>Power to insure</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t>“</w:t>
      </w:r>
      <w:r>
        <w:rPr>
          <w:rStyle w:val="CharDefText"/>
        </w:rPr>
        <w:t>effect</w:t>
      </w:r>
      <w:r>
        <w:rPr>
          <w:b/>
        </w:rPr>
        <w:t>”</w:t>
      </w:r>
      <w:r>
        <w:t xml:space="preserve"> includes acquire or take by assignment.</w:t>
      </w:r>
    </w:p>
    <w:p>
      <w:pPr>
        <w:pStyle w:val="Heading5"/>
        <w:spacing w:before="200"/>
        <w:rPr>
          <w:snapToGrid w:val="0"/>
        </w:rPr>
      </w:pPr>
      <w:bookmarkStart w:id="53" w:name="_Toc494852079"/>
      <w:bookmarkStart w:id="54" w:name="_Toc501513274"/>
      <w:bookmarkStart w:id="55" w:name="_Toc170125257"/>
      <w:r>
        <w:rPr>
          <w:rStyle w:val="CharSectno"/>
        </w:rPr>
        <w:t>14</w:t>
      </w:r>
      <w:r>
        <w:rPr>
          <w:snapToGrid w:val="0"/>
        </w:rPr>
        <w:t>.</w:t>
      </w:r>
      <w:r>
        <w:rPr>
          <w:snapToGrid w:val="0"/>
        </w:rPr>
        <w:tab/>
        <w:t>Board to have powers of trustee</w:t>
      </w:r>
      <w:bookmarkEnd w:id="53"/>
      <w:bookmarkEnd w:id="54"/>
      <w:bookmarkEnd w:id="55"/>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56" w:name="_Toc494852080"/>
      <w:bookmarkStart w:id="57" w:name="_Toc501513275"/>
      <w:bookmarkStart w:id="58" w:name="_Toc170125258"/>
      <w:r>
        <w:rPr>
          <w:rStyle w:val="CharSectno"/>
        </w:rPr>
        <w:t>15</w:t>
      </w:r>
      <w:r>
        <w:rPr>
          <w:snapToGrid w:val="0"/>
        </w:rPr>
        <w:t>.</w:t>
      </w:r>
      <w:r>
        <w:rPr>
          <w:snapToGrid w:val="0"/>
        </w:rPr>
        <w:tab/>
        <w:t>Discretionary exercise of powers</w:t>
      </w:r>
      <w:bookmarkEnd w:id="56"/>
      <w:bookmarkEnd w:id="57"/>
      <w:bookmarkEnd w:id="58"/>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59" w:name="_Toc494852081"/>
      <w:bookmarkStart w:id="60" w:name="_Toc501513276"/>
      <w:bookmarkStart w:id="61" w:name="_Toc170125259"/>
      <w:r>
        <w:rPr>
          <w:rStyle w:val="CharSectno"/>
        </w:rPr>
        <w:t>16</w:t>
      </w:r>
      <w:r>
        <w:rPr>
          <w:snapToGrid w:val="0"/>
        </w:rPr>
        <w:t>.</w:t>
      </w:r>
      <w:r>
        <w:rPr>
          <w:snapToGrid w:val="0"/>
        </w:rPr>
        <w:tab/>
        <w:t>Delegation</w:t>
      </w:r>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62" w:name="_Toc494852082"/>
      <w:bookmarkStart w:id="63" w:name="_Toc501513277"/>
      <w:bookmarkStart w:id="64" w:name="_Toc170125260"/>
      <w:r>
        <w:rPr>
          <w:rStyle w:val="CharSectno"/>
        </w:rPr>
        <w:t>17</w:t>
      </w:r>
      <w:r>
        <w:rPr>
          <w:snapToGrid w:val="0"/>
        </w:rPr>
        <w:t>.</w:t>
      </w:r>
      <w:r>
        <w:rPr>
          <w:snapToGrid w:val="0"/>
        </w:rPr>
        <w:tab/>
        <w:t>Power to make determinations</w:t>
      </w:r>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65" w:name="_Toc494852083"/>
      <w:bookmarkStart w:id="66" w:name="_Toc501513278"/>
      <w:bookmarkStart w:id="67" w:name="_Toc170125261"/>
      <w:r>
        <w:rPr>
          <w:rStyle w:val="CharSectno"/>
        </w:rPr>
        <w:t>18</w:t>
      </w:r>
      <w:r>
        <w:rPr>
          <w:snapToGrid w:val="0"/>
        </w:rPr>
        <w:t>.</w:t>
      </w:r>
      <w:r>
        <w:rPr>
          <w:snapToGrid w:val="0"/>
        </w:rPr>
        <w:tab/>
        <w:t>Appointment of investment managers</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s.11.] </w:t>
      </w:r>
    </w:p>
    <w:p>
      <w:pPr>
        <w:pStyle w:val="Heading5"/>
        <w:rPr>
          <w:snapToGrid w:val="0"/>
        </w:rPr>
      </w:pPr>
      <w:bookmarkStart w:id="68" w:name="_Toc494852084"/>
      <w:bookmarkStart w:id="69" w:name="_Toc501513279"/>
      <w:bookmarkStart w:id="70" w:name="_Toc170125262"/>
      <w:r>
        <w:rPr>
          <w:rStyle w:val="CharSectno"/>
        </w:rPr>
        <w:t>19</w:t>
      </w:r>
      <w:r>
        <w:rPr>
          <w:snapToGrid w:val="0"/>
        </w:rPr>
        <w:t>.</w:t>
      </w:r>
      <w:r>
        <w:rPr>
          <w:snapToGrid w:val="0"/>
        </w:rPr>
        <w:tab/>
        <w:t>Appointment of Administration Manager</w:t>
      </w:r>
      <w:bookmarkEnd w:id="68"/>
      <w:bookmarkEnd w:id="69"/>
      <w:bookmarkEnd w:id="7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s.8; amended by No. 46 of 1995 s.12.] </w:t>
      </w:r>
    </w:p>
    <w:p>
      <w:pPr>
        <w:pStyle w:val="Heading5"/>
      </w:pPr>
      <w:bookmarkStart w:id="71" w:name="_Toc170125263"/>
      <w:bookmarkStart w:id="72" w:name="_Toc494852086"/>
      <w:bookmarkStart w:id="73" w:name="_Toc501513281"/>
      <w:r>
        <w:rPr>
          <w:rStyle w:val="CharSectno"/>
        </w:rPr>
        <w:t>20</w:t>
      </w:r>
      <w:r>
        <w:t>.</w:t>
      </w:r>
      <w:r>
        <w:tab/>
        <w:t>Appointment of actuary</w:t>
      </w:r>
      <w:bookmarkEnd w:id="71"/>
    </w:p>
    <w:p>
      <w:pPr>
        <w:pStyle w:val="Subsection"/>
      </w:pPr>
      <w:r>
        <w:tab/>
      </w:r>
      <w:r>
        <w:tab/>
        <w:t>The Board is to appoint as the actuary to the Fund a person who is a Fellow or Accredited Member of the Institute of Actuaries of Australia.</w:t>
      </w:r>
    </w:p>
    <w:p>
      <w:pPr>
        <w:pStyle w:val="Footnotesection"/>
      </w:pPr>
      <w:r>
        <w:tab/>
        <w:t>[Section 20 amended by No. 16 of 2006 s. 7.]</w:t>
      </w:r>
    </w:p>
    <w:p>
      <w:pPr>
        <w:pStyle w:val="Heading5"/>
        <w:rPr>
          <w:snapToGrid w:val="0"/>
        </w:rPr>
      </w:pPr>
      <w:bookmarkStart w:id="74" w:name="_Toc170125264"/>
      <w:r>
        <w:rPr>
          <w:rStyle w:val="CharSectno"/>
        </w:rPr>
        <w:t>21</w:t>
      </w:r>
      <w:r>
        <w:rPr>
          <w:snapToGrid w:val="0"/>
        </w:rPr>
        <w:t>.</w:t>
      </w:r>
      <w:r>
        <w:rPr>
          <w:snapToGrid w:val="0"/>
        </w:rPr>
        <w:tab/>
        <w:t>Officers of the Board</w:t>
      </w:r>
      <w:bookmarkEnd w:id="72"/>
      <w:bookmarkEnd w:id="73"/>
      <w:bookmarkEnd w:id="74"/>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s.19; No. 45 of 1994 s.9; No. 46 of 1995 s. 13; No. 16 of 2006 s. 8.] </w:t>
      </w:r>
    </w:p>
    <w:p>
      <w:pPr>
        <w:pStyle w:val="Ednotesection"/>
      </w:pPr>
      <w:bookmarkStart w:id="75" w:name="_Toc494852088"/>
      <w:bookmarkStart w:id="76" w:name="_Toc501513283"/>
      <w:r>
        <w:t>[</w:t>
      </w:r>
      <w:r>
        <w:rPr>
          <w:b/>
          <w:bCs/>
        </w:rPr>
        <w:t>22.</w:t>
      </w:r>
      <w:r>
        <w:tab/>
        <w:t>Repealed by No. 16 of 2006 s. 9.]</w:t>
      </w:r>
    </w:p>
    <w:p>
      <w:pPr>
        <w:pStyle w:val="Heading5"/>
        <w:rPr>
          <w:snapToGrid w:val="0"/>
        </w:rPr>
      </w:pPr>
      <w:bookmarkStart w:id="77" w:name="_Toc170125265"/>
      <w:r>
        <w:rPr>
          <w:rStyle w:val="CharSectno"/>
        </w:rPr>
        <w:t>23</w:t>
      </w:r>
      <w:r>
        <w:rPr>
          <w:snapToGrid w:val="0"/>
        </w:rPr>
        <w:t>.</w:t>
      </w:r>
      <w:r>
        <w:rPr>
          <w:snapToGrid w:val="0"/>
        </w:rPr>
        <w:tab/>
        <w:t>Actuarial review</w:t>
      </w:r>
      <w:bookmarkEnd w:id="75"/>
      <w:bookmarkEnd w:id="76"/>
      <w:bookmarkEnd w:id="77"/>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s.10.] </w:t>
      </w:r>
    </w:p>
    <w:p>
      <w:pPr>
        <w:pStyle w:val="Heading5"/>
        <w:rPr>
          <w:snapToGrid w:val="0"/>
        </w:rPr>
      </w:pPr>
      <w:bookmarkStart w:id="78" w:name="_Toc494852089"/>
      <w:bookmarkStart w:id="79" w:name="_Toc501513284"/>
      <w:bookmarkStart w:id="80" w:name="_Toc170125266"/>
      <w:r>
        <w:rPr>
          <w:rStyle w:val="CharSectno"/>
        </w:rPr>
        <w:t>24</w:t>
      </w:r>
      <w:r>
        <w:rPr>
          <w:snapToGrid w:val="0"/>
        </w:rPr>
        <w:t>.</w:t>
      </w:r>
      <w:r>
        <w:rPr>
          <w:snapToGrid w:val="0"/>
        </w:rPr>
        <w:tab/>
        <w:t>Advice to the Board</w:t>
      </w:r>
      <w:bookmarkEnd w:id="78"/>
      <w:bookmarkEnd w:id="79"/>
      <w:bookmarkEnd w:id="80"/>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81" w:name="_Toc494852090"/>
      <w:bookmarkStart w:id="82" w:name="_Toc501513285"/>
      <w:bookmarkStart w:id="83" w:name="_Toc170125267"/>
      <w:r>
        <w:rPr>
          <w:rStyle w:val="CharSectno"/>
        </w:rPr>
        <w:t>25</w:t>
      </w:r>
      <w:r>
        <w:rPr>
          <w:snapToGrid w:val="0"/>
        </w:rPr>
        <w:t>.</w:t>
      </w:r>
      <w:r>
        <w:rPr>
          <w:snapToGrid w:val="0"/>
        </w:rPr>
        <w:tab/>
        <w:t>Records</w:t>
      </w:r>
      <w:bookmarkEnd w:id="81"/>
      <w:bookmarkEnd w:id="82"/>
      <w:bookmarkEnd w:id="8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84" w:name="_Toc494852091"/>
      <w:bookmarkStart w:id="85" w:name="_Toc501513286"/>
      <w:bookmarkStart w:id="86" w:name="_Toc170125268"/>
      <w:r>
        <w:rPr>
          <w:rStyle w:val="CharSectno"/>
        </w:rPr>
        <w:t>26</w:t>
      </w:r>
      <w:r>
        <w:rPr>
          <w:snapToGrid w:val="0"/>
        </w:rPr>
        <w:t>.</w:t>
      </w:r>
      <w:r>
        <w:rPr>
          <w:snapToGrid w:val="0"/>
        </w:rPr>
        <w:tab/>
        <w:t xml:space="preserve">Application of </w:t>
      </w:r>
      <w:r>
        <w:rPr>
          <w:i/>
          <w:snapToGrid w:val="0"/>
        </w:rPr>
        <w:t>Financial Administration and Audit Act 1985</w:t>
      </w:r>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87" w:name="_Toc494852092"/>
      <w:bookmarkStart w:id="88" w:name="_Toc501513287"/>
      <w:bookmarkStart w:id="89" w:name="_Toc170125269"/>
      <w:r>
        <w:rPr>
          <w:rStyle w:val="CharSectno"/>
        </w:rPr>
        <w:t>27</w:t>
      </w:r>
      <w:r>
        <w:rPr>
          <w:snapToGrid w:val="0"/>
        </w:rPr>
        <w:t>.</w:t>
      </w:r>
      <w:r>
        <w:rPr>
          <w:snapToGrid w:val="0"/>
        </w:rPr>
        <w:tab/>
        <w:t>Accounts of delegates</w:t>
      </w:r>
      <w:bookmarkEnd w:id="87"/>
      <w:bookmarkEnd w:id="88"/>
      <w:bookmarkEnd w:id="8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b/>
        </w:rPr>
        <w:t>“</w:t>
      </w:r>
      <w:r>
        <w:rPr>
          <w:rStyle w:val="CharDefText"/>
        </w:rPr>
        <w:t>liabilities</w:t>
      </w:r>
      <w:r>
        <w:rPr>
          <w:b/>
        </w:rPr>
        <w:t>”</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s.14.] </w:t>
      </w:r>
    </w:p>
    <w:p>
      <w:pPr>
        <w:pStyle w:val="Heading2"/>
      </w:pPr>
      <w:bookmarkStart w:id="90" w:name="_Toc135715638"/>
      <w:bookmarkStart w:id="91" w:name="_Toc135716417"/>
      <w:bookmarkStart w:id="92" w:name="_Toc135717521"/>
      <w:bookmarkStart w:id="93" w:name="_Toc135718326"/>
      <w:bookmarkStart w:id="94" w:name="_Toc170125270"/>
      <w:r>
        <w:rPr>
          <w:rStyle w:val="CharPartNo"/>
        </w:rPr>
        <w:t>Part 4</w:t>
      </w:r>
      <w:r>
        <w:rPr>
          <w:rStyle w:val="CharDivNo"/>
        </w:rPr>
        <w:t> </w:t>
      </w:r>
      <w:r>
        <w:t>—</w:t>
      </w:r>
      <w:r>
        <w:rPr>
          <w:rStyle w:val="CharDivText"/>
        </w:rPr>
        <w:t> </w:t>
      </w:r>
      <w:r>
        <w:rPr>
          <w:rStyle w:val="CharPartText"/>
        </w:rPr>
        <w:t>Miscellaneous</w:t>
      </w:r>
      <w:bookmarkEnd w:id="90"/>
      <w:bookmarkEnd w:id="91"/>
      <w:bookmarkEnd w:id="92"/>
      <w:bookmarkEnd w:id="93"/>
      <w:bookmarkEnd w:id="94"/>
      <w:r>
        <w:rPr>
          <w:rStyle w:val="CharPartText"/>
        </w:rPr>
        <w:t xml:space="preserve"> </w:t>
      </w:r>
    </w:p>
    <w:p>
      <w:pPr>
        <w:pStyle w:val="Heading5"/>
        <w:rPr>
          <w:snapToGrid w:val="0"/>
        </w:rPr>
      </w:pPr>
      <w:bookmarkStart w:id="95" w:name="_Toc494852093"/>
      <w:bookmarkStart w:id="96" w:name="_Toc501513288"/>
      <w:bookmarkStart w:id="97" w:name="_Toc170125271"/>
      <w:r>
        <w:rPr>
          <w:rStyle w:val="CharSectno"/>
        </w:rPr>
        <w:t>28</w:t>
      </w:r>
      <w:r>
        <w:rPr>
          <w:snapToGrid w:val="0"/>
        </w:rPr>
        <w:t>.</w:t>
      </w:r>
      <w:r>
        <w:rPr>
          <w:snapToGrid w:val="0"/>
        </w:rPr>
        <w:tab/>
        <w:t>Employer’s powers and liabilities in respect of termination not affected</w:t>
      </w:r>
      <w:bookmarkEnd w:id="95"/>
      <w:bookmarkEnd w:id="96"/>
      <w:bookmarkEnd w:id="97"/>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98" w:name="_Toc494852094"/>
      <w:bookmarkStart w:id="99" w:name="_Toc501513289"/>
      <w:bookmarkStart w:id="100" w:name="_Toc170125272"/>
      <w:r>
        <w:rPr>
          <w:rStyle w:val="CharSectno"/>
        </w:rPr>
        <w:t>29</w:t>
      </w:r>
      <w:r>
        <w:rPr>
          <w:snapToGrid w:val="0"/>
        </w:rPr>
        <w:t>.</w:t>
      </w:r>
      <w:r>
        <w:rPr>
          <w:snapToGrid w:val="0"/>
        </w:rPr>
        <w:tab/>
        <w:t>Members’ rights to compensation not to be affected</w:t>
      </w:r>
      <w:bookmarkEnd w:id="98"/>
      <w:bookmarkEnd w:id="99"/>
      <w:bookmarkEnd w:id="100"/>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01" w:name="_Toc170125273"/>
      <w:bookmarkStart w:id="102" w:name="_Toc494852095"/>
      <w:bookmarkStart w:id="103" w:name="_Toc501513290"/>
      <w:r>
        <w:rPr>
          <w:rStyle w:val="CharSectno"/>
        </w:rPr>
        <w:t>29A</w:t>
      </w:r>
      <w:r>
        <w:t>.</w:t>
      </w:r>
      <w:r>
        <w:tab/>
        <w:t>Unclaimed Money Act 1990 does not apply to unclaimed benefits</w:t>
      </w:r>
      <w:bookmarkEnd w:id="101"/>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04" w:name="_Toc170125274"/>
      <w:r>
        <w:rPr>
          <w:rStyle w:val="CharSectno"/>
        </w:rPr>
        <w:t>30</w:t>
      </w:r>
      <w:r>
        <w:rPr>
          <w:snapToGrid w:val="0"/>
        </w:rPr>
        <w:t>.</w:t>
      </w:r>
      <w:r>
        <w:rPr>
          <w:snapToGrid w:val="0"/>
        </w:rPr>
        <w:tab/>
        <w:t>General meeting of members</w:t>
      </w:r>
      <w:bookmarkEnd w:id="102"/>
      <w:bookmarkEnd w:id="103"/>
      <w:bookmarkEnd w:id="104"/>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05" w:name="_Toc494852096"/>
      <w:bookmarkStart w:id="106" w:name="_Toc501513291"/>
      <w:bookmarkStart w:id="107" w:name="_Toc170125275"/>
      <w:r>
        <w:rPr>
          <w:rStyle w:val="CharSectno"/>
        </w:rPr>
        <w:t>31</w:t>
      </w:r>
      <w:r>
        <w:rPr>
          <w:snapToGrid w:val="0"/>
        </w:rPr>
        <w:t>.</w:t>
      </w:r>
      <w:r>
        <w:rPr>
          <w:snapToGrid w:val="0"/>
        </w:rPr>
        <w:tab/>
        <w:t>Regulations</w:t>
      </w:r>
      <w:bookmarkEnd w:id="105"/>
      <w:bookmarkEnd w:id="106"/>
      <w:bookmarkEnd w:id="10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08" w:name="_Toc494852097"/>
      <w:bookmarkStart w:id="109" w:name="_Toc501513292"/>
      <w:bookmarkStart w:id="110" w:name="_Toc170125276"/>
      <w:r>
        <w:rPr>
          <w:rStyle w:val="CharSectno"/>
        </w:rPr>
        <w:t>32</w:t>
      </w:r>
      <w:r>
        <w:rPr>
          <w:snapToGrid w:val="0"/>
        </w:rPr>
        <w:t>.</w:t>
      </w:r>
      <w:r>
        <w:rPr>
          <w:snapToGrid w:val="0"/>
        </w:rPr>
        <w:tab/>
        <w:t>Review of Act</w:t>
      </w:r>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11" w:name="_Toc135715644"/>
      <w:bookmarkStart w:id="112" w:name="_Toc135716423"/>
      <w:bookmarkStart w:id="113" w:name="_Toc135717527"/>
      <w:bookmarkStart w:id="114" w:name="_Toc135718332"/>
      <w:bookmarkStart w:id="115" w:name="_Toc170125277"/>
      <w:r>
        <w:rPr>
          <w:rStyle w:val="CharPartNo"/>
        </w:rPr>
        <w:t>Part 5</w:t>
      </w:r>
      <w:r>
        <w:rPr>
          <w:rStyle w:val="CharDivNo"/>
        </w:rPr>
        <w:t> </w:t>
      </w:r>
      <w:r>
        <w:t>—</w:t>
      </w:r>
      <w:r>
        <w:rPr>
          <w:rStyle w:val="CharDivText"/>
        </w:rPr>
        <w:t> </w:t>
      </w:r>
      <w:r>
        <w:rPr>
          <w:rStyle w:val="CharPartText"/>
        </w:rPr>
        <w:t>Consequential, repeal and transitional provisions</w:t>
      </w:r>
      <w:bookmarkEnd w:id="111"/>
      <w:bookmarkEnd w:id="112"/>
      <w:bookmarkEnd w:id="113"/>
      <w:bookmarkEnd w:id="114"/>
      <w:bookmarkEnd w:id="115"/>
      <w:r>
        <w:rPr>
          <w:rStyle w:val="CharPartText"/>
        </w:rPr>
        <w:t xml:space="preserve"> </w:t>
      </w:r>
    </w:p>
    <w:p>
      <w:pPr>
        <w:pStyle w:val="Ednotesection"/>
      </w:pPr>
      <w:r>
        <w:t>[</w:t>
      </w:r>
      <w:r>
        <w:rPr>
          <w:b/>
          <w:bCs/>
        </w:rPr>
        <w:t>33.</w:t>
      </w:r>
      <w:r>
        <w:tab/>
        <w:t>Omitted under the Reprints Act 1984 s.7(4)(e).]</w:t>
      </w:r>
    </w:p>
    <w:p>
      <w:pPr>
        <w:pStyle w:val="Ednotesection"/>
      </w:pPr>
      <w:r>
        <w:t>[</w:t>
      </w:r>
      <w:r>
        <w:rPr>
          <w:b/>
          <w:bCs/>
        </w:rPr>
        <w:t>34.</w:t>
      </w:r>
      <w:r>
        <w:tab/>
        <w:t xml:space="preserve">Omitted under the Reprints Act 1984 s.7(4)(f).] </w:t>
      </w:r>
    </w:p>
    <w:p>
      <w:pPr>
        <w:pStyle w:val="Heading5"/>
        <w:rPr>
          <w:snapToGrid w:val="0"/>
        </w:rPr>
      </w:pPr>
      <w:bookmarkStart w:id="116" w:name="_Toc494852100"/>
      <w:bookmarkStart w:id="117" w:name="_Toc501513295"/>
      <w:bookmarkStart w:id="118" w:name="_Toc170125278"/>
      <w:r>
        <w:rPr>
          <w:rStyle w:val="CharSectno"/>
        </w:rPr>
        <w:t>35</w:t>
      </w:r>
      <w:r>
        <w:rPr>
          <w:snapToGrid w:val="0"/>
        </w:rPr>
        <w:t>.</w:t>
      </w:r>
      <w:r>
        <w:rPr>
          <w:snapToGrid w:val="0"/>
        </w:rPr>
        <w:tab/>
        <w:t>Transitional</w:t>
      </w:r>
      <w:bookmarkEnd w:id="116"/>
      <w:bookmarkEnd w:id="117"/>
      <w:bookmarkEnd w:id="118"/>
      <w:r>
        <w:rPr>
          <w:snapToGrid w:val="0"/>
        </w:rPr>
        <w:t xml:space="preserve"> </w:t>
      </w:r>
    </w:p>
    <w:p>
      <w:pPr>
        <w:pStyle w:val="Subsection"/>
        <w:rPr>
          <w:snapToGrid w:val="0"/>
        </w:rPr>
      </w:pPr>
      <w:r>
        <w:rPr>
          <w:snapToGrid w:val="0"/>
        </w:rPr>
        <w:tab/>
      </w:r>
      <w:r>
        <w:rPr>
          <w:snapToGrid w:val="0"/>
        </w:rPr>
        <w:tab/>
        <w:t>Schedule 3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9" w:name="_Toc135715646"/>
      <w:bookmarkStart w:id="120" w:name="_Toc135716425"/>
      <w:bookmarkStart w:id="121" w:name="_Toc135717529"/>
      <w:bookmarkStart w:id="122" w:name="_Toc135718334"/>
      <w:bookmarkStart w:id="123" w:name="_Toc170125279"/>
      <w:r>
        <w:rPr>
          <w:rStyle w:val="CharSchNo"/>
        </w:rPr>
        <w:t>Schedule 1</w:t>
      </w:r>
      <w:bookmarkEnd w:id="119"/>
      <w:bookmarkEnd w:id="120"/>
      <w:bookmarkEnd w:id="121"/>
      <w:bookmarkEnd w:id="122"/>
      <w:bookmarkEnd w:id="123"/>
    </w:p>
    <w:p>
      <w:pPr>
        <w:pStyle w:val="yShoulderClause"/>
        <w:rPr>
          <w:snapToGrid w:val="0"/>
        </w:rPr>
      </w:pPr>
      <w:r>
        <w:rPr>
          <w:snapToGrid w:val="0"/>
        </w:rPr>
        <w:t>[s.3]</w:t>
      </w:r>
    </w:p>
    <w:p>
      <w:pPr>
        <w:pStyle w:val="yMiscellaneousHeading"/>
        <w:rPr>
          <w:snapToGrid w:val="0"/>
          <w:sz w:val="24"/>
        </w:rPr>
      </w:pPr>
      <w:r>
        <w:rPr>
          <w:rStyle w:val="CharSchText"/>
          <w:b/>
          <w:sz w:val="24"/>
        </w:rPr>
        <w:t xml:space="preserve">Employers </w:t>
      </w:r>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sectPr>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r>
        <w:tab/>
        <w:t>[Schedule 1 amended by No. 46 of 1995 s.16; No. 16 of 2006 s. 13; amended in Gaz</w:t>
      </w:r>
      <w:bookmarkStart w:id="124" w:name="_Toc135715647"/>
      <w:bookmarkStart w:id="125" w:name="_Toc135716426"/>
      <w:bookmarkStart w:id="126" w:name="_Toc135717530"/>
      <w:bookmarkStart w:id="127" w:name="_Toc135718335"/>
      <w:bookmarkStart w:id="128" w:name="_Toc170125280"/>
      <w:r>
        <w:t>ette 29 September 2000 p.5535.]</w:t>
      </w:r>
    </w:p>
    <w:p>
      <w:pPr>
        <w:pStyle w:val="yScheduleHeading"/>
      </w:pPr>
      <w:r>
        <w:rPr>
          <w:rStyle w:val="CharSchNo"/>
        </w:rPr>
        <w:t>Schedule 2</w:t>
      </w:r>
      <w:bookmarkEnd w:id="124"/>
      <w:bookmarkEnd w:id="125"/>
      <w:bookmarkEnd w:id="126"/>
      <w:bookmarkEnd w:id="127"/>
      <w:bookmarkEnd w:id="128"/>
    </w:p>
    <w:p>
      <w:pPr>
        <w:pStyle w:val="yShoulderClause"/>
        <w:rPr>
          <w:snapToGrid w:val="0"/>
        </w:rPr>
      </w:pPr>
      <w:r>
        <w:rPr>
          <w:snapToGrid w:val="0"/>
        </w:rPr>
        <w:t>[s.8]</w:t>
      </w:r>
    </w:p>
    <w:p>
      <w:pPr>
        <w:pStyle w:val="MiscellaneousHeading"/>
        <w:rPr>
          <w:b/>
          <w:snapToGrid w:val="0"/>
          <w:sz w:val="22"/>
        </w:rPr>
      </w:pPr>
      <w:r>
        <w:rPr>
          <w:rStyle w:val="CharSchText"/>
          <w:b/>
        </w:rPr>
        <w:t xml:space="preserve">Provisions as to Board </w:t>
      </w:r>
    </w:p>
    <w:p>
      <w:pPr>
        <w:pStyle w:val="yHeading5"/>
        <w:outlineLvl w:val="9"/>
        <w:rPr>
          <w:snapToGrid w:val="0"/>
        </w:rPr>
      </w:pPr>
      <w:bookmarkStart w:id="129" w:name="_Toc501513296"/>
      <w:bookmarkStart w:id="130" w:name="_Toc170125281"/>
      <w:r>
        <w:rPr>
          <w:rStyle w:val="CharSClsNo"/>
        </w:rPr>
        <w:t>1</w:t>
      </w:r>
      <w:r>
        <w:rPr>
          <w:snapToGrid w:val="0"/>
        </w:rPr>
        <w:t>.</w:t>
      </w:r>
      <w:r>
        <w:rPr>
          <w:snapToGrid w:val="0"/>
        </w:rPr>
        <w:tab/>
        <w:t>Interpretation</w:t>
      </w:r>
      <w:bookmarkEnd w:id="129"/>
      <w:bookmarkEnd w:id="13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pPr>
        <w:pStyle w:val="yDefstart"/>
      </w:pPr>
      <w:r>
        <w:rPr>
          <w:b/>
        </w:rPr>
        <w:tab/>
        <w:t>“</w:t>
      </w:r>
      <w:r>
        <w:rPr>
          <w:rStyle w:val="CharDefText"/>
        </w:rPr>
        <w:t>appointed member</w:t>
      </w:r>
      <w:r>
        <w:rPr>
          <w:b/>
        </w:rPr>
        <w:t>”</w:t>
      </w:r>
      <w:r>
        <w:t xml:space="preserve"> means a member of the Board appointed by the employers and includes an alternate member so appointed.</w:t>
      </w:r>
    </w:p>
    <w:p>
      <w:pPr>
        <w:pStyle w:val="yHeading5"/>
        <w:outlineLvl w:val="9"/>
        <w:rPr>
          <w:snapToGrid w:val="0"/>
        </w:rPr>
      </w:pPr>
      <w:bookmarkStart w:id="131" w:name="_Toc501513297"/>
      <w:bookmarkStart w:id="132" w:name="_Toc170125282"/>
      <w:r>
        <w:rPr>
          <w:rStyle w:val="CharSClsNo"/>
        </w:rPr>
        <w:t>2</w:t>
      </w:r>
      <w:r>
        <w:rPr>
          <w:snapToGrid w:val="0"/>
        </w:rPr>
        <w:t>.</w:t>
      </w:r>
      <w:r>
        <w:rPr>
          <w:snapToGrid w:val="0"/>
        </w:rPr>
        <w:tab/>
        <w:t>Elections</w:t>
      </w:r>
      <w:bookmarkEnd w:id="131"/>
      <w:bookmarkEnd w:id="132"/>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33" w:name="_Toc501513298"/>
      <w:bookmarkStart w:id="134" w:name="_Toc170125283"/>
      <w:r>
        <w:rPr>
          <w:rStyle w:val="CharSClsNo"/>
        </w:rPr>
        <w:t>3</w:t>
      </w:r>
      <w:r>
        <w:rPr>
          <w:snapToGrid w:val="0"/>
        </w:rPr>
        <w:t>.</w:t>
      </w:r>
      <w:r>
        <w:rPr>
          <w:snapToGrid w:val="0"/>
        </w:rPr>
        <w:tab/>
        <w:t>Appointments</w:t>
      </w:r>
      <w:bookmarkEnd w:id="133"/>
      <w:bookmarkEnd w:id="134"/>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35" w:name="_Toc501513299"/>
      <w:bookmarkStart w:id="136" w:name="_Toc170125284"/>
      <w:r>
        <w:rPr>
          <w:rStyle w:val="CharSClsNo"/>
        </w:rPr>
        <w:t>4</w:t>
      </w:r>
      <w:r>
        <w:rPr>
          <w:snapToGrid w:val="0"/>
        </w:rPr>
        <w:t>.</w:t>
      </w:r>
      <w:r>
        <w:rPr>
          <w:snapToGrid w:val="0"/>
        </w:rPr>
        <w:tab/>
        <w:t>Terms of office</w:t>
      </w:r>
      <w:bookmarkEnd w:id="135"/>
      <w:bookmarkEnd w:id="136"/>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37" w:name="_Toc501513300"/>
      <w:bookmarkStart w:id="138" w:name="_Toc170125285"/>
      <w:r>
        <w:rPr>
          <w:rStyle w:val="CharSClsNo"/>
        </w:rPr>
        <w:t>5</w:t>
      </w:r>
      <w:r>
        <w:rPr>
          <w:snapToGrid w:val="0"/>
        </w:rPr>
        <w:t>.</w:t>
      </w:r>
      <w:r>
        <w:rPr>
          <w:snapToGrid w:val="0"/>
        </w:rPr>
        <w:tab/>
        <w:t>Publication</w:t>
      </w:r>
      <w:bookmarkEnd w:id="137"/>
      <w:bookmarkEnd w:id="138"/>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39" w:name="_Toc501513301"/>
      <w:bookmarkStart w:id="140" w:name="_Toc170125286"/>
      <w:r>
        <w:rPr>
          <w:rStyle w:val="CharSClsNo"/>
        </w:rPr>
        <w:t>6</w:t>
      </w:r>
      <w:r>
        <w:rPr>
          <w:snapToGrid w:val="0"/>
        </w:rPr>
        <w:t xml:space="preserve">. </w:t>
      </w:r>
      <w:r>
        <w:rPr>
          <w:snapToGrid w:val="0"/>
        </w:rPr>
        <w:tab/>
        <w:t>How vacancies occur</w:t>
      </w:r>
      <w:bookmarkEnd w:id="139"/>
      <w:bookmarkEnd w:id="140"/>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pPr>
      <w:r>
        <w:rPr>
          <w:snapToGrid w:val="0"/>
        </w:rPr>
        <w:tab/>
        <w:t>(4)</w:t>
      </w:r>
      <w:r>
        <w:rPr>
          <w:snapToGrid w:val="0"/>
        </w:rPr>
        <w:tab/>
        <w:t xml:space="preserve">In this clause </w:t>
      </w:r>
      <w:r>
        <w:rPr>
          <w:b/>
        </w:rPr>
        <w:t>“</w:t>
      </w:r>
      <w:r>
        <w:rPr>
          <w:rStyle w:val="CharDefText"/>
        </w:rPr>
        <w:t>member</w:t>
      </w:r>
      <w:r>
        <w:rPr>
          <w:b/>
        </w:rPr>
        <w:t>”</w:t>
      </w:r>
      <w:r>
        <w:t xml:space="preserve"> includes an alternate member of the Board.</w:t>
      </w:r>
    </w:p>
    <w:p>
      <w:pPr>
        <w:pStyle w:val="yFootnotesection"/>
      </w:pPr>
      <w:r>
        <w:tab/>
        <w:t>[Clause 6 inserted by No. 46 of 1995 s. 17.]</w:t>
      </w:r>
    </w:p>
    <w:p>
      <w:pPr>
        <w:pStyle w:val="yHeading5"/>
        <w:outlineLvl w:val="9"/>
        <w:rPr>
          <w:snapToGrid w:val="0"/>
        </w:rPr>
      </w:pPr>
      <w:bookmarkStart w:id="141" w:name="_Toc501513302"/>
      <w:bookmarkStart w:id="142" w:name="_Toc170125287"/>
      <w:r>
        <w:rPr>
          <w:rStyle w:val="CharSClsNo"/>
        </w:rPr>
        <w:t>6A</w:t>
      </w:r>
      <w:r>
        <w:rPr>
          <w:snapToGrid w:val="0"/>
        </w:rPr>
        <w:t xml:space="preserve">. </w:t>
      </w:r>
      <w:r>
        <w:rPr>
          <w:snapToGrid w:val="0"/>
        </w:rPr>
        <w:tab/>
        <w:t>Vacancies to be filled within certain period</w:t>
      </w:r>
      <w:bookmarkEnd w:id="141"/>
      <w:bookmarkEnd w:id="142"/>
      <w:r>
        <w:rPr>
          <w:snapToGrid w:val="0"/>
        </w:rPr>
        <w:t xml:space="preserve"> </w:t>
      </w:r>
    </w:p>
    <w:p>
      <w:pPr>
        <w:pStyle w:val="ySubsection"/>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Heading5"/>
        <w:outlineLvl w:val="9"/>
        <w:rPr>
          <w:snapToGrid w:val="0"/>
        </w:rPr>
      </w:pPr>
      <w:bookmarkStart w:id="143" w:name="_Toc501513303"/>
      <w:bookmarkStart w:id="144" w:name="_Toc170125288"/>
      <w:r>
        <w:rPr>
          <w:rStyle w:val="CharSClsNo"/>
        </w:rPr>
        <w:t>7</w:t>
      </w:r>
      <w:r>
        <w:rPr>
          <w:snapToGrid w:val="0"/>
        </w:rPr>
        <w:t xml:space="preserve">. </w:t>
      </w:r>
      <w:r>
        <w:rPr>
          <w:snapToGrid w:val="0"/>
        </w:rPr>
        <w:tab/>
        <w:t>Alternate members</w:t>
      </w:r>
      <w:bookmarkEnd w:id="143"/>
      <w:bookmarkEnd w:id="144"/>
      <w:r>
        <w:rPr>
          <w:snapToGrid w:val="0"/>
        </w:rPr>
        <w:t xml:space="preserve"> </w:t>
      </w:r>
    </w:p>
    <w:p>
      <w:pPr>
        <w:pStyle w:val="ySubsection"/>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45" w:name="_Toc501513304"/>
      <w:bookmarkStart w:id="146" w:name="_Toc170125289"/>
      <w:r>
        <w:rPr>
          <w:rStyle w:val="CharSClsNo"/>
        </w:rPr>
        <w:t>8</w:t>
      </w:r>
      <w:r>
        <w:rPr>
          <w:snapToGrid w:val="0"/>
        </w:rPr>
        <w:t>.</w:t>
      </w:r>
      <w:r>
        <w:rPr>
          <w:snapToGrid w:val="0"/>
        </w:rPr>
        <w:tab/>
        <w:t>Meetings of the Board</w:t>
      </w:r>
      <w:bookmarkEnd w:id="145"/>
      <w:bookmarkEnd w:id="146"/>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16 of 2006 s. 14.]</w:t>
      </w:r>
    </w:p>
    <w:p>
      <w:pPr>
        <w:pStyle w:val="yEdnotesection"/>
      </w:pPr>
      <w:r>
        <w:t>[</w:t>
      </w:r>
      <w:r>
        <w:rPr>
          <w:b/>
        </w:rPr>
        <w:t>9.</w:t>
      </w:r>
      <w:r>
        <w:tab/>
      </w:r>
      <w:r>
        <w:tab/>
        <w:t>deleted]</w:t>
      </w:r>
    </w:p>
    <w:p>
      <w:pPr>
        <w:pStyle w:val="yHeading5"/>
        <w:outlineLvl w:val="9"/>
        <w:rPr>
          <w:snapToGrid w:val="0"/>
        </w:rPr>
      </w:pPr>
      <w:bookmarkStart w:id="147" w:name="_Toc501513305"/>
      <w:bookmarkStart w:id="148" w:name="_Toc170125290"/>
      <w:r>
        <w:rPr>
          <w:rStyle w:val="CharSClsNo"/>
        </w:rPr>
        <w:t>10</w:t>
      </w:r>
      <w:r>
        <w:rPr>
          <w:snapToGrid w:val="0"/>
        </w:rPr>
        <w:t>.</w:t>
      </w:r>
      <w:r>
        <w:rPr>
          <w:snapToGrid w:val="0"/>
        </w:rPr>
        <w:tab/>
        <w:t>Performance of functions by resolution</w:t>
      </w:r>
      <w:bookmarkEnd w:id="147"/>
      <w:bookmarkEnd w:id="148"/>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149" w:name="_Toc501513306"/>
      <w:bookmarkStart w:id="150" w:name="_Toc170125291"/>
      <w:r>
        <w:rPr>
          <w:rStyle w:val="CharSClsNo"/>
        </w:rPr>
        <w:t>11</w:t>
      </w:r>
      <w:r>
        <w:rPr>
          <w:snapToGrid w:val="0"/>
        </w:rPr>
        <w:t>.</w:t>
      </w:r>
      <w:r>
        <w:rPr>
          <w:snapToGrid w:val="0"/>
        </w:rPr>
        <w:tab/>
        <w:t>Disclosure of interest</w:t>
      </w:r>
      <w:bookmarkEnd w:id="149"/>
      <w:bookmarkEnd w:id="150"/>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151" w:name="_Toc501513307"/>
      <w:bookmarkStart w:id="152" w:name="_Toc170125292"/>
      <w:r>
        <w:rPr>
          <w:rStyle w:val="CharSClsNo"/>
        </w:rPr>
        <w:t>12</w:t>
      </w:r>
      <w:r>
        <w:rPr>
          <w:snapToGrid w:val="0"/>
        </w:rPr>
        <w:t>.</w:t>
      </w:r>
      <w:r>
        <w:rPr>
          <w:snapToGrid w:val="0"/>
        </w:rPr>
        <w:tab/>
        <w:t>Common seal</w:t>
      </w:r>
      <w:bookmarkEnd w:id="151"/>
      <w:bookmarkEnd w:id="152"/>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153" w:name="_Toc501513308"/>
      <w:bookmarkStart w:id="154" w:name="_Toc170125293"/>
      <w:r>
        <w:rPr>
          <w:rStyle w:val="CharSClsNo"/>
        </w:rPr>
        <w:t>13</w:t>
      </w:r>
      <w:r>
        <w:rPr>
          <w:snapToGrid w:val="0"/>
        </w:rPr>
        <w:t>.</w:t>
      </w:r>
      <w:r>
        <w:rPr>
          <w:snapToGrid w:val="0"/>
        </w:rPr>
        <w:tab/>
        <w:t>Allowances</w:t>
      </w:r>
      <w:bookmarkEnd w:id="153"/>
      <w:bookmarkEnd w:id="154"/>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155" w:name="_Toc501513309"/>
      <w:bookmarkStart w:id="156" w:name="_Toc170125294"/>
      <w:r>
        <w:rPr>
          <w:rStyle w:val="CharSClsNo"/>
        </w:rPr>
        <w:t>14</w:t>
      </w:r>
      <w:r>
        <w:rPr>
          <w:snapToGrid w:val="0"/>
        </w:rPr>
        <w:t xml:space="preserve">. </w:t>
      </w:r>
      <w:r>
        <w:rPr>
          <w:snapToGrid w:val="0"/>
        </w:rPr>
        <w:tab/>
        <w:t>Protection from liability</w:t>
      </w:r>
      <w:bookmarkEnd w:id="155"/>
      <w:bookmarkEnd w:id="156"/>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ScheduleHeading"/>
      </w:pPr>
      <w:bookmarkStart w:id="157" w:name="_Toc135715662"/>
      <w:bookmarkStart w:id="158" w:name="_Toc135716441"/>
      <w:bookmarkStart w:id="159" w:name="_Toc135717545"/>
      <w:bookmarkStart w:id="160" w:name="_Toc135718350"/>
      <w:bookmarkStart w:id="161" w:name="_Toc170125295"/>
      <w:r>
        <w:rPr>
          <w:rStyle w:val="CharSchNo"/>
        </w:rPr>
        <w:t>Schedule 3</w:t>
      </w:r>
      <w:bookmarkEnd w:id="157"/>
      <w:bookmarkEnd w:id="158"/>
      <w:bookmarkEnd w:id="159"/>
      <w:bookmarkEnd w:id="160"/>
      <w:bookmarkEnd w:id="161"/>
    </w:p>
    <w:p>
      <w:pPr>
        <w:pStyle w:val="yShoulderClause"/>
        <w:rPr>
          <w:snapToGrid w:val="0"/>
        </w:rPr>
      </w:pPr>
      <w:r>
        <w:rPr>
          <w:snapToGrid w:val="0"/>
        </w:rPr>
        <w:t>[s.35]</w:t>
      </w:r>
    </w:p>
    <w:p>
      <w:pPr>
        <w:pStyle w:val="MiscellaneousHeading"/>
        <w:rPr>
          <w:snapToGrid w:val="0"/>
          <w:sz w:val="22"/>
        </w:rPr>
      </w:pPr>
      <w:r>
        <w:rPr>
          <w:rStyle w:val="CharSchText"/>
          <w:b/>
        </w:rPr>
        <w:t xml:space="preserve">Transitional provisions </w:t>
      </w:r>
    </w:p>
    <w:p>
      <w:pPr>
        <w:pStyle w:val="yHeading5"/>
        <w:outlineLvl w:val="9"/>
        <w:rPr>
          <w:snapToGrid w:val="0"/>
        </w:rPr>
      </w:pPr>
      <w:bookmarkStart w:id="162" w:name="_Toc501513310"/>
      <w:bookmarkStart w:id="163" w:name="_Toc170125296"/>
      <w:r>
        <w:rPr>
          <w:rStyle w:val="CharSClsNo"/>
        </w:rPr>
        <w:t>1</w:t>
      </w:r>
      <w:r>
        <w:rPr>
          <w:snapToGrid w:val="0"/>
        </w:rPr>
        <w:t>.</w:t>
      </w:r>
      <w:r>
        <w:rPr>
          <w:snapToGrid w:val="0"/>
        </w:rPr>
        <w:tab/>
        <w:t>Interpretation</w:t>
      </w:r>
      <w:bookmarkEnd w:id="162"/>
      <w:bookmarkEnd w:id="16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former Act</w:t>
      </w:r>
      <w:r>
        <w:rPr>
          <w:b/>
        </w:rPr>
        <w:t>”</w:t>
      </w:r>
      <w:r>
        <w:t xml:space="preserve"> means the </w:t>
      </w:r>
      <w:r>
        <w:rPr>
          <w:i/>
        </w:rPr>
        <w:t>Coal Mine Workers (Pensions) Act 1943</w:t>
      </w:r>
      <w:r>
        <w:t>.</w:t>
      </w:r>
    </w:p>
    <w:p>
      <w:pPr>
        <w:pStyle w:val="yFootnotesection"/>
      </w:pPr>
      <w:bookmarkStart w:id="164" w:name="_Toc501513311"/>
      <w:r>
        <w:tab/>
        <w:t>[Clause 1 amended by No. 16 of 2006 s. 15(1).]</w:t>
      </w:r>
    </w:p>
    <w:p>
      <w:pPr>
        <w:pStyle w:val="yEdnotesection"/>
      </w:pPr>
      <w:bookmarkStart w:id="165" w:name="_Toc501513314"/>
      <w:bookmarkEnd w:id="164"/>
      <w:r>
        <w:t>[</w:t>
      </w:r>
      <w:r>
        <w:rPr>
          <w:b/>
          <w:bCs/>
        </w:rPr>
        <w:t>2-4.</w:t>
      </w:r>
      <w:r>
        <w:tab/>
        <w:t>Repealed by No. 16 of 2006 s. 15(2).]</w:t>
      </w:r>
    </w:p>
    <w:p>
      <w:pPr>
        <w:pStyle w:val="yHeading5"/>
        <w:outlineLvl w:val="9"/>
        <w:rPr>
          <w:snapToGrid w:val="0"/>
        </w:rPr>
      </w:pPr>
      <w:bookmarkStart w:id="166" w:name="_Toc170125297"/>
      <w:r>
        <w:rPr>
          <w:rStyle w:val="CharSClsNo"/>
        </w:rPr>
        <w:t>5</w:t>
      </w:r>
      <w:r>
        <w:rPr>
          <w:snapToGrid w:val="0"/>
        </w:rPr>
        <w:t>.</w:t>
      </w:r>
      <w:r>
        <w:rPr>
          <w:snapToGrid w:val="0"/>
        </w:rPr>
        <w:tab/>
        <w:t>Reciprocating States</w:t>
      </w:r>
      <w:bookmarkEnd w:id="165"/>
      <w:bookmarkEnd w:id="166"/>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6-8.</w:t>
      </w:r>
      <w:r>
        <w:tab/>
        <w:t>Repealed by No. 16 of 2006 s. 15(2).]</w:t>
      </w:r>
    </w:p>
    <w:p>
      <w:pPr>
        <w:sectPr>
          <w:headerReference w:type="even" r:id="rId30"/>
          <w:headerReference w:type="default" r:id="rId31"/>
          <w:pgSz w:w="11906" w:h="16838" w:code="9"/>
          <w:pgMar w:top="2381" w:right="2410" w:bottom="3544" w:left="2410" w:header="720" w:footer="3380" w:gutter="0"/>
          <w:cols w:space="720"/>
          <w:noEndnote/>
          <w:docGrid w:linePitch="326"/>
        </w:sectPr>
      </w:pPr>
    </w:p>
    <w:p>
      <w:pPr>
        <w:pStyle w:val="nHeading2"/>
      </w:pPr>
      <w:bookmarkStart w:id="167" w:name="_Toc135715670"/>
      <w:bookmarkStart w:id="168" w:name="_Toc135716449"/>
      <w:bookmarkStart w:id="169" w:name="_Toc135717553"/>
      <w:bookmarkStart w:id="170" w:name="_Toc135718358"/>
      <w:bookmarkStart w:id="171" w:name="_Toc170125298"/>
      <w:r>
        <w:t>Notes</w:t>
      </w:r>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snapToGrid w:val="0"/>
        </w:rPr>
        <w:t>Coal Industry Superannuation Act 1989</w:t>
      </w:r>
      <w:r>
        <w:rPr>
          <w:snapToGrid w:val="0"/>
        </w:rPr>
        <w:t xml:space="preserve"> </w:t>
      </w:r>
      <w:r>
        <w:t>and includes the amendments made by the other written laws referred to in the following table</w:t>
      </w:r>
      <w:r>
        <w:rPr>
          <w:snapToGrid w:val="0"/>
        </w:rPr>
        <w:t>.</w:t>
      </w:r>
    </w:p>
    <w:p>
      <w:pPr>
        <w:pStyle w:val="nHeading3"/>
        <w:rPr>
          <w:snapToGrid w:val="0"/>
        </w:rPr>
      </w:pPr>
      <w:bookmarkStart w:id="172" w:name="_Toc170125299"/>
      <w:r>
        <w:rPr>
          <w:snapToGrid w:val="0"/>
        </w:rP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Acts Amendment (Coal Mining Industry) Act 1994</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and 4:</w:t>
            </w:r>
            <w:r>
              <w:rPr>
                <w:sz w:val="19"/>
              </w:rPr>
              <w:br/>
              <w:t>22 Sep 1994 (see s. 2(1));</w:t>
            </w:r>
            <w:r>
              <w:rPr>
                <w:sz w:val="19"/>
              </w:rPr>
              <w:br/>
              <w:t xml:space="preserve">Pt. 3: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5"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5535-6</w:t>
            </w:r>
          </w:p>
        </w:tc>
        <w:tc>
          <w:tcPr>
            <w:tcW w:w="2551" w:type="dxa"/>
          </w:tcPr>
          <w:p>
            <w:pPr>
              <w:pStyle w:val="nTable"/>
              <w:spacing w:after="40"/>
              <w:rPr>
                <w:sz w:val="19"/>
              </w:rPr>
            </w:pPr>
            <w:r>
              <w:rPr>
                <w:sz w:val="19"/>
              </w:rPr>
              <w:t>29 Sep 2000</w:t>
            </w:r>
          </w:p>
        </w:tc>
      </w:tr>
      <w:tr>
        <w:trPr>
          <w:cantSplit/>
        </w:trPr>
        <w:tc>
          <w:tcPr>
            <w:tcW w:w="2268" w:type="dxa"/>
            <w:tcBorders>
              <w:bottom w:val="single" w:sz="8" w:space="0" w:color="auto"/>
            </w:tcBorders>
          </w:tcPr>
          <w:p>
            <w:pPr>
              <w:pStyle w:val="nTable"/>
              <w:spacing w:after="40"/>
              <w:ind w:right="113"/>
              <w:rPr>
                <w:sz w:val="19"/>
              </w:rPr>
            </w:pPr>
            <w:r>
              <w:rPr>
                <w:i/>
                <w:iCs/>
                <w:snapToGrid w:val="0"/>
                <w:sz w:val="19"/>
                <w:lang w:val="en-US"/>
              </w:rPr>
              <w:t>Coal Industry Superannuation Amendment Act 2006</w:t>
            </w:r>
          </w:p>
        </w:tc>
        <w:tc>
          <w:tcPr>
            <w:tcW w:w="1134" w:type="dxa"/>
            <w:tcBorders>
              <w:bottom w:val="single" w:sz="8" w:space="0" w:color="auto"/>
            </w:tcBorders>
          </w:tcPr>
          <w:p>
            <w:pPr>
              <w:pStyle w:val="nTable"/>
              <w:spacing w:after="40"/>
              <w:rPr>
                <w:sz w:val="19"/>
              </w:rPr>
            </w:pPr>
            <w:r>
              <w:rPr>
                <w:sz w:val="19"/>
              </w:rPr>
              <w:t>16 of 2006</w:t>
            </w:r>
          </w:p>
        </w:tc>
        <w:tc>
          <w:tcPr>
            <w:tcW w:w="1134" w:type="dxa"/>
            <w:tcBorders>
              <w:bottom w:val="single" w:sz="8" w:space="0" w:color="auto"/>
            </w:tcBorders>
          </w:tcPr>
          <w:p>
            <w:pPr>
              <w:pStyle w:val="nTable"/>
              <w:spacing w:after="40"/>
              <w:rPr>
                <w:sz w:val="19"/>
              </w:rPr>
            </w:pPr>
            <w:r>
              <w:rPr>
                <w:sz w:val="19"/>
              </w:rPr>
              <w:t>17 May 2006</w:t>
            </w:r>
          </w:p>
        </w:tc>
        <w:tc>
          <w:tcPr>
            <w:tcW w:w="2551" w:type="dxa"/>
            <w:tcBorders>
              <w:bottom w:val="single" w:sz="8" w:space="0" w:color="auto"/>
            </w:tcBorders>
          </w:tcPr>
          <w:p>
            <w:pPr>
              <w:pStyle w:val="nTable"/>
              <w:spacing w:after="40"/>
              <w:rPr>
                <w:sz w:val="19"/>
              </w:rPr>
            </w:pPr>
            <w:r>
              <w:rPr>
                <w:sz w:val="19"/>
              </w:rPr>
              <w:t>14 Jun 2006</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Section 8(2) of the </w:t>
      </w:r>
      <w:r>
        <w:rPr>
          <w:i/>
          <w:snapToGrid w:val="0"/>
        </w:rPr>
        <w:t>Acts Amendment (Coal Mining Industry) Act 1994</w:t>
      </w:r>
      <w:r>
        <w:rPr>
          <w:snapToGrid w:val="0"/>
        </w:rPr>
        <w:t xml:space="preserve"> (No. 45 of 1994)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person who at the time of the commencement of this section holds the position of secretary under section 19 of the principal Act shall, on or after that time, be deemed to have been appointed as Administration Manager.</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8(2) of the </w:t>
      </w:r>
      <w:r>
        <w:rPr>
          <w:i/>
          <w:snapToGrid w:val="0"/>
        </w:rPr>
        <w:t>Coal Industry Superannuation Amendment Act 1995</w:t>
      </w:r>
      <w:r>
        <w:rPr>
          <w:snapToGrid w:val="0"/>
        </w:rPr>
        <w:t xml:space="preserve"> (No. 46 of 1995) reads as follows — </w:t>
      </w:r>
    </w:p>
    <w:p>
      <w:pPr>
        <w:pStyle w:val="nSubsection"/>
        <w:ind w:left="0" w:firstLine="0"/>
        <w:rPr>
          <w:snapToGrid w:val="0"/>
        </w:rPr>
      </w:pPr>
      <w:r>
        <w:rPr>
          <w:snapToGrid w:val="0"/>
        </w:rPr>
        <w:t>“</w:t>
      </w:r>
    </w:p>
    <w:p>
      <w:pPr>
        <w:pStyle w:val="nzSubsection"/>
        <w:rPr>
          <w:snapToGrid w:val="0"/>
        </w:rPr>
      </w:pPr>
      <w:r>
        <w:rPr>
          <w:snapToGrid w:val="0"/>
        </w:rPr>
        <w:tab/>
        <w:t>(2)</w:t>
      </w:r>
      <w:r>
        <w:rPr>
          <w:snapToGrid w:val="0"/>
        </w:rPr>
        <w:tab/>
        <w:t>The amendment effected by subsection (1) does not affect the validity of the appointment of the person holding office as chairman of the Board immediately before the commencement of this section.</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C1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5666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838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E48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240B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740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E5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E0F2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C754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F0ED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23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DBA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38"/>
    <w:docVar w:name="WAFER_20151208095338" w:val="RemoveTrackChanges"/>
    <w:docVar w:name="WAFER_20151208095338_GUID" w:val="afbfc203-5c9a-483a-bc4d-6d9e269f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8311</Words>
  <Characters>38399</Characters>
  <Application>Microsoft Office Word</Application>
  <DocSecurity>0</DocSecurity>
  <Lines>1066</Lines>
  <Paragraphs>648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1989 - 01-c0-04</dc:title>
  <dc:subject/>
  <dc:creator/>
  <cp:keywords/>
  <dc:description/>
  <cp:lastModifiedBy>svcMRProcess</cp:lastModifiedBy>
  <cp:revision>4</cp:revision>
  <cp:lastPrinted>2000-12-22T02:51:00Z</cp:lastPrinted>
  <dcterms:created xsi:type="dcterms:W3CDTF">2015-12-09T09:59:00Z</dcterms:created>
  <dcterms:modified xsi:type="dcterms:W3CDTF">2015-12-09T09:59:00Z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20060614</vt:lpwstr>
  </property>
  <property fmtid="{D5CDD505-2E9C-101B-9397-08002B2CF9AE}" pid="4" name="DocumentType">
    <vt:lpwstr>Act</vt:lpwstr>
  </property>
  <property fmtid="{D5CDD505-2E9C-101B-9397-08002B2CF9AE}" pid="5" name="OwlsUID">
    <vt:i4>138</vt:i4>
  </property>
  <property fmtid="{D5CDD505-2E9C-101B-9397-08002B2CF9AE}" pid="6" name="AsAtDate">
    <vt:lpwstr>14 Jun 2006</vt:lpwstr>
  </property>
  <property fmtid="{D5CDD505-2E9C-101B-9397-08002B2CF9AE}" pid="7" name="Suffix">
    <vt:lpwstr>01-c0-04</vt:lpwstr>
  </property>
</Properties>
</file>