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_Toc486429821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_Toc486429822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_Toc486429823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_Toc486429824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_Toc486429825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_Toc486429826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_Toc486429827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_Toc486429828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_Toc486429829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_Toc486429830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_Toc486429831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_Toc486429832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_Toc486429833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_Toc486429834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_Toc486429835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_Toc486429836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_Toc486429837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_Toc486429838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_Toc486429839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_Toc486429840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_Toc486429841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_Toc486429842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_Toc486429843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Penalty for offences generally</w:t>
      </w:r>
      <w:r>
        <w:tab/>
      </w:r>
      <w:r>
        <w:fldChar w:fldCharType="begin"/>
      </w:r>
      <w:r>
        <w:instrText xml:space="preserve"> PAGEREF _Toc486429844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_Toc486429845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_Toc486429846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_Toc486429847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_Toc486429848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_Toc486429850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_Toc486429851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48642982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8642982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5" w:name="_Toc486429823"/>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486429824"/>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486429825"/>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No. 113 of 1965 s. 8; No. 50 of 2003 s. 55(2).] </w:t>
      </w:r>
    </w:p>
    <w:p>
      <w:pPr>
        <w:pStyle w:val="Heading5"/>
        <w:spacing w:before="180"/>
        <w:rPr>
          <w:snapToGrid w:val="0"/>
        </w:rPr>
      </w:pPr>
      <w:bookmarkStart w:id="8" w:name="_Toc486429826"/>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9" w:name="_Toc486429827"/>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486429828"/>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486429829"/>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468453293"/>
      <w:bookmarkStart w:id="13" w:name="_Toc468458348"/>
      <w:bookmarkStart w:id="14" w:name="_Toc486429830"/>
      <w:r>
        <w:rPr>
          <w:rStyle w:val="CharSectno"/>
        </w:rPr>
        <w:t>10A</w:t>
      </w:r>
      <w:r>
        <w:t>.</w:t>
      </w:r>
      <w:r>
        <w:tab/>
        <w:t>Duration of licences</w:t>
      </w:r>
      <w:bookmarkEnd w:id="12"/>
      <w:bookmarkEnd w:id="13"/>
      <w:bookmarkEnd w:id="14"/>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5" w:name="_Toc486429831"/>
      <w:r>
        <w:rPr>
          <w:rStyle w:val="CharSectno"/>
        </w:rPr>
        <w:t>10</w:t>
      </w:r>
      <w:r>
        <w:rPr>
          <w:snapToGrid w:val="0"/>
        </w:rPr>
        <w:t>.</w:t>
      </w:r>
      <w:r>
        <w:rPr>
          <w:snapToGrid w:val="0"/>
        </w:rPr>
        <w:tab/>
        <w:t>Cancellation of licence</w:t>
      </w:r>
      <w:bookmarkEnd w:id="15"/>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6" w:name="_Toc486429832"/>
      <w:r>
        <w:rPr>
          <w:rStyle w:val="CharSectno"/>
        </w:rPr>
        <w:t>11</w:t>
      </w:r>
      <w:r>
        <w:t>.</w:t>
      </w:r>
      <w:r>
        <w:tab/>
        <w:t>Review of Commissioner’s decision</w:t>
      </w:r>
      <w:bookmarkEnd w:id="16"/>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7" w:name="_Toc486429833"/>
      <w:r>
        <w:rPr>
          <w:rStyle w:val="CharSectno"/>
        </w:rPr>
        <w:t>12</w:t>
      </w:r>
      <w:r>
        <w:rPr>
          <w:snapToGrid w:val="0"/>
        </w:rPr>
        <w:t>.</w:t>
      </w:r>
      <w:r>
        <w:rPr>
          <w:snapToGrid w:val="0"/>
        </w:rPr>
        <w:tab/>
        <w:t>Register to be kept by Commissioner</w:t>
      </w:r>
      <w:bookmarkEnd w:id="1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8" w:name="_Toc486429834"/>
      <w:r>
        <w:rPr>
          <w:rStyle w:val="CharSectno"/>
        </w:rPr>
        <w:t>12A</w:t>
      </w:r>
      <w:r>
        <w:t>.</w:t>
      </w:r>
      <w:r>
        <w:tab/>
        <w:t>Matters to be included in annual report</w:t>
      </w:r>
      <w:bookmarkEnd w:id="1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9" w:name="_Toc486429835"/>
      <w:r>
        <w:rPr>
          <w:rStyle w:val="CharSectno"/>
        </w:rPr>
        <w:t>13</w:t>
      </w:r>
      <w:r>
        <w:rPr>
          <w:snapToGrid w:val="0"/>
        </w:rPr>
        <w:t>.</w:t>
      </w:r>
      <w:r>
        <w:rPr>
          <w:snapToGrid w:val="0"/>
        </w:rPr>
        <w:tab/>
        <w:t>Unlicensed persons not to recover fees etc.</w:t>
      </w:r>
      <w:bookmarkEnd w:id="19"/>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20" w:name="_Toc486429836"/>
      <w:r>
        <w:rPr>
          <w:rStyle w:val="CharSectno"/>
        </w:rPr>
        <w:t>14</w:t>
      </w:r>
      <w:r>
        <w:rPr>
          <w:snapToGrid w:val="0"/>
        </w:rPr>
        <w:t>.</w:t>
      </w:r>
      <w:r>
        <w:rPr>
          <w:snapToGrid w:val="0"/>
        </w:rPr>
        <w:tab/>
        <w:t>Offence of furnishing incorrect information in applications etc.</w:t>
      </w:r>
      <w:bookmarkEnd w:id="20"/>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w:t>
      </w:r>
    </w:p>
    <w:p>
      <w:pPr>
        <w:pStyle w:val="Heading5"/>
        <w:rPr>
          <w:snapToGrid w:val="0"/>
        </w:rPr>
      </w:pPr>
      <w:bookmarkStart w:id="21" w:name="_Toc486429837"/>
      <w:r>
        <w:rPr>
          <w:rStyle w:val="CharSectno"/>
        </w:rPr>
        <w:t>15</w:t>
      </w:r>
      <w:r>
        <w:rPr>
          <w:snapToGrid w:val="0"/>
        </w:rPr>
        <w:t>.</w:t>
      </w:r>
      <w:r>
        <w:rPr>
          <w:snapToGrid w:val="0"/>
        </w:rPr>
        <w:tab/>
        <w:t>Duty of debt collectors in respect of trust money</w:t>
      </w:r>
      <w:bookmarkEnd w:id="21"/>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w:t>
      </w:r>
    </w:p>
    <w:p>
      <w:pPr>
        <w:pStyle w:val="Heading5"/>
        <w:rPr>
          <w:snapToGrid w:val="0"/>
        </w:rPr>
      </w:pPr>
      <w:bookmarkStart w:id="22" w:name="_Toc486429838"/>
      <w:r>
        <w:rPr>
          <w:rStyle w:val="CharSectno"/>
        </w:rPr>
        <w:t>16</w:t>
      </w:r>
      <w:r>
        <w:rPr>
          <w:snapToGrid w:val="0"/>
        </w:rPr>
        <w:t>.</w:t>
      </w:r>
      <w:r>
        <w:rPr>
          <w:snapToGrid w:val="0"/>
        </w:rPr>
        <w:tab/>
        <w:t>Duty of bank Manager</w:t>
      </w:r>
      <w:bookmarkEnd w:id="22"/>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23" w:name="_Toc486429839"/>
      <w:r>
        <w:rPr>
          <w:rStyle w:val="CharSectno"/>
        </w:rPr>
        <w:t>17</w:t>
      </w:r>
      <w:r>
        <w:rPr>
          <w:snapToGrid w:val="0"/>
        </w:rPr>
        <w:t>.</w:t>
      </w:r>
      <w:r>
        <w:rPr>
          <w:snapToGrid w:val="0"/>
        </w:rPr>
        <w:tab/>
        <w:t>Duty of debt collector as to accounts</w:t>
      </w:r>
      <w:bookmarkEnd w:id="2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24" w:name="_Toc486429840"/>
      <w:r>
        <w:rPr>
          <w:rStyle w:val="CharSectno"/>
        </w:rPr>
        <w:t>18</w:t>
      </w:r>
      <w:r>
        <w:rPr>
          <w:snapToGrid w:val="0"/>
        </w:rPr>
        <w:t>.</w:t>
      </w:r>
      <w:r>
        <w:rPr>
          <w:snapToGrid w:val="0"/>
        </w:rPr>
        <w:tab/>
        <w:t>Inspection of records</w:t>
      </w:r>
      <w:bookmarkEnd w:id="2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25" w:name="_Toc486429841"/>
      <w:r>
        <w:rPr>
          <w:rStyle w:val="CharSectno"/>
        </w:rPr>
        <w:t>19</w:t>
      </w:r>
      <w:r>
        <w:rPr>
          <w:snapToGrid w:val="0"/>
        </w:rPr>
        <w:t>.</w:t>
      </w:r>
      <w:r>
        <w:rPr>
          <w:snapToGrid w:val="0"/>
        </w:rPr>
        <w:tab/>
        <w:t>Minister may appoint auditor to audit trust accounts</w:t>
      </w:r>
      <w:bookmarkEnd w:id="25"/>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6" w:name="_Toc486429842"/>
      <w:r>
        <w:rPr>
          <w:rStyle w:val="CharSectno"/>
        </w:rPr>
        <w:t>20</w:t>
      </w:r>
      <w:r>
        <w:rPr>
          <w:snapToGrid w:val="0"/>
        </w:rPr>
        <w:t>.</w:t>
      </w:r>
      <w:r>
        <w:rPr>
          <w:snapToGrid w:val="0"/>
        </w:rPr>
        <w:tab/>
        <w:t>Fidelity bond</w:t>
      </w:r>
      <w:bookmarkEnd w:id="26"/>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7" w:name="_Toc486429843"/>
      <w:r>
        <w:rPr>
          <w:rStyle w:val="CharSectno"/>
        </w:rPr>
        <w:t>21</w:t>
      </w:r>
      <w:r>
        <w:rPr>
          <w:snapToGrid w:val="0"/>
        </w:rPr>
        <w:t>.</w:t>
      </w:r>
      <w:r>
        <w:rPr>
          <w:snapToGrid w:val="0"/>
        </w:rPr>
        <w:tab/>
        <w:t>Termination of fidelity bond</w:t>
      </w:r>
      <w:bookmarkEnd w:id="2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Heading5"/>
        <w:rPr>
          <w:snapToGrid w:val="0"/>
        </w:rPr>
      </w:pPr>
      <w:bookmarkStart w:id="28" w:name="_Toc486429844"/>
      <w:r>
        <w:rPr>
          <w:rStyle w:val="CharSectno"/>
        </w:rPr>
        <w:t>22</w:t>
      </w:r>
      <w:r>
        <w:rPr>
          <w:snapToGrid w:val="0"/>
        </w:rPr>
        <w:t>.</w:t>
      </w:r>
      <w:r>
        <w:rPr>
          <w:snapToGrid w:val="0"/>
        </w:rPr>
        <w:tab/>
        <w:t>Penalty for offences generally</w:t>
      </w:r>
      <w:bookmarkEnd w:id="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No. 113 of 1965 s. 8.] </w:t>
      </w:r>
    </w:p>
    <w:p>
      <w:pPr>
        <w:pStyle w:val="Heading5"/>
        <w:rPr>
          <w:snapToGrid w:val="0"/>
        </w:rPr>
      </w:pPr>
      <w:bookmarkStart w:id="29" w:name="_Toc486429845"/>
      <w:r>
        <w:rPr>
          <w:rStyle w:val="CharSectno"/>
        </w:rPr>
        <w:t>23</w:t>
      </w:r>
      <w:r>
        <w:rPr>
          <w:snapToGrid w:val="0"/>
        </w:rPr>
        <w:t>.</w:t>
      </w:r>
      <w:r>
        <w:rPr>
          <w:snapToGrid w:val="0"/>
        </w:rPr>
        <w:tab/>
        <w:t>Offence by corporation</w:t>
      </w:r>
      <w:bookmarkEnd w:id="2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30" w:name="_Toc486429846"/>
      <w:r>
        <w:rPr>
          <w:rStyle w:val="CharSectno"/>
        </w:rPr>
        <w:t>24</w:t>
      </w:r>
      <w:r>
        <w:rPr>
          <w:snapToGrid w:val="0"/>
        </w:rPr>
        <w:t>.</w:t>
      </w:r>
      <w:r>
        <w:rPr>
          <w:snapToGrid w:val="0"/>
        </w:rPr>
        <w:tab/>
        <w:t>Evidentiary provision</w:t>
      </w:r>
      <w:bookmarkEnd w:id="30"/>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31" w:name="_Toc486429847"/>
      <w:r>
        <w:rPr>
          <w:rStyle w:val="CharSectno"/>
        </w:rPr>
        <w:t>25</w:t>
      </w:r>
      <w:r>
        <w:rPr>
          <w:snapToGrid w:val="0"/>
        </w:rPr>
        <w:t>.</w:t>
      </w:r>
      <w:r>
        <w:rPr>
          <w:snapToGrid w:val="0"/>
        </w:rPr>
        <w:tab/>
        <w:t>Saving of remedies</w:t>
      </w:r>
      <w:bookmarkEnd w:id="31"/>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32" w:name="_Toc486429848"/>
      <w:r>
        <w:rPr>
          <w:rStyle w:val="CharSectno"/>
        </w:rPr>
        <w:t>26</w:t>
      </w:r>
      <w:r>
        <w:rPr>
          <w:snapToGrid w:val="0"/>
        </w:rPr>
        <w:t>.</w:t>
      </w:r>
      <w:r>
        <w:rPr>
          <w:snapToGrid w:val="0"/>
        </w:rPr>
        <w:tab/>
        <w:t>Regulations</w:t>
      </w:r>
      <w:bookmarkEnd w:id="32"/>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 xml:space="preserve">[Section 26 amended: No. 113 of 1965 s. 8; No. 44 of 2016 s. 14.]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3" w:name="_Toc486329234"/>
      <w:bookmarkStart w:id="34" w:name="_Toc486429849"/>
      <w:r>
        <w:t>Notes</w:t>
      </w:r>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 w:name="_Toc486429850"/>
      <w:r>
        <w:rPr>
          <w:snapToGrid w:val="0"/>
        </w:rPr>
        <w:t>Compilation table</w:t>
      </w:r>
      <w:bookmarkEnd w:id="35"/>
    </w:p>
    <w:tbl>
      <w:tblPr>
        <w:tblW w:w="0" w:type="auto"/>
        <w:tblInd w:w="112" w:type="dxa"/>
        <w:tblLayout w:type="fixed"/>
        <w:tblCellMar>
          <w:left w:w="56" w:type="dxa"/>
          <w:right w:w="56" w:type="dxa"/>
        </w:tblCellMar>
        <w:tblLook w:val="0000" w:firstRow="0" w:lastRow="0" w:firstColumn="0" w:lastColumn="0" w:noHBand="0" w:noVBand="0"/>
      </w:tblPr>
      <w:tblGrid>
        <w:gridCol w:w="2212"/>
        <w:gridCol w:w="56"/>
        <w:gridCol w:w="1078"/>
        <w:gridCol w:w="56"/>
        <w:gridCol w:w="1078"/>
        <w:gridCol w:w="56"/>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Debt Collectors Licensing Act 1964</w:t>
            </w:r>
          </w:p>
        </w:tc>
        <w:tc>
          <w:tcPr>
            <w:tcW w:w="1134" w:type="dxa"/>
            <w:gridSpan w:val="2"/>
          </w:tcPr>
          <w:p>
            <w:pPr>
              <w:pStyle w:val="nTable"/>
              <w:spacing w:after="40"/>
            </w:pPr>
            <w:r>
              <w:t>108 of 1964 (13 Eliz. No. 108)</w:t>
            </w:r>
          </w:p>
        </w:tc>
        <w:tc>
          <w:tcPr>
            <w:tcW w:w="1134" w:type="dxa"/>
            <w:gridSpan w:val="2"/>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gridSpan w:val="2"/>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gridSpan w:val="2"/>
          </w:tcPr>
          <w:p>
            <w:pPr>
              <w:pStyle w:val="nTable"/>
              <w:spacing w:after="40"/>
            </w:pPr>
            <w:r>
              <w:rPr>
                <w:i/>
              </w:rPr>
              <w:t>Debt Collectors Licensing Act Amendment Act 1966</w:t>
            </w:r>
          </w:p>
        </w:tc>
        <w:tc>
          <w:tcPr>
            <w:tcW w:w="1134" w:type="dxa"/>
            <w:gridSpan w:val="2"/>
          </w:tcPr>
          <w:p>
            <w:pPr>
              <w:pStyle w:val="nTable"/>
              <w:spacing w:after="40"/>
            </w:pPr>
            <w:r>
              <w:t>21 of 1966</w:t>
            </w:r>
          </w:p>
        </w:tc>
        <w:tc>
          <w:tcPr>
            <w:tcW w:w="1134" w:type="dxa"/>
            <w:gridSpan w:val="2"/>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8"/>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gridSpan w:val="2"/>
          </w:tcPr>
          <w:p>
            <w:pPr>
              <w:pStyle w:val="nTable"/>
              <w:spacing w:after="40"/>
            </w:pPr>
            <w:r>
              <w:rPr>
                <w:i/>
              </w:rPr>
              <w:t>Acts Amendment and Repeal (Financial Sector Reform) Act 1999</w:t>
            </w:r>
            <w:r>
              <w:t xml:space="preserve"> s. 73</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8"/>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gridSpan w:val="2"/>
          </w:tcPr>
          <w:p>
            <w:pPr>
              <w:pStyle w:val="nTable"/>
              <w:spacing w:after="40"/>
              <w:rPr>
                <w:i/>
              </w:rPr>
            </w:pPr>
            <w:r>
              <w:rPr>
                <w:i/>
              </w:rPr>
              <w:t xml:space="preserve">Sentencing Legislation Amendment and Repeal Act 2003 </w:t>
            </w:r>
            <w:r>
              <w:t>s. 55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gridSpan w:val="2"/>
          </w:tcPr>
          <w:p>
            <w:pPr>
              <w:pStyle w:val="nTable"/>
              <w:spacing w:after="40"/>
            </w:pPr>
            <w:r>
              <w:rPr>
                <w:i/>
              </w:rPr>
              <w:t>Acts Amendment and Repeal (Courts and Legal Practice) Act 2003</w:t>
            </w:r>
            <w:r>
              <w:t xml:space="preserve"> s. 28</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gridSpan w:val="2"/>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2</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gridSpan w:val="2"/>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3,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8"/>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gridSpan w:val="2"/>
          </w:tcPr>
          <w:p>
            <w:pPr>
              <w:pStyle w:val="nTable"/>
              <w:spacing w:after="40"/>
              <w:rPr>
                <w:i/>
              </w:rPr>
            </w:pPr>
            <w:r>
              <w:rPr>
                <w:i/>
                <w:snapToGrid w:val="0"/>
              </w:rPr>
              <w:t xml:space="preserve">Financial Legislation Amendment and Repeal Act 2006 </w:t>
            </w:r>
            <w:r>
              <w:rPr>
                <w:iCs/>
                <w:snapToGrid w:val="0"/>
              </w:rPr>
              <w:t>Sch. 1 cl. 44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gridSpan w:val="2"/>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gridSpan w:val="2"/>
          </w:tcPr>
          <w:p>
            <w:pPr>
              <w:pStyle w:val="nTable"/>
              <w:spacing w:after="40"/>
              <w:rPr>
                <w:snapToGrid w:val="0"/>
              </w:rPr>
            </w:pPr>
            <w:r>
              <w:t>58 of 2010</w:t>
            </w:r>
          </w:p>
        </w:tc>
        <w:tc>
          <w:tcPr>
            <w:tcW w:w="1134" w:type="dxa"/>
            <w:gridSpan w:val="2"/>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7"/>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12" w:type="dxa"/>
            <w:tcBorders>
              <w:bottom w:val="single" w:sz="4" w:space="0" w:color="auto"/>
            </w:tcBorders>
          </w:tcPr>
          <w:p>
            <w:pPr>
              <w:pStyle w:val="nTable"/>
              <w:spacing w:after="40"/>
              <w:rPr>
                <w:b/>
              </w:rPr>
            </w:pPr>
            <w:r>
              <w:rPr>
                <w:i/>
              </w:rPr>
              <w:t>Licensing Provisions Amendment Act 2016</w:t>
            </w:r>
            <w:r>
              <w:t xml:space="preserve"> Pt. 3</w:t>
            </w:r>
          </w:p>
        </w:tc>
        <w:tc>
          <w:tcPr>
            <w:tcW w:w="1134" w:type="dxa"/>
            <w:gridSpan w:val="2"/>
            <w:tcBorders>
              <w:bottom w:val="single" w:sz="4" w:space="0" w:color="auto"/>
            </w:tcBorders>
          </w:tcPr>
          <w:p>
            <w:pPr>
              <w:pStyle w:val="nTable"/>
              <w:spacing w:after="40"/>
              <w:rPr>
                <w:b/>
              </w:rPr>
            </w:pPr>
            <w:r>
              <w:t>44 of 2016</w:t>
            </w:r>
          </w:p>
        </w:tc>
        <w:tc>
          <w:tcPr>
            <w:tcW w:w="1134" w:type="dxa"/>
            <w:gridSpan w:val="2"/>
            <w:tcBorders>
              <w:bottom w:val="single" w:sz="4" w:space="0" w:color="auto"/>
            </w:tcBorders>
          </w:tcPr>
          <w:p>
            <w:pPr>
              <w:pStyle w:val="nTable"/>
              <w:spacing w:after="40"/>
              <w:rPr>
                <w:b/>
              </w:rPr>
            </w:pPr>
            <w:r>
              <w:t>1 Dec 2016</w:t>
            </w:r>
          </w:p>
        </w:tc>
        <w:tc>
          <w:tcPr>
            <w:tcW w:w="2589" w:type="dxa"/>
            <w:gridSpan w:val="2"/>
            <w:tcBorders>
              <w:bottom w:val="single" w:sz="4" w:space="0" w:color="auto"/>
            </w:tcBorders>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 w:name="_Toc486429851"/>
      <w:r>
        <w:rPr>
          <w:snapToGrid w:val="0"/>
        </w:rPr>
        <w:t>Provisions that have not come into operation</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5</w:t>
            </w:r>
          </w:p>
        </w:tc>
        <w:tc>
          <w:tcPr>
            <w:tcW w:w="1134" w:type="dxa"/>
            <w:tcBorders>
              <w:top w:val="single" w:sz="8" w:space="0" w:color="auto"/>
              <w:bottom w:val="single" w:sz="8" w:space="0" w:color="auto"/>
            </w:tcBorders>
          </w:tcPr>
          <w:p>
            <w:pPr>
              <w:pStyle w:val="nTable"/>
              <w:keepNext/>
              <w:spacing w:after="40"/>
            </w:pPr>
            <w:r>
              <w:t>56 of 1995</w:t>
            </w:r>
          </w:p>
        </w:tc>
        <w:tc>
          <w:tcPr>
            <w:tcW w:w="1134" w:type="dxa"/>
            <w:tcBorders>
              <w:top w:val="single" w:sz="8" w:space="0" w:color="auto"/>
              <w:bottom w:val="single" w:sz="8" w:space="0" w:color="auto"/>
            </w:tcBorders>
          </w:tcPr>
          <w:p>
            <w:pPr>
              <w:pStyle w:val="nTable"/>
              <w:keepNext/>
              <w:spacing w:after="40"/>
            </w:pPr>
            <w:r>
              <w:t>20 Dec 1995</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r>
        <w:rPr>
          <w:iCs/>
          <w:vertAlign w:val="superscript"/>
        </w:rPr>
        <w:t>4</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r>
        <w:rPr>
          <w:b/>
          <w:i/>
        </w:rPr>
        <w:t>prescribed period</w:t>
      </w:r>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6</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rPr>
          <w:snapToGrid w:val="0"/>
        </w:rPr>
      </w:pPr>
      <w:r>
        <w:rPr>
          <w:snapToGrid w:val="0"/>
          <w:vertAlign w:val="superscript"/>
        </w:rPr>
        <w:t>6</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38" w:name="_Toc486329237"/>
      <w:bookmarkStart w:id="39" w:name="_Toc486429852"/>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922"/>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7325</Words>
  <Characters>33772</Characters>
  <Application>Microsoft Office Word</Application>
  <DocSecurity>0</DocSecurity>
  <Lines>964</Lines>
  <Paragraphs>513</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1964 - 04-c0-01</dc:title>
  <dc:subject/>
  <dc:creator/>
  <cp:keywords/>
  <dc:description/>
  <cp:lastModifiedBy>svcMRProcess</cp:lastModifiedBy>
  <cp:revision>4</cp:revision>
  <cp:lastPrinted>2011-10-04T01:08:00Z</cp:lastPrinted>
  <dcterms:created xsi:type="dcterms:W3CDTF">2019-01-30T03:39:00Z</dcterms:created>
  <dcterms:modified xsi:type="dcterms:W3CDTF">2019-01-30T03:39:00Z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04-c0-01</vt:lpwstr>
  </property>
</Properties>
</file>