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_Toc486511263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_Toc486511264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_Toc486511265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_Toc486511266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_Toc486511267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_Toc486511269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_Toc486511270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_Toc486511271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_Toc486511272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_Toc486511273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_Toc486511274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_Toc486511277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_Toc486511278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_Toc486511280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_Toc486511281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_Toc486511282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_Toc486511284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_Toc486511285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_Toc486511286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_Toc486511287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_Toc486511288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_Toc486511289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_Toc486511290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_Toc486511291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_Toc486511293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_Toc486511294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_Toc486511295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_Toc486511296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_Toc486511298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_Toc486511299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_Toc486511300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_Toc486511301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_Toc486511302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_Toc486511304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_Toc486511305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_Toc486511306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_Toc486511307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_Toc486511308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_Toc486511309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_Toc486511310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_Toc486511311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_Toc486511312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_Toc486511314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_Toc486511315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_Toc486511316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_Toc486511318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_Toc486511319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_Toc486511321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bookmarkStart w:id="6" w:name="_Toc435783107"/>
      <w:bookmarkStart w:id="7" w:name="_Toc435783215"/>
      <w:bookmarkStart w:id="8" w:name="_Toc436130700"/>
      <w:bookmarkStart w:id="9" w:name="_Toc452553262"/>
      <w:bookmarkStart w:id="10" w:name="_Toc452553324"/>
      <w:bookmarkStart w:id="11" w:name="_Toc452554260"/>
      <w:bookmarkStart w:id="12" w:name="_Toc468201030"/>
      <w:bookmarkStart w:id="13" w:name="_Toc472088806"/>
      <w:bookmarkStart w:id="14" w:name="_Toc473114119"/>
      <w:bookmarkStart w:id="15" w:name="_Toc473117883"/>
      <w:bookmarkStart w:id="16" w:name="_Toc4865112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86511263"/>
      <w:r>
        <w:rPr>
          <w:rStyle w:val="CharSectno"/>
        </w:rPr>
        <w:t>1</w:t>
      </w:r>
      <w:r>
        <w:rPr>
          <w:snapToGrid w:val="0"/>
        </w:rPr>
        <w:t>.</w:t>
      </w:r>
      <w:r>
        <w:rPr>
          <w:snapToGrid w:val="0"/>
        </w:rPr>
        <w:tab/>
        <w:t>Short title</w:t>
      </w:r>
      <w:bookmarkEnd w:id="17"/>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8" w:name="_Toc486511264"/>
      <w:r>
        <w:rPr>
          <w:rStyle w:val="CharSectno"/>
        </w:rPr>
        <w:t>2</w:t>
      </w:r>
      <w:r>
        <w:rPr>
          <w:snapToGrid w:val="0"/>
        </w:rPr>
        <w:t>.</w:t>
      </w:r>
      <w:r>
        <w:rPr>
          <w:snapToGrid w:val="0"/>
        </w:rPr>
        <w:tab/>
        <w:t>Commencement</w:t>
      </w:r>
      <w:bookmarkEnd w:id="1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9" w:name="_Toc486511265"/>
      <w:r>
        <w:rPr>
          <w:rStyle w:val="CharSectno"/>
        </w:rPr>
        <w:t>3</w:t>
      </w:r>
      <w:r>
        <w:rPr>
          <w:snapToGrid w:val="0"/>
        </w:rPr>
        <w:t>.</w:t>
      </w:r>
      <w:r>
        <w:rPr>
          <w:snapToGrid w:val="0"/>
        </w:rPr>
        <w:tab/>
        <w:t>Terms used</w:t>
      </w:r>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20" w:name="_Toc486511266"/>
      <w:r>
        <w:rPr>
          <w:rStyle w:val="CharSectno"/>
        </w:rPr>
        <w:t>4</w:t>
      </w:r>
      <w:r>
        <w:rPr>
          <w:snapToGrid w:val="0"/>
        </w:rPr>
        <w:t>.</w:t>
      </w:r>
      <w:r>
        <w:rPr>
          <w:snapToGrid w:val="0"/>
        </w:rPr>
        <w:tab/>
        <w:t>Convictions to which Act does not apply</w:t>
      </w:r>
      <w:bookmarkEnd w:id="20"/>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1" w:name="_Toc486511267"/>
      <w:r>
        <w:rPr>
          <w:rStyle w:val="CharSectno"/>
        </w:rPr>
        <w:t>5</w:t>
      </w:r>
      <w:r>
        <w:rPr>
          <w:snapToGrid w:val="0"/>
        </w:rPr>
        <w:t>.</w:t>
      </w:r>
      <w:r>
        <w:rPr>
          <w:snapToGrid w:val="0"/>
        </w:rPr>
        <w:tab/>
        <w:t>Act binds Crown</w:t>
      </w:r>
      <w:bookmarkEnd w:id="21"/>
    </w:p>
    <w:p>
      <w:pPr>
        <w:pStyle w:val="Subsection"/>
        <w:spacing w:before="100"/>
        <w:rPr>
          <w:snapToGrid w:val="0"/>
        </w:rPr>
      </w:pPr>
      <w:r>
        <w:rPr>
          <w:snapToGrid w:val="0"/>
        </w:rPr>
        <w:tab/>
      </w:r>
      <w:r>
        <w:rPr>
          <w:snapToGrid w:val="0"/>
        </w:rPr>
        <w:tab/>
        <w:t>This Act binds the Crown.</w:t>
      </w:r>
    </w:p>
    <w:p>
      <w:pPr>
        <w:pStyle w:val="Heading2"/>
      </w:pPr>
      <w:bookmarkStart w:id="22" w:name="_Toc426969246"/>
      <w:bookmarkStart w:id="23" w:name="_Toc430944596"/>
      <w:bookmarkStart w:id="24" w:name="_Toc434404273"/>
      <w:bookmarkStart w:id="25" w:name="_Toc435783113"/>
      <w:bookmarkStart w:id="26" w:name="_Toc435783221"/>
      <w:bookmarkStart w:id="27" w:name="_Toc436130706"/>
      <w:bookmarkStart w:id="28" w:name="_Toc452553268"/>
      <w:bookmarkStart w:id="29" w:name="_Toc452553330"/>
      <w:bookmarkStart w:id="30" w:name="_Toc452554266"/>
      <w:bookmarkStart w:id="31" w:name="_Toc468201036"/>
      <w:bookmarkStart w:id="32" w:name="_Toc472088812"/>
      <w:bookmarkStart w:id="33" w:name="_Toc473114125"/>
      <w:bookmarkStart w:id="34" w:name="_Toc473117889"/>
      <w:bookmarkStart w:id="35" w:name="_Toc486511268"/>
      <w:r>
        <w:rPr>
          <w:rStyle w:val="CharPartNo"/>
        </w:rPr>
        <w:t>Part 2</w:t>
      </w:r>
      <w:r>
        <w:rPr>
          <w:rStyle w:val="CharDivNo"/>
        </w:rPr>
        <w:t> </w:t>
      </w:r>
      <w:r>
        <w:t>—</w:t>
      </w:r>
      <w:r>
        <w:rPr>
          <w:rStyle w:val="CharDivText"/>
        </w:rPr>
        <w:t> </w:t>
      </w:r>
      <w:r>
        <w:rPr>
          <w:rStyle w:val="CharPartText"/>
        </w:rPr>
        <w:t>Requirements for convictions to become spent</w:t>
      </w:r>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86511269"/>
      <w:r>
        <w:rPr>
          <w:rStyle w:val="CharSectno"/>
        </w:rPr>
        <w:t>6</w:t>
      </w:r>
      <w:r>
        <w:rPr>
          <w:snapToGrid w:val="0"/>
        </w:rPr>
        <w:t>.</w:t>
      </w:r>
      <w:r>
        <w:rPr>
          <w:snapToGrid w:val="0"/>
        </w:rPr>
        <w:tab/>
        <w:t>Serious convictions</w:t>
      </w:r>
      <w:bookmarkEnd w:id="36"/>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7" w:name="_Toc486511270"/>
      <w:r>
        <w:rPr>
          <w:rStyle w:val="CharSectno"/>
        </w:rPr>
        <w:t>7</w:t>
      </w:r>
      <w:r>
        <w:rPr>
          <w:snapToGrid w:val="0"/>
        </w:rPr>
        <w:t>.</w:t>
      </w:r>
      <w:r>
        <w:rPr>
          <w:snapToGrid w:val="0"/>
        </w:rPr>
        <w:tab/>
        <w:t>Lesser convictions</w:t>
      </w:r>
      <w:bookmarkEnd w:id="37"/>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8" w:name="_Toc486511271"/>
      <w:r>
        <w:rPr>
          <w:rStyle w:val="CharSectno"/>
        </w:rPr>
        <w:t>8</w:t>
      </w:r>
      <w:r>
        <w:rPr>
          <w:snapToGrid w:val="0"/>
        </w:rPr>
        <w:t>.</w:t>
      </w:r>
      <w:r>
        <w:rPr>
          <w:snapToGrid w:val="0"/>
        </w:rPr>
        <w:tab/>
        <w:t>Convictions in other jurisdictions (Sch. 2)</w:t>
      </w:r>
      <w:bookmarkEnd w:id="38"/>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9" w:name="_Toc486511272"/>
      <w:r>
        <w:rPr>
          <w:rStyle w:val="CharSectno"/>
        </w:rPr>
        <w:t>9</w:t>
      </w:r>
      <w:r>
        <w:rPr>
          <w:snapToGrid w:val="0"/>
        </w:rPr>
        <w:t>.</w:t>
      </w:r>
      <w:r>
        <w:rPr>
          <w:snapToGrid w:val="0"/>
        </w:rPr>
        <w:tab/>
        <w:t>Term used: serious conviction</w:t>
      </w:r>
      <w:bookmarkEnd w:id="39"/>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0" w:name="_Toc486511273"/>
      <w:r>
        <w:rPr>
          <w:rStyle w:val="CharSectno"/>
        </w:rPr>
        <w:t>10</w:t>
      </w:r>
      <w:r>
        <w:rPr>
          <w:snapToGrid w:val="0"/>
        </w:rPr>
        <w:t>.</w:t>
      </w:r>
      <w:r>
        <w:rPr>
          <w:snapToGrid w:val="0"/>
        </w:rPr>
        <w:tab/>
        <w:t>Term used: lesser conviction</w:t>
      </w:r>
      <w:bookmarkEnd w:id="40"/>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41" w:name="_Toc486511274"/>
      <w:r>
        <w:rPr>
          <w:rStyle w:val="CharSectno"/>
        </w:rPr>
        <w:t>11</w:t>
      </w:r>
      <w:r>
        <w:rPr>
          <w:snapToGrid w:val="0"/>
        </w:rPr>
        <w:t>.</w:t>
      </w:r>
      <w:r>
        <w:rPr>
          <w:snapToGrid w:val="0"/>
        </w:rPr>
        <w:tab/>
        <w:t>P</w:t>
      </w:r>
      <w:r>
        <w:t>rescribed period, defined</w:t>
      </w:r>
      <w:bookmarkEnd w:id="41"/>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42" w:name="_Toc426969253"/>
      <w:bookmarkStart w:id="43" w:name="_Toc430944603"/>
      <w:bookmarkStart w:id="44" w:name="_Toc434404280"/>
      <w:bookmarkStart w:id="45" w:name="_Toc435783120"/>
      <w:bookmarkStart w:id="46" w:name="_Toc435783228"/>
      <w:bookmarkStart w:id="47" w:name="_Toc436130713"/>
      <w:bookmarkStart w:id="48" w:name="_Toc452553275"/>
      <w:bookmarkStart w:id="49" w:name="_Toc452553337"/>
      <w:bookmarkStart w:id="50" w:name="_Toc452554273"/>
      <w:bookmarkStart w:id="51" w:name="_Toc468201043"/>
      <w:bookmarkStart w:id="52" w:name="_Toc472088819"/>
      <w:bookmarkStart w:id="53" w:name="_Toc473114132"/>
      <w:bookmarkStart w:id="54" w:name="_Toc473117896"/>
      <w:bookmarkStart w:id="55" w:name="_Toc486511275"/>
      <w:r>
        <w:rPr>
          <w:rStyle w:val="CharPartNo"/>
        </w:rPr>
        <w:t>Part 3</w:t>
      </w:r>
      <w:r>
        <w:t> — </w:t>
      </w:r>
      <w:r>
        <w:rPr>
          <w:rStyle w:val="CharPartText"/>
        </w:rPr>
        <w:t>Effect of a conviction becoming spent</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spacing w:before="260"/>
      </w:pPr>
      <w:bookmarkStart w:id="56" w:name="_Toc426969254"/>
      <w:bookmarkStart w:id="57" w:name="_Toc430944604"/>
      <w:bookmarkStart w:id="58" w:name="_Toc434404281"/>
      <w:bookmarkStart w:id="59" w:name="_Toc435783121"/>
      <w:bookmarkStart w:id="60" w:name="_Toc435783229"/>
      <w:bookmarkStart w:id="61" w:name="_Toc436130714"/>
      <w:bookmarkStart w:id="62" w:name="_Toc452553276"/>
      <w:bookmarkStart w:id="63" w:name="_Toc452553338"/>
      <w:bookmarkStart w:id="64" w:name="_Toc452554274"/>
      <w:bookmarkStart w:id="65" w:name="_Toc468201044"/>
      <w:bookmarkStart w:id="66" w:name="_Toc472088820"/>
      <w:bookmarkStart w:id="67" w:name="_Toc473114133"/>
      <w:bookmarkStart w:id="68" w:name="_Toc473117897"/>
      <w:bookmarkStart w:id="69" w:name="_Toc486511276"/>
      <w:r>
        <w:rPr>
          <w:rStyle w:val="CharDivNo"/>
        </w:rPr>
        <w:t>Division 1</w:t>
      </w:r>
      <w:r>
        <w:rPr>
          <w:snapToGrid w:val="0"/>
        </w:rPr>
        <w:t> — </w:t>
      </w:r>
      <w:r>
        <w:rPr>
          <w:rStyle w:val="CharDivText"/>
        </w:rPr>
        <w:t>Application</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spacing w:before="240"/>
        <w:rPr>
          <w:snapToGrid w:val="0"/>
        </w:rPr>
      </w:pPr>
      <w:bookmarkStart w:id="70" w:name="_Toc486511277"/>
      <w:r>
        <w:rPr>
          <w:rStyle w:val="CharSectno"/>
        </w:rPr>
        <w:t>12</w:t>
      </w:r>
      <w:r>
        <w:rPr>
          <w:snapToGrid w:val="0"/>
        </w:rPr>
        <w:t>.</w:t>
      </w:r>
      <w:r>
        <w:rPr>
          <w:snapToGrid w:val="0"/>
        </w:rPr>
        <w:tab/>
        <w:t>Application of Part 3</w:t>
      </w:r>
      <w:bookmarkEnd w:id="70"/>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71" w:name="_Toc486511278"/>
      <w:r>
        <w:rPr>
          <w:rStyle w:val="CharSectno"/>
        </w:rPr>
        <w:t>13</w:t>
      </w:r>
      <w:r>
        <w:rPr>
          <w:snapToGrid w:val="0"/>
        </w:rPr>
        <w:t>.</w:t>
      </w:r>
      <w:r>
        <w:rPr>
          <w:snapToGrid w:val="0"/>
        </w:rPr>
        <w:tab/>
        <w:t>Effect of Part 3 on other laws</w:t>
      </w:r>
      <w:bookmarkEnd w:id="71"/>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72" w:name="_Toc426969257"/>
      <w:bookmarkStart w:id="73" w:name="_Toc430944607"/>
      <w:bookmarkStart w:id="74" w:name="_Toc434404284"/>
      <w:bookmarkStart w:id="75" w:name="_Toc435783124"/>
      <w:bookmarkStart w:id="76" w:name="_Toc435783232"/>
      <w:bookmarkStart w:id="77" w:name="_Toc436130717"/>
      <w:bookmarkStart w:id="78" w:name="_Toc452553279"/>
      <w:bookmarkStart w:id="79" w:name="_Toc452553341"/>
      <w:bookmarkStart w:id="80" w:name="_Toc452554277"/>
      <w:bookmarkStart w:id="81" w:name="_Toc468201047"/>
      <w:bookmarkStart w:id="82" w:name="_Toc472088823"/>
      <w:bookmarkStart w:id="83" w:name="_Toc473114136"/>
      <w:bookmarkStart w:id="84" w:name="_Toc473117900"/>
      <w:bookmarkStart w:id="85" w:name="_Toc486511279"/>
      <w:r>
        <w:rPr>
          <w:rStyle w:val="CharDivNo"/>
        </w:rPr>
        <w:t>Division 2</w:t>
      </w:r>
      <w:r>
        <w:rPr>
          <w:snapToGrid w:val="0"/>
        </w:rPr>
        <w:t> — </w:t>
      </w:r>
      <w:r>
        <w:rPr>
          <w:rStyle w:val="CharDivText"/>
        </w:rPr>
        <w:t>Exceptions</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spacing w:before="160"/>
        <w:rPr>
          <w:snapToGrid w:val="0"/>
        </w:rPr>
      </w:pPr>
      <w:bookmarkStart w:id="86" w:name="_Toc486511280"/>
      <w:r>
        <w:rPr>
          <w:rStyle w:val="CharSectno"/>
        </w:rPr>
        <w:t>14</w:t>
      </w:r>
      <w:r>
        <w:t>.</w:t>
      </w:r>
      <w:r>
        <w:rPr>
          <w:snapToGrid w:val="0"/>
        </w:rPr>
        <w:tab/>
        <w:t>Div. 4 does not affect certain matters</w:t>
      </w:r>
      <w:bookmarkEnd w:id="8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87" w:name="_Toc486511281"/>
      <w:r>
        <w:rPr>
          <w:rStyle w:val="CharSectno"/>
        </w:rPr>
        <w:t>15</w:t>
      </w:r>
      <w:r>
        <w:rPr>
          <w:snapToGrid w:val="0"/>
        </w:rPr>
        <w:t>.</w:t>
      </w:r>
      <w:r>
        <w:rPr>
          <w:snapToGrid w:val="0"/>
        </w:rPr>
        <w:tab/>
        <w:t>Bail decisions not affected by s. 25, 26 or 27</w:t>
      </w:r>
      <w:bookmarkEnd w:id="8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88" w:name="_Toc486511282"/>
      <w:r>
        <w:rPr>
          <w:rStyle w:val="CharSectno"/>
        </w:rPr>
        <w:t>16</w:t>
      </w:r>
      <w:r>
        <w:rPr>
          <w:snapToGrid w:val="0"/>
        </w:rPr>
        <w:t>.</w:t>
      </w:r>
      <w:r>
        <w:rPr>
          <w:snapToGrid w:val="0"/>
        </w:rPr>
        <w:tab/>
        <w:t>Further exceptions to Part 3</w:t>
      </w:r>
      <w:bookmarkEnd w:id="8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89" w:name="_Toc426969261"/>
      <w:bookmarkStart w:id="90" w:name="_Toc430944611"/>
      <w:bookmarkStart w:id="91" w:name="_Toc434404288"/>
      <w:bookmarkStart w:id="92" w:name="_Toc435783128"/>
      <w:bookmarkStart w:id="93" w:name="_Toc435783236"/>
      <w:bookmarkStart w:id="94" w:name="_Toc436130721"/>
      <w:bookmarkStart w:id="95" w:name="_Toc452553283"/>
      <w:bookmarkStart w:id="96" w:name="_Toc452553345"/>
      <w:bookmarkStart w:id="97" w:name="_Toc452554281"/>
      <w:bookmarkStart w:id="98" w:name="_Toc468201051"/>
      <w:bookmarkStart w:id="99" w:name="_Toc472088827"/>
      <w:bookmarkStart w:id="100" w:name="_Toc473114140"/>
      <w:bookmarkStart w:id="101" w:name="_Toc473117904"/>
      <w:bookmarkStart w:id="102" w:name="_Toc486511283"/>
      <w:r>
        <w:rPr>
          <w:rStyle w:val="CharDivNo"/>
        </w:rPr>
        <w:t>Division 3</w:t>
      </w:r>
      <w:r>
        <w:rPr>
          <w:snapToGrid w:val="0"/>
        </w:rPr>
        <w:t> — </w:t>
      </w:r>
      <w:r>
        <w:rPr>
          <w:rStyle w:val="CharDivText"/>
        </w:rPr>
        <w:t>Discrimination on ground of spent conviction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spacing w:before="180"/>
        <w:rPr>
          <w:snapToGrid w:val="0"/>
        </w:rPr>
      </w:pPr>
      <w:bookmarkStart w:id="103" w:name="_Toc486511284"/>
      <w:r>
        <w:rPr>
          <w:rStyle w:val="CharSectno"/>
        </w:rPr>
        <w:t>17</w:t>
      </w:r>
      <w:r>
        <w:rPr>
          <w:snapToGrid w:val="0"/>
        </w:rPr>
        <w:t>.</w:t>
      </w:r>
      <w:r>
        <w:rPr>
          <w:snapToGrid w:val="0"/>
        </w:rPr>
        <w:tab/>
        <w:t>Terms used</w:t>
      </w:r>
      <w:bookmarkEnd w:id="103"/>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04" w:name="_Toc486511285"/>
      <w:r>
        <w:rPr>
          <w:rStyle w:val="CharSectno"/>
        </w:rPr>
        <w:t>18</w:t>
      </w:r>
      <w:r>
        <w:rPr>
          <w:snapToGrid w:val="0"/>
        </w:rPr>
        <w:t>.</w:t>
      </w:r>
      <w:r>
        <w:rPr>
          <w:snapToGrid w:val="0"/>
        </w:rPr>
        <w:tab/>
        <w:t>Job applicants and employees, discrimination against</w:t>
      </w:r>
      <w:bookmarkEnd w:id="104"/>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05" w:name="_Toc486511286"/>
      <w:r>
        <w:rPr>
          <w:rStyle w:val="CharSectno"/>
        </w:rPr>
        <w:t>19</w:t>
      </w:r>
      <w:r>
        <w:rPr>
          <w:snapToGrid w:val="0"/>
        </w:rPr>
        <w:t>.</w:t>
      </w:r>
      <w:r>
        <w:rPr>
          <w:snapToGrid w:val="0"/>
        </w:rPr>
        <w:tab/>
        <w:t>Commission agents, discrimination against</w:t>
      </w:r>
      <w:bookmarkEnd w:id="105"/>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06" w:name="_Toc486511287"/>
      <w:r>
        <w:rPr>
          <w:rStyle w:val="CharSectno"/>
        </w:rPr>
        <w:t>20</w:t>
      </w:r>
      <w:r>
        <w:rPr>
          <w:snapToGrid w:val="0"/>
        </w:rPr>
        <w:t>.</w:t>
      </w:r>
      <w:r>
        <w:rPr>
          <w:snapToGrid w:val="0"/>
        </w:rPr>
        <w:tab/>
        <w:t>Contract workers, discrimination against</w:t>
      </w:r>
      <w:bookmarkEnd w:id="106"/>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07" w:name="_Toc486511288"/>
      <w:r>
        <w:rPr>
          <w:rStyle w:val="CharSectno"/>
        </w:rPr>
        <w:t>21</w:t>
      </w:r>
      <w:r>
        <w:rPr>
          <w:snapToGrid w:val="0"/>
        </w:rPr>
        <w:t>.</w:t>
      </w:r>
      <w:r>
        <w:rPr>
          <w:snapToGrid w:val="0"/>
        </w:rPr>
        <w:tab/>
        <w:t>Organisations of workers and employers, discrimination by</w:t>
      </w:r>
      <w:bookmarkEnd w:id="107"/>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08" w:name="_Toc486511289"/>
      <w:r>
        <w:rPr>
          <w:rStyle w:val="CharSectno"/>
        </w:rPr>
        <w:t>22</w:t>
      </w:r>
      <w:r>
        <w:rPr>
          <w:snapToGrid w:val="0"/>
        </w:rPr>
        <w:t>.</w:t>
      </w:r>
      <w:r>
        <w:rPr>
          <w:snapToGrid w:val="0"/>
        </w:rPr>
        <w:tab/>
        <w:t>Authorities that confer authorisations and qualifications, discrimination by</w:t>
      </w:r>
      <w:bookmarkEnd w:id="108"/>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9" w:name="_Toc486511290"/>
      <w:r>
        <w:rPr>
          <w:rStyle w:val="CharSectno"/>
        </w:rPr>
        <w:t>23</w:t>
      </w:r>
      <w:r>
        <w:rPr>
          <w:snapToGrid w:val="0"/>
        </w:rPr>
        <w:t>.</w:t>
      </w:r>
      <w:r>
        <w:rPr>
          <w:snapToGrid w:val="0"/>
        </w:rPr>
        <w:tab/>
        <w:t>Employment agencies, discrimination by</w:t>
      </w:r>
      <w:bookmarkEnd w:id="10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10" w:name="_Toc486511291"/>
      <w:r>
        <w:rPr>
          <w:rStyle w:val="CharSectno"/>
        </w:rPr>
        <w:t>24</w:t>
      </w:r>
      <w:r>
        <w:rPr>
          <w:snapToGrid w:val="0"/>
        </w:rPr>
        <w:t>.</w:t>
      </w:r>
      <w:r>
        <w:rPr>
          <w:snapToGrid w:val="0"/>
        </w:rPr>
        <w:tab/>
        <w:t>Enforcement of this Division</w:t>
      </w:r>
      <w:bookmarkEnd w:id="110"/>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11" w:name="_Toc426969270"/>
      <w:bookmarkStart w:id="112" w:name="_Toc430944620"/>
      <w:bookmarkStart w:id="113" w:name="_Toc434404297"/>
      <w:bookmarkStart w:id="114" w:name="_Toc435783137"/>
      <w:bookmarkStart w:id="115" w:name="_Toc435783245"/>
      <w:bookmarkStart w:id="116" w:name="_Toc436130730"/>
      <w:bookmarkStart w:id="117" w:name="_Toc452553292"/>
      <w:bookmarkStart w:id="118" w:name="_Toc452553354"/>
      <w:bookmarkStart w:id="119" w:name="_Toc452554290"/>
      <w:bookmarkStart w:id="120" w:name="_Toc468201060"/>
      <w:bookmarkStart w:id="121" w:name="_Toc472088836"/>
      <w:bookmarkStart w:id="122" w:name="_Toc473114149"/>
      <w:bookmarkStart w:id="123" w:name="_Toc473117913"/>
      <w:bookmarkStart w:id="124" w:name="_Toc486511292"/>
      <w:r>
        <w:rPr>
          <w:rStyle w:val="CharDivNo"/>
        </w:rPr>
        <w:t>Division 4</w:t>
      </w:r>
      <w:r>
        <w:rPr>
          <w:snapToGrid w:val="0"/>
        </w:rPr>
        <w:t> — </w:t>
      </w:r>
      <w:r>
        <w:rPr>
          <w:rStyle w:val="CharDivText"/>
        </w:rPr>
        <w:t>Other effects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86511293"/>
      <w:r>
        <w:rPr>
          <w:rStyle w:val="CharSectno"/>
        </w:rPr>
        <w:t>25</w:t>
      </w:r>
      <w:r>
        <w:rPr>
          <w:snapToGrid w:val="0"/>
        </w:rPr>
        <w:t>.</w:t>
      </w:r>
      <w:r>
        <w:rPr>
          <w:snapToGrid w:val="0"/>
        </w:rPr>
        <w:tab/>
        <w:t>Interpretation of written laws</w:t>
      </w:r>
      <w:bookmarkEnd w:id="125"/>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26" w:name="_Toc486511294"/>
      <w:r>
        <w:rPr>
          <w:rStyle w:val="CharSectno"/>
        </w:rPr>
        <w:t>26</w:t>
      </w:r>
      <w:r>
        <w:rPr>
          <w:snapToGrid w:val="0"/>
        </w:rPr>
        <w:t>.</w:t>
      </w:r>
      <w:r>
        <w:rPr>
          <w:snapToGrid w:val="0"/>
        </w:rPr>
        <w:tab/>
        <w:t>Assessment of character under written law</w:t>
      </w:r>
      <w:bookmarkEnd w:id="126"/>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27" w:name="_Toc486511295"/>
      <w:r>
        <w:rPr>
          <w:rStyle w:val="CharSectno"/>
        </w:rPr>
        <w:t>27</w:t>
      </w:r>
      <w:r>
        <w:rPr>
          <w:snapToGrid w:val="0"/>
        </w:rPr>
        <w:t>.</w:t>
      </w:r>
      <w:r>
        <w:rPr>
          <w:snapToGrid w:val="0"/>
        </w:rPr>
        <w:tab/>
        <w:t>Disclosure or acknowledgment of spent convictions</w:t>
      </w:r>
      <w:bookmarkEnd w:id="127"/>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28" w:name="_Toc486511296"/>
      <w:r>
        <w:rPr>
          <w:rStyle w:val="CharSectno"/>
        </w:rPr>
        <w:t>28</w:t>
      </w:r>
      <w:r>
        <w:rPr>
          <w:snapToGrid w:val="0"/>
        </w:rPr>
        <w:t>.</w:t>
      </w:r>
      <w:r>
        <w:rPr>
          <w:snapToGrid w:val="0"/>
        </w:rPr>
        <w:tab/>
        <w:t>Unlawful access to criminal records</w:t>
      </w:r>
      <w:bookmarkEnd w:id="128"/>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29" w:name="_Toc426969275"/>
      <w:bookmarkStart w:id="130" w:name="_Toc430944625"/>
      <w:bookmarkStart w:id="131" w:name="_Toc434404302"/>
      <w:bookmarkStart w:id="132" w:name="_Toc435783142"/>
      <w:bookmarkStart w:id="133" w:name="_Toc435783250"/>
      <w:bookmarkStart w:id="134" w:name="_Toc436130735"/>
      <w:bookmarkStart w:id="135" w:name="_Toc452553297"/>
      <w:bookmarkStart w:id="136" w:name="_Toc452553359"/>
      <w:bookmarkStart w:id="137" w:name="_Toc452554295"/>
      <w:bookmarkStart w:id="138" w:name="_Toc468201065"/>
      <w:bookmarkStart w:id="139" w:name="_Toc472088841"/>
      <w:bookmarkStart w:id="140" w:name="_Toc473114154"/>
      <w:bookmarkStart w:id="141" w:name="_Toc473117918"/>
      <w:bookmarkStart w:id="142" w:name="_Toc486511297"/>
      <w:r>
        <w:rPr>
          <w:rStyle w:val="CharPartNo"/>
        </w:rPr>
        <w:t>Part 4</w:t>
      </w:r>
      <w:r>
        <w:rPr>
          <w:rStyle w:val="CharDivNo"/>
        </w:rPr>
        <w:t> </w:t>
      </w:r>
      <w:r>
        <w:t>—</w:t>
      </w:r>
      <w:r>
        <w:rPr>
          <w:rStyle w:val="CharDivText"/>
        </w:rPr>
        <w:t> </w:t>
      </w:r>
      <w:r>
        <w:rPr>
          <w:rStyle w:val="CharPartText"/>
        </w:rPr>
        <w:t>Miscellaneous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86511298"/>
      <w:r>
        <w:rPr>
          <w:rStyle w:val="CharSectno"/>
        </w:rPr>
        <w:t>29</w:t>
      </w:r>
      <w:r>
        <w:rPr>
          <w:snapToGrid w:val="0"/>
        </w:rPr>
        <w:t>.</w:t>
      </w:r>
      <w:r>
        <w:rPr>
          <w:snapToGrid w:val="0"/>
        </w:rPr>
        <w:tab/>
      </w:r>
      <w:r>
        <w:rPr>
          <w:i/>
          <w:snapToGrid w:val="0"/>
        </w:rPr>
        <w:t>Equal Opportunity Act 1984</w:t>
      </w:r>
      <w:r>
        <w:rPr>
          <w:snapToGrid w:val="0"/>
        </w:rPr>
        <w:t>, application of</w:t>
      </w:r>
      <w:bookmarkEnd w:id="143"/>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44" w:name="_Toc486511299"/>
      <w:r>
        <w:rPr>
          <w:rStyle w:val="CharSectno"/>
        </w:rPr>
        <w:t>30</w:t>
      </w:r>
      <w:r>
        <w:rPr>
          <w:snapToGrid w:val="0"/>
        </w:rPr>
        <w:t>.</w:t>
      </w:r>
      <w:r>
        <w:rPr>
          <w:snapToGrid w:val="0"/>
        </w:rPr>
        <w:tab/>
        <w:t>Spent conviction not revived after parole or early release cancelled</w:t>
      </w:r>
      <w:bookmarkEnd w:id="144"/>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45" w:name="_Toc486511300"/>
      <w:r>
        <w:rPr>
          <w:rStyle w:val="CharSectno"/>
        </w:rPr>
        <w:t>31</w:t>
      </w:r>
      <w:r>
        <w:rPr>
          <w:snapToGrid w:val="0"/>
        </w:rPr>
        <w:t>.</w:t>
      </w:r>
      <w:r>
        <w:rPr>
          <w:snapToGrid w:val="0"/>
        </w:rPr>
        <w:tab/>
        <w:t>Prerogative of mercy not affected</w:t>
      </w:r>
      <w:bookmarkEnd w:id="145"/>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46" w:name="_Toc486511301"/>
      <w:r>
        <w:rPr>
          <w:rStyle w:val="CharSectno"/>
        </w:rPr>
        <w:t>32</w:t>
      </w:r>
      <w:r>
        <w:rPr>
          <w:snapToGrid w:val="0"/>
        </w:rPr>
        <w:t>.</w:t>
      </w:r>
      <w:r>
        <w:rPr>
          <w:snapToGrid w:val="0"/>
        </w:rPr>
        <w:tab/>
        <w:t>Act applies to convictions incurred before commencement</w:t>
      </w:r>
      <w:bookmarkEnd w:id="146"/>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47" w:name="_Toc486511302"/>
      <w:r>
        <w:rPr>
          <w:rStyle w:val="CharSectno"/>
        </w:rPr>
        <w:t>33</w:t>
      </w:r>
      <w:r>
        <w:rPr>
          <w:snapToGrid w:val="0"/>
        </w:rPr>
        <w:t>.</w:t>
      </w:r>
      <w:r>
        <w:rPr>
          <w:snapToGrid w:val="0"/>
        </w:rPr>
        <w:tab/>
        <w:t>Regulations</w:t>
      </w:r>
      <w:bookmarkEnd w:id="1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8" w:name="_Toc426969281"/>
      <w:bookmarkStart w:id="149" w:name="_Toc430944631"/>
      <w:bookmarkStart w:id="150" w:name="_Toc434404308"/>
      <w:bookmarkStart w:id="151" w:name="_Toc435783148"/>
      <w:bookmarkStart w:id="152" w:name="_Toc435783256"/>
      <w:bookmarkStart w:id="153" w:name="_Toc436130741"/>
      <w:bookmarkStart w:id="154" w:name="_Toc452553303"/>
      <w:bookmarkStart w:id="155" w:name="_Toc452553365"/>
      <w:bookmarkStart w:id="156" w:name="_Toc452554301"/>
      <w:bookmarkStart w:id="157" w:name="_Toc468201071"/>
      <w:bookmarkStart w:id="158" w:name="_Toc472088847"/>
      <w:bookmarkStart w:id="159" w:name="_Toc473114160"/>
      <w:bookmarkStart w:id="160" w:name="_Toc473117924"/>
      <w:bookmarkStart w:id="161" w:name="_Toc486511303"/>
      <w:r>
        <w:rPr>
          <w:rStyle w:val="CharSchNo"/>
        </w:rPr>
        <w:t>Schedule 1</w:t>
      </w:r>
      <w:r>
        <w:t> — </w:t>
      </w:r>
      <w:r>
        <w:rPr>
          <w:rStyle w:val="CharSchText"/>
        </w:rPr>
        <w:t>Provisions relating to application under section 6(1)</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ShoulderClause"/>
        <w:rPr>
          <w:snapToGrid w:val="0"/>
        </w:rPr>
      </w:pPr>
      <w:r>
        <w:rPr>
          <w:snapToGrid w:val="0"/>
        </w:rPr>
        <w:t>[s. 6(3)]</w:t>
      </w:r>
    </w:p>
    <w:p>
      <w:pPr>
        <w:pStyle w:val="yFootnoteheading"/>
      </w:pPr>
      <w:r>
        <w:tab/>
        <w:t>[Heading amended by No. 19 of 2010 s. 4.]</w:t>
      </w:r>
    </w:p>
    <w:p>
      <w:pPr>
        <w:pStyle w:val="yHeading5"/>
      </w:pPr>
      <w:bookmarkStart w:id="162" w:name="_Toc486511304"/>
      <w:r>
        <w:rPr>
          <w:rStyle w:val="CharSClsNo"/>
        </w:rPr>
        <w:t>1</w:t>
      </w:r>
      <w:r>
        <w:t>.</w:t>
      </w:r>
      <w:r>
        <w:tab/>
        <w:t>Application under s. 6(1)</w:t>
      </w:r>
      <w:bookmarkEnd w:id="162"/>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63" w:name="_Toc486511305"/>
      <w:r>
        <w:rPr>
          <w:rStyle w:val="CharSClsNo"/>
        </w:rPr>
        <w:t>2</w:t>
      </w:r>
      <w:r>
        <w:rPr>
          <w:snapToGrid w:val="0"/>
        </w:rPr>
        <w:t xml:space="preserve">. </w:t>
      </w:r>
      <w:r>
        <w:rPr>
          <w:snapToGrid w:val="0"/>
        </w:rPr>
        <w:tab/>
        <w:t>Parties to application</w:t>
      </w:r>
      <w:bookmarkEnd w:id="163"/>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64" w:name="_Toc486511306"/>
      <w:r>
        <w:rPr>
          <w:rStyle w:val="CharSClsNo"/>
        </w:rPr>
        <w:t>3</w:t>
      </w:r>
      <w:r>
        <w:rPr>
          <w:snapToGrid w:val="0"/>
        </w:rPr>
        <w:t xml:space="preserve">. </w:t>
      </w:r>
      <w:r>
        <w:rPr>
          <w:snapToGrid w:val="0"/>
        </w:rPr>
        <w:tab/>
        <w:t>Hearing of application</w:t>
      </w:r>
      <w:bookmarkEnd w:id="164"/>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65" w:name="_Toc486511307"/>
      <w:r>
        <w:rPr>
          <w:rStyle w:val="CharSClsNo"/>
        </w:rPr>
        <w:t>4</w:t>
      </w:r>
      <w:r>
        <w:rPr>
          <w:snapToGrid w:val="0"/>
        </w:rPr>
        <w:t xml:space="preserve">. </w:t>
      </w:r>
      <w:r>
        <w:rPr>
          <w:snapToGrid w:val="0"/>
        </w:rPr>
        <w:tab/>
        <w:t>Rules of evidence not to apply</w:t>
      </w:r>
      <w:bookmarkEnd w:id="165"/>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66" w:name="_Toc486511308"/>
      <w:r>
        <w:rPr>
          <w:rStyle w:val="CharSClsNo"/>
        </w:rPr>
        <w:t>5</w:t>
      </w:r>
      <w:r>
        <w:rPr>
          <w:snapToGrid w:val="0"/>
        </w:rPr>
        <w:t xml:space="preserve">. </w:t>
      </w:r>
      <w:r>
        <w:rPr>
          <w:snapToGrid w:val="0"/>
        </w:rPr>
        <w:tab/>
        <w:t>Powers of judge and officers</w:t>
      </w:r>
      <w:bookmarkEnd w:id="166"/>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67" w:name="_Toc486511309"/>
      <w:r>
        <w:rPr>
          <w:rStyle w:val="CharSClsNo"/>
        </w:rPr>
        <w:t>6</w:t>
      </w:r>
      <w:r>
        <w:rPr>
          <w:snapToGrid w:val="0"/>
        </w:rPr>
        <w:t xml:space="preserve">. </w:t>
      </w:r>
      <w:r>
        <w:rPr>
          <w:snapToGrid w:val="0"/>
        </w:rPr>
        <w:tab/>
        <w:t>Witnesses</w:t>
      </w:r>
      <w:bookmarkEnd w:id="167"/>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68" w:name="_Toc486511310"/>
      <w:r>
        <w:rPr>
          <w:rStyle w:val="CharSClsNo"/>
        </w:rPr>
        <w:t>7</w:t>
      </w:r>
      <w:r>
        <w:rPr>
          <w:snapToGrid w:val="0"/>
        </w:rPr>
        <w:t xml:space="preserve">. </w:t>
      </w:r>
      <w:r>
        <w:rPr>
          <w:snapToGrid w:val="0"/>
        </w:rPr>
        <w:tab/>
        <w:t>Alternatives to holding hearing</w:t>
      </w:r>
      <w:bookmarkEnd w:id="168"/>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69" w:name="_Toc486511311"/>
      <w:r>
        <w:rPr>
          <w:rStyle w:val="CharSClsNo"/>
        </w:rPr>
        <w:t>8</w:t>
      </w:r>
      <w:r>
        <w:rPr>
          <w:snapToGrid w:val="0"/>
        </w:rPr>
        <w:t xml:space="preserve">. </w:t>
      </w:r>
      <w:r>
        <w:rPr>
          <w:snapToGrid w:val="0"/>
        </w:rPr>
        <w:tab/>
        <w:t>Costs</w:t>
      </w:r>
      <w:bookmarkEnd w:id="169"/>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70" w:name="_Toc486511312"/>
      <w:r>
        <w:rPr>
          <w:rStyle w:val="CharSClsNo"/>
        </w:rPr>
        <w:t>9</w:t>
      </w:r>
      <w:r>
        <w:rPr>
          <w:snapToGrid w:val="0"/>
        </w:rPr>
        <w:t xml:space="preserve">. </w:t>
      </w:r>
      <w:r>
        <w:rPr>
          <w:snapToGrid w:val="0"/>
        </w:rPr>
        <w:tab/>
        <w:t>Court order to be sent to applicant and police</w:t>
      </w:r>
      <w:bookmarkEnd w:id="17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71" w:name="_Toc426969291"/>
      <w:bookmarkStart w:id="172" w:name="_Toc430944641"/>
      <w:bookmarkStart w:id="173" w:name="_Toc434404318"/>
      <w:bookmarkStart w:id="174" w:name="_Toc435783158"/>
      <w:bookmarkStart w:id="175" w:name="_Toc435783266"/>
      <w:bookmarkStart w:id="176" w:name="_Toc436130751"/>
      <w:bookmarkStart w:id="177" w:name="_Toc452553313"/>
      <w:bookmarkStart w:id="178" w:name="_Toc452553375"/>
      <w:bookmarkStart w:id="179" w:name="_Toc452554311"/>
      <w:bookmarkStart w:id="180" w:name="_Toc468201081"/>
      <w:bookmarkStart w:id="181" w:name="_Toc472088857"/>
      <w:bookmarkStart w:id="182" w:name="_Toc473114170"/>
      <w:bookmarkStart w:id="183" w:name="_Toc473117934"/>
      <w:bookmarkStart w:id="184" w:name="_Toc486511313"/>
      <w:r>
        <w:rPr>
          <w:rStyle w:val="CharSchNo"/>
        </w:rPr>
        <w:t>Schedule 2</w:t>
      </w:r>
      <w:r>
        <w:t> — </w:t>
      </w:r>
      <w:r>
        <w:rPr>
          <w:rStyle w:val="CharSchText"/>
        </w:rPr>
        <w:t>Convictions in other jurisdictions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85" w:name="_Toc486511314"/>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8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86" w:name="_Toc486511315"/>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8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87" w:name="_Toc486511316"/>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8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88" w:name="_Toc426969295"/>
      <w:bookmarkStart w:id="189" w:name="_Toc430944645"/>
      <w:bookmarkStart w:id="190" w:name="_Toc434404322"/>
      <w:bookmarkStart w:id="191" w:name="_Toc435783162"/>
      <w:bookmarkStart w:id="192" w:name="_Toc435783270"/>
      <w:bookmarkStart w:id="193" w:name="_Toc436130755"/>
      <w:bookmarkStart w:id="194" w:name="_Toc452553317"/>
      <w:bookmarkStart w:id="195" w:name="_Toc452553379"/>
      <w:bookmarkStart w:id="196" w:name="_Toc452554315"/>
      <w:bookmarkStart w:id="197" w:name="_Toc468201085"/>
      <w:bookmarkStart w:id="198" w:name="_Toc472088861"/>
      <w:bookmarkStart w:id="199" w:name="_Toc473114174"/>
      <w:bookmarkStart w:id="200" w:name="_Toc473117938"/>
      <w:bookmarkStart w:id="201" w:name="_Toc486511317"/>
      <w:r>
        <w:rPr>
          <w:rStyle w:val="CharSchNo"/>
        </w:rPr>
        <w:t>Schedule 3</w:t>
      </w:r>
      <w:r>
        <w:t> — </w:t>
      </w:r>
      <w:r>
        <w:rPr>
          <w:rStyle w:val="CharSchText"/>
        </w:rPr>
        <w:t>Exceptions to Part 3</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02" w:name="_Toc486511318"/>
      <w:r>
        <w:rPr>
          <w:rStyle w:val="CharSClsNo"/>
        </w:rPr>
        <w:t>1</w:t>
      </w:r>
      <w:r>
        <w:rPr>
          <w:snapToGrid w:val="0"/>
        </w:rPr>
        <w:t>.</w:t>
      </w:r>
      <w:r>
        <w:rPr>
          <w:snapToGrid w:val="0"/>
        </w:rPr>
        <w:tab/>
      </w:r>
      <w:r>
        <w:t>Exceptions as to all spent convictions</w:t>
      </w:r>
      <w:bookmarkEnd w:id="202"/>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 No. 19 of 2016 s. 190; No. 41 of 2016 s. 24.]</w:t>
      </w:r>
    </w:p>
    <w:p>
      <w:pPr>
        <w:pStyle w:val="yHeading5"/>
        <w:rPr>
          <w:snapToGrid w:val="0"/>
        </w:rPr>
      </w:pPr>
      <w:bookmarkStart w:id="203" w:name="_Toc486511319"/>
      <w:r>
        <w:rPr>
          <w:rStyle w:val="CharSClsNo"/>
        </w:rPr>
        <w:t>2</w:t>
      </w:r>
      <w:r>
        <w:rPr>
          <w:snapToGrid w:val="0"/>
        </w:rPr>
        <w:t xml:space="preserve">. </w:t>
      </w:r>
      <w:r>
        <w:rPr>
          <w:snapToGrid w:val="0"/>
        </w:rPr>
        <w:tab/>
        <w:t>Exceptions as to spent convictions for certain offences in order to protect children</w:t>
      </w:r>
      <w:bookmarkEnd w:id="203"/>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5" w:name="_Toc426969298"/>
      <w:bookmarkStart w:id="206" w:name="_Toc430944648"/>
      <w:bookmarkStart w:id="207" w:name="_Toc434404325"/>
      <w:bookmarkStart w:id="208" w:name="_Toc435783165"/>
      <w:bookmarkStart w:id="209" w:name="_Toc435783273"/>
      <w:bookmarkStart w:id="210" w:name="_Toc436130758"/>
      <w:bookmarkStart w:id="211" w:name="_Toc452553320"/>
      <w:bookmarkStart w:id="212" w:name="_Toc452553382"/>
      <w:bookmarkStart w:id="213" w:name="_Toc452554318"/>
      <w:bookmarkStart w:id="214" w:name="_Toc468201088"/>
      <w:bookmarkStart w:id="215" w:name="_Toc472088864"/>
      <w:bookmarkStart w:id="216" w:name="_Toc473114177"/>
      <w:bookmarkStart w:id="217" w:name="_Toc473117941"/>
      <w:bookmarkStart w:id="218" w:name="_Toc486511320"/>
      <w:r>
        <w:t>Notes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7, 8</w:t>
      </w:r>
      <w:r>
        <w:t>. The table also contains information about any reprint.</w:t>
      </w:r>
    </w:p>
    <w:p>
      <w:pPr>
        <w:pStyle w:val="nHeading3"/>
      </w:pPr>
      <w:bookmarkStart w:id="219" w:name="_Toc486511321"/>
      <w:r>
        <w:t>Compilation table</w:t>
      </w:r>
      <w:bookmarkEnd w:id="219"/>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shd w:val="clear" w:color="auto" w:fill="auto"/>
          </w:tcPr>
          <w:p>
            <w:pPr>
              <w:pStyle w:val="nTable"/>
              <w:spacing w:after="40"/>
              <w:rPr>
                <w:snapToGrid w:val="0"/>
              </w:rPr>
            </w:pPr>
            <w:r>
              <w:t>11 of 2016</w:t>
            </w:r>
          </w:p>
        </w:tc>
        <w:tc>
          <w:tcPr>
            <w:tcW w:w="1190" w:type="dxa"/>
            <w:gridSpan w:val="4"/>
            <w:shd w:val="clear" w:color="auto" w:fill="auto"/>
          </w:tcPr>
          <w:p>
            <w:pPr>
              <w:pStyle w:val="nTable"/>
              <w:spacing w:after="40"/>
            </w:pPr>
            <w:r>
              <w:t>26 May 2016</w:t>
            </w:r>
          </w:p>
        </w:tc>
        <w:tc>
          <w:tcPr>
            <w:tcW w:w="2494" w:type="dxa"/>
            <w:shd w:val="clear" w:color="auto" w:fill="auto"/>
          </w:tcPr>
          <w:p>
            <w:pPr>
              <w:pStyle w:val="nTable"/>
              <w:spacing w:after="40"/>
              <w:rPr>
                <w:snapToGrid w:val="0"/>
              </w:rPr>
            </w:pPr>
            <w:r>
              <w:t xml:space="preserve">1 Jul 2016 (see s. 2(b) and </w:t>
            </w:r>
            <w:r>
              <w:rPr>
                <w:i/>
              </w:rPr>
              <w:t>Gazette</w:t>
            </w:r>
            <w:r>
              <w:t xml:space="preserve"> 24 Jun 2016 p. 2291)</w:t>
            </w:r>
          </w:p>
        </w:tc>
      </w:tr>
      <w:tr>
        <w:trPr>
          <w:cantSplit/>
        </w:trPr>
        <w:tc>
          <w:tcPr>
            <w:tcW w:w="2266" w:type="dxa"/>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shd w:val="clear" w:color="auto" w:fill="auto"/>
          </w:tcPr>
          <w:p>
            <w:pPr>
              <w:pStyle w:val="nTable"/>
              <w:spacing w:after="40"/>
            </w:pPr>
            <w:r>
              <w:t>19 of 2016</w:t>
            </w:r>
          </w:p>
        </w:tc>
        <w:tc>
          <w:tcPr>
            <w:tcW w:w="1190" w:type="dxa"/>
            <w:gridSpan w:val="4"/>
            <w:shd w:val="clear" w:color="auto" w:fill="auto"/>
          </w:tcPr>
          <w:p>
            <w:pPr>
              <w:pStyle w:val="nTable"/>
              <w:spacing w:after="40"/>
            </w:pPr>
            <w:r>
              <w:t>25 Jul 2016</w:t>
            </w:r>
          </w:p>
        </w:tc>
        <w:tc>
          <w:tcPr>
            <w:tcW w:w="2494" w:type="dxa"/>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rPr>
          <w:cantSplit/>
        </w:trPr>
        <w:tc>
          <w:tcPr>
            <w:tcW w:w="2266" w:type="dxa"/>
            <w:tcBorders>
              <w:bottom w:val="single" w:sz="4" w:space="0" w:color="auto"/>
            </w:tcBorders>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tcBorders>
              <w:bottom w:val="single" w:sz="4" w:space="0" w:color="auto"/>
            </w:tcBorders>
            <w:shd w:val="clear" w:color="auto" w:fill="auto"/>
          </w:tcPr>
          <w:p>
            <w:pPr>
              <w:pStyle w:val="nTable"/>
              <w:spacing w:after="40"/>
            </w:pPr>
            <w:r>
              <w:t>41 of 2016</w:t>
            </w:r>
          </w:p>
        </w:tc>
        <w:tc>
          <w:tcPr>
            <w:tcW w:w="1190" w:type="dxa"/>
            <w:gridSpan w:val="4"/>
            <w:tcBorders>
              <w:bottom w:val="single" w:sz="4" w:space="0" w:color="auto"/>
            </w:tcBorders>
            <w:shd w:val="clear" w:color="auto" w:fill="auto"/>
          </w:tcPr>
          <w:p>
            <w:pPr>
              <w:pStyle w:val="nTable"/>
              <w:spacing w:after="40"/>
            </w:pPr>
            <w:r>
              <w:t>28 Nov 2016</w:t>
            </w:r>
          </w:p>
        </w:tc>
        <w:tc>
          <w:tcPr>
            <w:tcW w:w="2494" w:type="dxa"/>
            <w:tcBorders>
              <w:bottom w:val="single" w:sz="4" w:space="0" w:color="auto"/>
            </w:tcBorders>
            <w:shd w:val="clear" w:color="auto" w:fill="auto"/>
          </w:tcPr>
          <w:p>
            <w:pPr>
              <w:pStyle w:val="nTable"/>
              <w:spacing w:after="40"/>
              <w:rPr>
                <w:snapToGrid w:val="0"/>
              </w:rPr>
            </w:pPr>
            <w:r>
              <w:t xml:space="preserve">1 Jul 2017 (see s. 2(b) and </w:t>
            </w:r>
            <w:r>
              <w:rPr>
                <w:i/>
              </w:rPr>
              <w:t xml:space="preserve">Gazette </w:t>
            </w:r>
            <w:r>
              <w:t>23 Jun 2017 p. 3173)</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21" w:name="_Toc486511322"/>
      <w:r>
        <w:rPr>
          <w:sz w:val="28"/>
        </w:rPr>
        <w:t>Defined terms</w:t>
      </w:r>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4" w:name="Schedule"/>
    <w:bookmarkEnd w:id="2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11884</Words>
  <Characters>55737</Characters>
  <Application>Microsoft Office Word</Application>
  <DocSecurity>0</DocSecurity>
  <Lines>1797</Lines>
  <Paragraphs>994</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1988 - 07-h0-00</dc:title>
  <dc:subject/>
  <dc:creator/>
  <cp:keywords/>
  <dc:description/>
  <cp:lastModifiedBy>svcMRProcess</cp:lastModifiedBy>
  <cp:revision>4</cp:revision>
  <cp:lastPrinted>2015-10-23T03:11:00Z</cp:lastPrinted>
  <dcterms:created xsi:type="dcterms:W3CDTF">2018-09-08T17:48:00Z</dcterms:created>
  <dcterms:modified xsi:type="dcterms:W3CDTF">2018-09-08T17:48:00Z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01 Jul 2017</vt:lpwstr>
  </property>
  <property fmtid="{D5CDD505-2E9C-101B-9397-08002B2CF9AE}" pid="8" name="Suffix">
    <vt:lpwstr>07-h0-00</vt:lpwstr>
  </property>
  <property fmtid="{D5CDD505-2E9C-101B-9397-08002B2CF9AE}" pid="9" name="CommencementDate">
    <vt:lpwstr>20170701</vt:lpwstr>
  </property>
</Properties>
</file>