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_Toc486427130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_Toc486427131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_Toc486427132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family relationship and family member</w:t>
      </w:r>
      <w:r>
        <w:tab/>
      </w:r>
      <w:r>
        <w:fldChar w:fldCharType="begin"/>
      </w:r>
      <w:r>
        <w:instrText xml:space="preserve"> PAGEREF _Toc486427133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_Toc486427134 \h </w:instrText>
      </w:r>
      <w:r>
        <w:fldChar w:fldCharType="separate"/>
      </w:r>
      <w:r>
        <w:t>7</w:t>
      </w:r>
      <w:r>
        <w:fldChar w:fldCharType="end"/>
      </w:r>
    </w:p>
    <w:p>
      <w:pPr>
        <w:pStyle w:val="TOC8"/>
        <w:rPr>
          <w:rFonts w:asciiTheme="minorHAnsi" w:eastAsiaTheme="minorEastAsia" w:hAnsiTheme="minorHAnsi" w:cstheme="minorBidi"/>
          <w:szCs w:val="22"/>
        </w:rPr>
      </w:pPr>
      <w:r>
        <w:t>5A.</w:t>
      </w:r>
      <w:r>
        <w:tab/>
        <w:t>Term used: family violence</w:t>
      </w:r>
      <w:r>
        <w:tab/>
      </w:r>
      <w:r>
        <w:fldChar w:fldCharType="begin"/>
      </w:r>
      <w:r>
        <w:instrText xml:space="preserve"> PAGEREF _Toc486427135 \h </w:instrText>
      </w:r>
      <w:r>
        <w:fldChar w:fldCharType="separate"/>
      </w:r>
      <w:r>
        <w:t>9</w:t>
      </w:r>
      <w:r>
        <w:fldChar w:fldCharType="end"/>
      </w:r>
    </w:p>
    <w:p>
      <w:pPr>
        <w:pStyle w:val="TOC8"/>
        <w:rPr>
          <w:rFonts w:asciiTheme="minorHAnsi" w:eastAsiaTheme="minorEastAsia" w:hAnsiTheme="minorHAnsi" w:cstheme="minorBidi"/>
          <w:szCs w:val="22"/>
        </w:rPr>
      </w:pPr>
      <w:r>
        <w:t>6.</w:t>
      </w:r>
      <w:r>
        <w:tab/>
        <w:t>Term used: personal violence</w:t>
      </w:r>
      <w:r>
        <w:tab/>
      </w:r>
      <w:r>
        <w:fldChar w:fldCharType="begin"/>
      </w:r>
      <w:r>
        <w:instrText xml:space="preserve"> PAGEREF _Toc486427136 \h </w:instrText>
      </w:r>
      <w:r>
        <w:fldChar w:fldCharType="separate"/>
      </w:r>
      <w:r>
        <w:t>10</w:t>
      </w:r>
      <w:r>
        <w:fldChar w:fldCharType="end"/>
      </w:r>
    </w:p>
    <w:p>
      <w:pPr>
        <w:pStyle w:val="TOC8"/>
        <w:rPr>
          <w:rFonts w:asciiTheme="minorHAnsi" w:eastAsiaTheme="minorEastAsia" w:hAnsiTheme="minorHAnsi" w:cstheme="minorBidi"/>
          <w:szCs w:val="22"/>
        </w:rPr>
      </w:pPr>
      <w:r>
        <w:t>6A.</w:t>
      </w:r>
      <w:r>
        <w:tab/>
        <w:t>Term used: exposed</w:t>
      </w:r>
      <w:r>
        <w:tab/>
      </w:r>
      <w:r>
        <w:fldChar w:fldCharType="begin"/>
      </w:r>
      <w:r>
        <w:instrText xml:space="preserve"> PAGEREF _Toc486427137 \h </w:instrText>
      </w:r>
      <w:r>
        <w:fldChar w:fldCharType="separate"/>
      </w:r>
      <w:r>
        <w:t>11</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_Toc486427138 \h </w:instrText>
      </w:r>
      <w:r>
        <w:fldChar w:fldCharType="separate"/>
      </w:r>
      <w:r>
        <w:t>11</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_Toc486427139 \h </w:instrText>
      </w:r>
      <w:r>
        <w:fldChar w:fldCharType="separate"/>
      </w:r>
      <w:r>
        <w:t>12</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_Toc486427140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_Toc486427142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Fixing a hearing</w:t>
      </w:r>
      <w:r>
        <w:tab/>
      </w:r>
      <w:r>
        <w:fldChar w:fldCharType="begin"/>
      </w:r>
      <w:r>
        <w:instrText xml:space="preserve"> PAGEREF _Toc486427143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_Toc486427144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1B — Family violence restraining order</w:t>
      </w:r>
    </w:p>
    <w:p>
      <w:pPr>
        <w:pStyle w:val="TOC8"/>
        <w:rPr>
          <w:rFonts w:asciiTheme="minorHAnsi" w:eastAsiaTheme="minorEastAsia" w:hAnsiTheme="minorHAnsi" w:cstheme="minorBidi"/>
          <w:szCs w:val="22"/>
        </w:rPr>
      </w:pPr>
      <w:r>
        <w:t>10A.</w:t>
      </w:r>
      <w:r>
        <w:tab/>
        <w:t>Objects</w:t>
      </w:r>
      <w:r>
        <w:tab/>
      </w:r>
      <w:r>
        <w:fldChar w:fldCharType="begin"/>
      </w:r>
      <w:r>
        <w:instrText xml:space="preserve"> PAGEREF _Toc486427146 \h </w:instrText>
      </w:r>
      <w:r>
        <w:fldChar w:fldCharType="separate"/>
      </w:r>
      <w:r>
        <w:t>18</w:t>
      </w:r>
      <w:r>
        <w:fldChar w:fldCharType="end"/>
      </w:r>
    </w:p>
    <w:p>
      <w:pPr>
        <w:pStyle w:val="TOC8"/>
        <w:rPr>
          <w:rFonts w:asciiTheme="minorHAnsi" w:eastAsiaTheme="minorEastAsia" w:hAnsiTheme="minorHAnsi" w:cstheme="minorBidi"/>
          <w:szCs w:val="22"/>
        </w:rPr>
      </w:pPr>
      <w:r>
        <w:t>10B.</w:t>
      </w:r>
      <w:r>
        <w:tab/>
        <w:t>Principles to be observed in performing functions in relation to FVROs</w:t>
      </w:r>
      <w:r>
        <w:tab/>
      </w:r>
      <w:r>
        <w:fldChar w:fldCharType="begin"/>
      </w:r>
      <w:r>
        <w:instrText xml:space="preserve"> PAGEREF _Toc486427147 \h </w:instrText>
      </w:r>
      <w:r>
        <w:fldChar w:fldCharType="separate"/>
      </w:r>
      <w:r>
        <w:t>18</w:t>
      </w:r>
      <w:r>
        <w:fldChar w:fldCharType="end"/>
      </w:r>
    </w:p>
    <w:p>
      <w:pPr>
        <w:pStyle w:val="TOC8"/>
        <w:rPr>
          <w:rFonts w:asciiTheme="minorHAnsi" w:eastAsiaTheme="minorEastAsia" w:hAnsiTheme="minorHAnsi" w:cstheme="minorBidi"/>
          <w:szCs w:val="22"/>
        </w:rPr>
      </w:pPr>
      <w:r>
        <w:t>10C.</w:t>
      </w:r>
      <w:r>
        <w:tab/>
        <w:t>FVRO to specify names of person bound, and person protected, by order</w:t>
      </w:r>
      <w:r>
        <w:tab/>
      </w:r>
      <w:r>
        <w:fldChar w:fldCharType="begin"/>
      </w:r>
      <w:r>
        <w:instrText xml:space="preserve"> PAGEREF _Toc486427148 \h </w:instrText>
      </w:r>
      <w:r>
        <w:fldChar w:fldCharType="separate"/>
      </w:r>
      <w:r>
        <w:t>20</w:t>
      </w:r>
      <w:r>
        <w:fldChar w:fldCharType="end"/>
      </w:r>
    </w:p>
    <w:p>
      <w:pPr>
        <w:pStyle w:val="TOC8"/>
        <w:rPr>
          <w:rFonts w:asciiTheme="minorHAnsi" w:eastAsiaTheme="minorEastAsia" w:hAnsiTheme="minorHAnsi" w:cstheme="minorBidi"/>
          <w:szCs w:val="22"/>
        </w:rPr>
      </w:pPr>
      <w:r>
        <w:t>10D.</w:t>
      </w:r>
      <w:r>
        <w:tab/>
        <w:t>When FVROs may be made</w:t>
      </w:r>
      <w:r>
        <w:tab/>
      </w:r>
      <w:r>
        <w:fldChar w:fldCharType="begin"/>
      </w:r>
      <w:r>
        <w:instrText xml:space="preserve"> PAGEREF _Toc486427149 \h </w:instrText>
      </w:r>
      <w:r>
        <w:fldChar w:fldCharType="separate"/>
      </w:r>
      <w:r>
        <w:t>20</w:t>
      </w:r>
      <w:r>
        <w:fldChar w:fldCharType="end"/>
      </w:r>
    </w:p>
    <w:p>
      <w:pPr>
        <w:pStyle w:val="TOC8"/>
        <w:rPr>
          <w:rFonts w:asciiTheme="minorHAnsi" w:eastAsiaTheme="minorEastAsia" w:hAnsiTheme="minorHAnsi" w:cstheme="minorBidi"/>
          <w:szCs w:val="22"/>
        </w:rPr>
      </w:pPr>
      <w:r>
        <w:t>10E.</w:t>
      </w:r>
      <w:r>
        <w:tab/>
        <w:t>FVRO may be made for child in circumstances of family violence</w:t>
      </w:r>
      <w:r>
        <w:tab/>
      </w:r>
      <w:r>
        <w:fldChar w:fldCharType="begin"/>
      </w:r>
      <w:r>
        <w:instrText xml:space="preserve"> PAGEREF _Toc486427150 \h </w:instrText>
      </w:r>
      <w:r>
        <w:fldChar w:fldCharType="separate"/>
      </w:r>
      <w:r>
        <w:t>21</w:t>
      </w:r>
      <w:r>
        <w:fldChar w:fldCharType="end"/>
      </w:r>
    </w:p>
    <w:p>
      <w:pPr>
        <w:pStyle w:val="TOC8"/>
        <w:rPr>
          <w:rFonts w:asciiTheme="minorHAnsi" w:eastAsiaTheme="minorEastAsia" w:hAnsiTheme="minorHAnsi" w:cstheme="minorBidi"/>
          <w:szCs w:val="22"/>
        </w:rPr>
      </w:pPr>
      <w:r>
        <w:t>10F.</w:t>
      </w:r>
      <w:r>
        <w:tab/>
        <w:t>Matters to be considered by court generally</w:t>
      </w:r>
      <w:r>
        <w:tab/>
      </w:r>
      <w:r>
        <w:fldChar w:fldCharType="begin"/>
      </w:r>
      <w:r>
        <w:instrText xml:space="preserve"> PAGEREF _Toc486427151 \h </w:instrText>
      </w:r>
      <w:r>
        <w:fldChar w:fldCharType="separate"/>
      </w:r>
      <w:r>
        <w:t>21</w:t>
      </w:r>
      <w:r>
        <w:fldChar w:fldCharType="end"/>
      </w:r>
    </w:p>
    <w:p>
      <w:pPr>
        <w:pStyle w:val="TOC8"/>
        <w:rPr>
          <w:rFonts w:asciiTheme="minorHAnsi" w:eastAsiaTheme="minorEastAsia" w:hAnsiTheme="minorHAnsi" w:cstheme="minorBidi"/>
          <w:szCs w:val="22"/>
        </w:rPr>
      </w:pPr>
      <w:r>
        <w:t>10G.</w:t>
      </w:r>
      <w:r>
        <w:tab/>
        <w:t>Restraints on respondent</w:t>
      </w:r>
      <w:r>
        <w:tab/>
      </w:r>
      <w:r>
        <w:fldChar w:fldCharType="begin"/>
      </w:r>
      <w:r>
        <w:instrText xml:space="preserve"> PAGEREF _Toc486427152 \h </w:instrText>
      </w:r>
      <w:r>
        <w:fldChar w:fldCharType="separate"/>
      </w:r>
      <w:r>
        <w:t>23</w:t>
      </w:r>
      <w:r>
        <w:fldChar w:fldCharType="end"/>
      </w:r>
    </w:p>
    <w:p>
      <w:pPr>
        <w:pStyle w:val="TOC8"/>
        <w:rPr>
          <w:rFonts w:asciiTheme="minorHAnsi" w:eastAsiaTheme="minorEastAsia" w:hAnsiTheme="minorHAnsi" w:cstheme="minorBidi"/>
          <w:szCs w:val="22"/>
        </w:rPr>
      </w:pPr>
      <w:r>
        <w:t>10H.</w:t>
      </w:r>
      <w:r>
        <w:tab/>
        <w:t>Conduct agreement</w:t>
      </w:r>
      <w:r>
        <w:tab/>
      </w:r>
      <w:r>
        <w:fldChar w:fldCharType="begin"/>
      </w:r>
      <w:r>
        <w:instrText xml:space="preserve"> PAGEREF _Toc486427153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1C — Behaviour management order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10I.</w:t>
      </w:r>
      <w:r>
        <w:tab/>
        <w:t>Terms used</w:t>
      </w:r>
      <w:r>
        <w:tab/>
      </w:r>
      <w:r>
        <w:fldChar w:fldCharType="begin"/>
      </w:r>
      <w:r>
        <w:instrText xml:space="preserve"> PAGEREF _Toc486427156 \h </w:instrText>
      </w:r>
      <w:r>
        <w:fldChar w:fldCharType="separate"/>
      </w:r>
      <w:r>
        <w:t>26</w:t>
      </w:r>
      <w:r>
        <w:fldChar w:fldCharType="end"/>
      </w:r>
    </w:p>
    <w:p>
      <w:pPr>
        <w:pStyle w:val="TOC8"/>
        <w:rPr>
          <w:rFonts w:asciiTheme="minorHAnsi" w:eastAsiaTheme="minorEastAsia" w:hAnsiTheme="minorHAnsi" w:cstheme="minorBidi"/>
          <w:szCs w:val="22"/>
        </w:rPr>
      </w:pPr>
      <w:r>
        <w:t>10J.</w:t>
      </w:r>
      <w:r>
        <w:tab/>
        <w:t>Objects</w:t>
      </w:r>
      <w:r>
        <w:tab/>
      </w:r>
      <w:r>
        <w:fldChar w:fldCharType="begin"/>
      </w:r>
      <w:r>
        <w:instrText xml:space="preserve"> PAGEREF _Toc486427157 \h </w:instrText>
      </w:r>
      <w:r>
        <w:fldChar w:fldCharType="separate"/>
      </w:r>
      <w:r>
        <w:t>27</w:t>
      </w:r>
      <w:r>
        <w:fldChar w:fldCharType="end"/>
      </w:r>
    </w:p>
    <w:p>
      <w:pPr>
        <w:pStyle w:val="TOC8"/>
        <w:rPr>
          <w:rFonts w:asciiTheme="minorHAnsi" w:eastAsiaTheme="minorEastAsia" w:hAnsiTheme="minorHAnsi" w:cstheme="minorBidi"/>
          <w:szCs w:val="22"/>
        </w:rPr>
      </w:pPr>
      <w:r>
        <w:t>10K.</w:t>
      </w:r>
      <w:r>
        <w:tab/>
        <w:t>Application of Part</w:t>
      </w:r>
      <w:r>
        <w:tab/>
      </w:r>
      <w:r>
        <w:fldChar w:fldCharType="begin"/>
      </w:r>
      <w:r>
        <w:instrText xml:space="preserve"> PAGEREF _Toc486427158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Eligibility assessment order</w:t>
      </w:r>
    </w:p>
    <w:p>
      <w:pPr>
        <w:pStyle w:val="TOC8"/>
        <w:rPr>
          <w:rFonts w:asciiTheme="minorHAnsi" w:eastAsiaTheme="minorEastAsia" w:hAnsiTheme="minorHAnsi" w:cstheme="minorBidi"/>
          <w:szCs w:val="22"/>
        </w:rPr>
      </w:pPr>
      <w:r>
        <w:t>10L.</w:t>
      </w:r>
      <w:r>
        <w:tab/>
        <w:t>Making an eligibility assessment order</w:t>
      </w:r>
      <w:r>
        <w:tab/>
      </w:r>
      <w:r>
        <w:fldChar w:fldCharType="begin"/>
      </w:r>
      <w:r>
        <w:instrText xml:space="preserve"> PAGEREF _Toc486427160 \h </w:instrText>
      </w:r>
      <w:r>
        <w:fldChar w:fldCharType="separate"/>
      </w:r>
      <w:r>
        <w:t>27</w:t>
      </w:r>
      <w:r>
        <w:fldChar w:fldCharType="end"/>
      </w:r>
    </w:p>
    <w:p>
      <w:pPr>
        <w:pStyle w:val="TOC8"/>
        <w:rPr>
          <w:rFonts w:asciiTheme="minorHAnsi" w:eastAsiaTheme="minorEastAsia" w:hAnsiTheme="minorHAnsi" w:cstheme="minorBidi"/>
          <w:szCs w:val="22"/>
        </w:rPr>
      </w:pPr>
      <w:r>
        <w:t>10M.</w:t>
      </w:r>
      <w:r>
        <w:tab/>
        <w:t>Order to attend behaviour change programme</w:t>
      </w:r>
      <w:r>
        <w:tab/>
      </w:r>
      <w:r>
        <w:fldChar w:fldCharType="begin"/>
      </w:r>
      <w:r>
        <w:instrText xml:space="preserve"> PAGEREF _Toc486427161 \h </w:instrText>
      </w:r>
      <w:r>
        <w:fldChar w:fldCharType="separate"/>
      </w:r>
      <w:r>
        <w:t>29</w:t>
      </w:r>
      <w:r>
        <w:fldChar w:fldCharType="end"/>
      </w:r>
    </w:p>
    <w:p>
      <w:pPr>
        <w:pStyle w:val="TOC8"/>
        <w:rPr>
          <w:rFonts w:asciiTheme="minorHAnsi" w:eastAsiaTheme="minorEastAsia" w:hAnsiTheme="minorHAnsi" w:cstheme="minorBidi"/>
          <w:szCs w:val="22"/>
        </w:rPr>
      </w:pPr>
      <w:r>
        <w:t>10N.</w:t>
      </w:r>
      <w:r>
        <w:tab/>
        <w:t>Effect of appeal against final order</w:t>
      </w:r>
      <w:r>
        <w:tab/>
      </w:r>
      <w:r>
        <w:fldChar w:fldCharType="begin"/>
      </w:r>
      <w:r>
        <w:instrText xml:space="preserve"> PAGEREF _Toc486427162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Procedures relating to behaviour management order</w:t>
      </w:r>
    </w:p>
    <w:p>
      <w:pPr>
        <w:pStyle w:val="TOC8"/>
        <w:rPr>
          <w:rFonts w:asciiTheme="minorHAnsi" w:eastAsiaTheme="minorEastAsia" w:hAnsiTheme="minorHAnsi" w:cstheme="minorBidi"/>
          <w:szCs w:val="22"/>
        </w:rPr>
      </w:pPr>
      <w:r>
        <w:t>10O.</w:t>
      </w:r>
      <w:r>
        <w:tab/>
        <w:t>Notice of hearings</w:t>
      </w:r>
      <w:r>
        <w:tab/>
      </w:r>
      <w:r>
        <w:fldChar w:fldCharType="begin"/>
      </w:r>
      <w:r>
        <w:instrText xml:space="preserve"> PAGEREF _Toc486427164 \h </w:instrText>
      </w:r>
      <w:r>
        <w:fldChar w:fldCharType="separate"/>
      </w:r>
      <w:r>
        <w:t>31</w:t>
      </w:r>
      <w:r>
        <w:fldChar w:fldCharType="end"/>
      </w:r>
    </w:p>
    <w:p>
      <w:pPr>
        <w:pStyle w:val="TOC8"/>
        <w:rPr>
          <w:rFonts w:asciiTheme="minorHAnsi" w:eastAsiaTheme="minorEastAsia" w:hAnsiTheme="minorHAnsi" w:cstheme="minorBidi"/>
          <w:szCs w:val="22"/>
        </w:rPr>
      </w:pPr>
      <w:r>
        <w:t>10P.</w:t>
      </w:r>
      <w:r>
        <w:tab/>
        <w:t>Approval of persons and of behaviour change programme</w:t>
      </w:r>
      <w:r>
        <w:tab/>
      </w:r>
      <w:r>
        <w:fldChar w:fldCharType="begin"/>
      </w:r>
      <w:r>
        <w:instrText xml:space="preserve"> PAGEREF _Toc486427165 \h </w:instrText>
      </w:r>
      <w:r>
        <w:fldChar w:fldCharType="separate"/>
      </w:r>
      <w:r>
        <w:t>31</w:t>
      </w:r>
      <w:r>
        <w:fldChar w:fldCharType="end"/>
      </w:r>
    </w:p>
    <w:p>
      <w:pPr>
        <w:pStyle w:val="TOC8"/>
        <w:rPr>
          <w:rFonts w:asciiTheme="minorHAnsi" w:eastAsiaTheme="minorEastAsia" w:hAnsiTheme="minorHAnsi" w:cstheme="minorBidi"/>
          <w:szCs w:val="22"/>
        </w:rPr>
      </w:pPr>
      <w:r>
        <w:t>10Q.</w:t>
      </w:r>
      <w:r>
        <w:tab/>
        <w:t>Eligibility assessor may be required to attend hearing</w:t>
      </w:r>
      <w:r>
        <w:tab/>
      </w:r>
      <w:r>
        <w:fldChar w:fldCharType="begin"/>
      </w:r>
      <w:r>
        <w:instrText xml:space="preserve"> PAGEREF _Toc486427166 \h </w:instrText>
      </w:r>
      <w:r>
        <w:fldChar w:fldCharType="separate"/>
      </w:r>
      <w:r>
        <w:t>32</w:t>
      </w:r>
      <w:r>
        <w:fldChar w:fldCharType="end"/>
      </w:r>
    </w:p>
    <w:p>
      <w:pPr>
        <w:pStyle w:val="TOC8"/>
        <w:rPr>
          <w:rFonts w:asciiTheme="minorHAnsi" w:eastAsiaTheme="minorEastAsia" w:hAnsiTheme="minorHAnsi" w:cstheme="minorBidi"/>
          <w:szCs w:val="22"/>
        </w:rPr>
      </w:pPr>
      <w:r>
        <w:t>10R.</w:t>
      </w:r>
      <w:r>
        <w:tab/>
        <w:t>Disputed eligibility assessment report</w:t>
      </w:r>
      <w:r>
        <w:tab/>
      </w:r>
      <w:r>
        <w:fldChar w:fldCharType="begin"/>
      </w:r>
      <w:r>
        <w:instrText xml:space="preserve"> PAGEREF _Toc486427167 \h </w:instrText>
      </w:r>
      <w:r>
        <w:fldChar w:fldCharType="separate"/>
      </w:r>
      <w:r>
        <w:t>32</w:t>
      </w:r>
      <w:r>
        <w:fldChar w:fldCharType="end"/>
      </w:r>
    </w:p>
    <w:p>
      <w:pPr>
        <w:pStyle w:val="TOC8"/>
        <w:rPr>
          <w:rFonts w:asciiTheme="minorHAnsi" w:eastAsiaTheme="minorEastAsia" w:hAnsiTheme="minorHAnsi" w:cstheme="minorBidi"/>
          <w:szCs w:val="22"/>
        </w:rPr>
      </w:pPr>
      <w:r>
        <w:t>10S.</w:t>
      </w:r>
      <w:r>
        <w:tab/>
        <w:t>Explanation of behaviour management orders</w:t>
      </w:r>
      <w:r>
        <w:tab/>
      </w:r>
      <w:r>
        <w:fldChar w:fldCharType="begin"/>
      </w:r>
      <w:r>
        <w:instrText xml:space="preserve"> PAGEREF _Toc486427168 \h </w:instrText>
      </w:r>
      <w:r>
        <w:fldChar w:fldCharType="separate"/>
      </w:r>
      <w:r>
        <w:t>33</w:t>
      </w:r>
      <w:r>
        <w:fldChar w:fldCharType="end"/>
      </w:r>
    </w:p>
    <w:p>
      <w:pPr>
        <w:pStyle w:val="TOC8"/>
        <w:rPr>
          <w:rFonts w:asciiTheme="minorHAnsi" w:eastAsiaTheme="minorEastAsia" w:hAnsiTheme="minorHAnsi" w:cstheme="minorBidi"/>
          <w:szCs w:val="22"/>
        </w:rPr>
      </w:pPr>
      <w:r>
        <w:t>10T.</w:t>
      </w:r>
      <w:r>
        <w:tab/>
        <w:t>Variation or cancellation of behaviour management orders</w:t>
      </w:r>
      <w:r>
        <w:tab/>
      </w:r>
      <w:r>
        <w:fldChar w:fldCharType="begin"/>
      </w:r>
      <w:r>
        <w:instrText xml:space="preserve"> PAGEREF _Toc486427169 \h </w:instrText>
      </w:r>
      <w:r>
        <w:fldChar w:fldCharType="separate"/>
      </w:r>
      <w:r>
        <w:t>33</w:t>
      </w:r>
      <w:r>
        <w:fldChar w:fldCharType="end"/>
      </w:r>
    </w:p>
    <w:p>
      <w:pPr>
        <w:pStyle w:val="TOC8"/>
        <w:rPr>
          <w:rFonts w:asciiTheme="minorHAnsi" w:eastAsiaTheme="minorEastAsia" w:hAnsiTheme="minorHAnsi" w:cstheme="minorBidi"/>
          <w:szCs w:val="22"/>
        </w:rPr>
      </w:pPr>
      <w:r>
        <w:t>10U.</w:t>
      </w:r>
      <w:r>
        <w:tab/>
        <w:t>Service of orders</w:t>
      </w:r>
      <w:r>
        <w:tab/>
      </w:r>
      <w:r>
        <w:fldChar w:fldCharType="begin"/>
      </w:r>
      <w:r>
        <w:instrText xml:space="preserve"> PAGEREF _Toc486427170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10V.</w:t>
      </w:r>
      <w:r>
        <w:tab/>
        <w:t>Respondent’s participation in behaviour change programme</w:t>
      </w:r>
      <w:r>
        <w:tab/>
      </w:r>
      <w:r>
        <w:fldChar w:fldCharType="begin"/>
      </w:r>
      <w:r>
        <w:instrText xml:space="preserve"> PAGEREF _Toc486427172 \h </w:instrText>
      </w:r>
      <w:r>
        <w:fldChar w:fldCharType="separate"/>
      </w:r>
      <w:r>
        <w:t>35</w:t>
      </w:r>
      <w:r>
        <w:fldChar w:fldCharType="end"/>
      </w:r>
    </w:p>
    <w:p>
      <w:pPr>
        <w:pStyle w:val="TOC8"/>
        <w:rPr>
          <w:rFonts w:asciiTheme="minorHAnsi" w:eastAsiaTheme="minorEastAsia" w:hAnsiTheme="minorHAnsi" w:cstheme="minorBidi"/>
          <w:szCs w:val="22"/>
        </w:rPr>
      </w:pPr>
      <w:r>
        <w:t>10W.</w:t>
      </w:r>
      <w:r>
        <w:tab/>
        <w:t>Respondent’s contravention of behaviour management order</w:t>
      </w:r>
      <w:r>
        <w:tab/>
      </w:r>
      <w:r>
        <w:fldChar w:fldCharType="begin"/>
      </w:r>
      <w:r>
        <w:instrText xml:space="preserve"> PAGEREF _Toc486427173 \h </w:instrText>
      </w:r>
      <w:r>
        <w:fldChar w:fldCharType="separate"/>
      </w:r>
      <w:r>
        <w:t>36</w:t>
      </w:r>
      <w:r>
        <w:fldChar w:fldCharType="end"/>
      </w:r>
    </w:p>
    <w:p>
      <w:pPr>
        <w:pStyle w:val="TOC8"/>
        <w:rPr>
          <w:rFonts w:asciiTheme="minorHAnsi" w:eastAsiaTheme="minorEastAsia" w:hAnsiTheme="minorHAnsi" w:cstheme="minorBidi"/>
          <w:szCs w:val="22"/>
        </w:rPr>
      </w:pPr>
      <w:r>
        <w:t>10X.</w:t>
      </w:r>
      <w:r>
        <w:tab/>
        <w:t>Confidentiality of interviews and reports</w:t>
      </w:r>
      <w:r>
        <w:tab/>
      </w:r>
      <w:r>
        <w:fldChar w:fldCharType="begin"/>
      </w:r>
      <w:r>
        <w:instrText xml:space="preserve"> PAGEREF _Toc486427174 \h </w:instrText>
      </w:r>
      <w:r>
        <w:fldChar w:fldCharType="separate"/>
      </w:r>
      <w:r>
        <w:t>36</w:t>
      </w:r>
      <w:r>
        <w:fldChar w:fldCharType="end"/>
      </w:r>
    </w:p>
    <w:p>
      <w:pPr>
        <w:pStyle w:val="TOC8"/>
        <w:rPr>
          <w:rFonts w:asciiTheme="minorHAnsi" w:eastAsiaTheme="minorEastAsia" w:hAnsiTheme="minorHAnsi" w:cstheme="minorBidi"/>
          <w:szCs w:val="22"/>
        </w:rPr>
      </w:pPr>
      <w:r>
        <w:t>10Y.</w:t>
      </w:r>
      <w:r>
        <w:tab/>
        <w:t>Confidentiality of behaviour change programme</w:t>
      </w:r>
      <w:r>
        <w:tab/>
      </w:r>
      <w:r>
        <w:fldChar w:fldCharType="begin"/>
      </w:r>
      <w:r>
        <w:instrText xml:space="preserve"> PAGEREF _Toc486427175 \h </w:instrText>
      </w:r>
      <w:r>
        <w:fldChar w:fldCharType="separate"/>
      </w:r>
      <w:r>
        <w:t>38</w:t>
      </w:r>
      <w:r>
        <w:fldChar w:fldCharType="end"/>
      </w:r>
    </w:p>
    <w:p>
      <w:pPr>
        <w:pStyle w:val="TOC8"/>
        <w:rPr>
          <w:rFonts w:asciiTheme="minorHAnsi" w:eastAsiaTheme="minorEastAsia" w:hAnsiTheme="minorHAnsi" w:cstheme="minorBidi"/>
          <w:szCs w:val="22"/>
        </w:rPr>
      </w:pPr>
      <w:r>
        <w:t>10Z.</w:t>
      </w:r>
      <w:r>
        <w:tab/>
        <w:t>Delegation</w:t>
      </w:r>
      <w:r>
        <w:tab/>
      </w:r>
      <w:r>
        <w:fldChar w:fldCharType="begin"/>
      </w:r>
      <w:r>
        <w:instrText xml:space="preserve"> PAGEREF _Toc486427176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Violence restraining order</w:t>
      </w:r>
    </w:p>
    <w:p>
      <w:pPr>
        <w:pStyle w:val="TOC8"/>
        <w:rPr>
          <w:rFonts w:asciiTheme="minorHAnsi" w:eastAsiaTheme="minorEastAsia" w:hAnsiTheme="minorHAnsi" w:cstheme="minorBidi"/>
          <w:szCs w:val="22"/>
        </w:rPr>
      </w:pPr>
      <w:r>
        <w:t>11.</w:t>
      </w:r>
      <w:r>
        <w:tab/>
        <w:t>VRO to specify names of person bound, and person protected, by order</w:t>
      </w:r>
      <w:r>
        <w:tab/>
      </w:r>
      <w:r>
        <w:fldChar w:fldCharType="begin"/>
      </w:r>
      <w:r>
        <w:instrText xml:space="preserve"> PAGEREF _Toc486427178 \h </w:instrText>
      </w:r>
      <w:r>
        <w:fldChar w:fldCharType="separate"/>
      </w:r>
      <w:r>
        <w:t>39</w:t>
      </w:r>
      <w:r>
        <w:fldChar w:fldCharType="end"/>
      </w:r>
    </w:p>
    <w:p>
      <w:pPr>
        <w:pStyle w:val="TOC8"/>
        <w:rPr>
          <w:rFonts w:asciiTheme="minorHAnsi" w:eastAsiaTheme="minorEastAsia" w:hAnsiTheme="minorHAnsi" w:cstheme="minorBidi"/>
          <w:szCs w:val="22"/>
        </w:rPr>
      </w:pPr>
      <w:r>
        <w:t>11A.</w:t>
      </w:r>
      <w:r>
        <w:tab/>
        <w:t>When VROs may be made</w:t>
      </w:r>
      <w:r>
        <w:tab/>
      </w:r>
      <w:r>
        <w:fldChar w:fldCharType="begin"/>
      </w:r>
      <w:r>
        <w:instrText xml:space="preserve"> PAGEREF _Toc486427179 \h </w:instrText>
      </w:r>
      <w:r>
        <w:fldChar w:fldCharType="separate"/>
      </w:r>
      <w:r>
        <w:t>39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 generally</w:t>
      </w:r>
      <w:r>
        <w:tab/>
      </w:r>
      <w:r>
        <w:fldChar w:fldCharType="begin"/>
      </w:r>
      <w:r>
        <w:instrText xml:space="preserve"> PAGEREF _Toc486427180 \h </w:instrText>
      </w:r>
      <w:r>
        <w:fldChar w:fldCharType="separate"/>
      </w:r>
      <w:r>
        <w:t>39</w:t>
      </w:r>
      <w:r>
        <w:fldChar w:fldCharType="end"/>
      </w:r>
    </w:p>
    <w:p>
      <w:pPr>
        <w:pStyle w:val="TOC8"/>
        <w:rPr>
          <w:rFonts w:asciiTheme="minorHAnsi" w:eastAsiaTheme="minorEastAsia" w:hAnsiTheme="minorHAnsi" w:cstheme="minorBidi"/>
          <w:szCs w:val="22"/>
        </w:rPr>
      </w:pPr>
      <w:r>
        <w:t>12A.</w:t>
      </w:r>
      <w:r>
        <w:tab/>
        <w:t>VROs not for persons in family relationship</w:t>
      </w:r>
      <w:r>
        <w:tab/>
      </w:r>
      <w:r>
        <w:fldChar w:fldCharType="begin"/>
      </w:r>
      <w:r>
        <w:instrText xml:space="preserve"> PAGEREF _Toc486427181 \h </w:instrText>
      </w:r>
      <w:r>
        <w:fldChar w:fldCharType="separate"/>
      </w:r>
      <w:r>
        <w:t>41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_Toc486427182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2A — Provisions for FVRO and VRO</w:t>
      </w:r>
    </w:p>
    <w:p>
      <w:pPr>
        <w:pStyle w:val="TOC4"/>
        <w:tabs>
          <w:tab w:val="right" w:leader="dot" w:pos="7077"/>
        </w:tabs>
        <w:rPr>
          <w:rFonts w:asciiTheme="minorHAnsi" w:eastAsiaTheme="minorEastAsia" w:hAnsiTheme="minorHAnsi" w:cstheme="minorBidi"/>
          <w:b w:val="0"/>
          <w:szCs w:val="22"/>
        </w:rPr>
      </w:pPr>
      <w:r>
        <w:t>Division 1 — Orders relating to firearms</w:t>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_Toc486427185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1A — Duration of orders</w:t>
      </w:r>
    </w:p>
    <w:p>
      <w:pPr>
        <w:pStyle w:val="TOC8"/>
        <w:rPr>
          <w:rFonts w:asciiTheme="minorHAnsi" w:eastAsiaTheme="minorEastAsia" w:hAnsiTheme="minorHAnsi" w:cstheme="minorBidi"/>
          <w:szCs w:val="22"/>
        </w:rPr>
      </w:pPr>
      <w:r>
        <w:t>16</w:t>
      </w:r>
      <w:r>
        <w:rPr>
          <w:snapToGrid w:val="0"/>
        </w:rPr>
        <w:t>.</w:t>
      </w:r>
      <w:r>
        <w:rPr>
          <w:snapToGrid w:val="0"/>
        </w:rPr>
        <w:tab/>
        <w:t>Duration of FVRO or VRO generally</w:t>
      </w:r>
      <w:r>
        <w:tab/>
      </w:r>
      <w:r>
        <w:fldChar w:fldCharType="begin"/>
      </w:r>
      <w:r>
        <w:instrText xml:space="preserve"> PAGEREF _Toc486427187 \h </w:instrText>
      </w:r>
      <w:r>
        <w:fldChar w:fldCharType="separate"/>
      </w:r>
      <w:r>
        <w:t>45</w:t>
      </w:r>
      <w:r>
        <w:fldChar w:fldCharType="end"/>
      </w:r>
    </w:p>
    <w:p>
      <w:pPr>
        <w:pStyle w:val="TOC8"/>
        <w:rPr>
          <w:rFonts w:asciiTheme="minorHAnsi" w:eastAsiaTheme="minorEastAsia" w:hAnsiTheme="minorHAnsi" w:cstheme="minorBidi"/>
          <w:szCs w:val="22"/>
        </w:rPr>
      </w:pPr>
      <w:r>
        <w:t>16A.</w:t>
      </w:r>
      <w:r>
        <w:tab/>
        <w:t>Duration of FVRO</w:t>
      </w:r>
      <w:r>
        <w:tab/>
      </w:r>
      <w:r>
        <w:fldChar w:fldCharType="begin"/>
      </w:r>
      <w:r>
        <w:instrText xml:space="preserve"> PAGEREF _Toc486427188 \h </w:instrText>
      </w:r>
      <w:r>
        <w:fldChar w:fldCharType="separate"/>
      </w:r>
      <w:r>
        <w:t>46</w:t>
      </w:r>
      <w:r>
        <w:fldChar w:fldCharType="end"/>
      </w:r>
    </w:p>
    <w:p>
      <w:pPr>
        <w:pStyle w:val="TOC8"/>
        <w:rPr>
          <w:rFonts w:asciiTheme="minorHAnsi" w:eastAsiaTheme="minorEastAsia" w:hAnsiTheme="minorHAnsi" w:cstheme="minorBidi"/>
          <w:szCs w:val="22"/>
        </w:rPr>
      </w:pPr>
      <w:r>
        <w:t>16B.</w:t>
      </w:r>
      <w:r>
        <w:tab/>
        <w:t>Duration of VRO</w:t>
      </w:r>
      <w:r>
        <w:tab/>
      </w:r>
      <w:r>
        <w:fldChar w:fldCharType="begin"/>
      </w:r>
      <w:r>
        <w:instrText xml:space="preserve"> PAGEREF _Toc486427189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_Toc486427191 \h </w:instrText>
      </w:r>
      <w:r>
        <w:fldChar w:fldCharType="separate"/>
      </w:r>
      <w:r>
        <w:t>49</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_Toc486427192 \h </w:instrText>
      </w:r>
      <w:r>
        <w:fldChar w:fldCharType="separate"/>
      </w:r>
      <w:r>
        <w:t>49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_Toc486427193 \h </w:instrText>
      </w:r>
      <w:r>
        <w:fldChar w:fldCharType="separate"/>
      </w:r>
      <w:r>
        <w:t>50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_Toc486427194 \h </w:instrText>
      </w:r>
      <w:r>
        <w:fldChar w:fldCharType="separate"/>
      </w:r>
      <w:r>
        <w:t>50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_Toc486427195 \h </w:instrText>
      </w:r>
      <w:r>
        <w:fldChar w:fldCharType="separate"/>
      </w:r>
      <w:r>
        <w:t>51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_Toc486427196 \h </w:instrText>
      </w:r>
      <w:r>
        <w:fldChar w:fldCharType="separate"/>
      </w:r>
      <w:r>
        <w:t>52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_Toc486427197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9"/>
        <w:rPr>
          <w:rFonts w:asciiTheme="minorHAnsi" w:eastAsiaTheme="minorEastAsia" w:hAnsiTheme="minorHAnsi" w:cstheme="minorBidi"/>
          <w:noProof/>
          <w:sz w:val="22"/>
          <w:szCs w:val="22"/>
        </w:rPr>
      </w:pPr>
      <w:r>
        <w:rPr>
          <w:noProof/>
        </w:rPr>
        <w:t>24A.</w:t>
      </w:r>
      <w:r>
        <w:rPr>
          <w:noProof/>
        </w:rPr>
        <w:tab/>
        <w:t>Application for FVRO</w:t>
      </w:r>
      <w:r>
        <w:rPr>
          <w:noProof/>
        </w:rPr>
        <w:tab/>
      </w:r>
      <w:r>
        <w:rPr>
          <w:noProof/>
        </w:rPr>
        <w:fldChar w:fldCharType="begin"/>
      </w:r>
      <w:r>
        <w:rPr>
          <w:noProof/>
        </w:rPr>
        <w:instrText xml:space="preserve"> PAGEREF _Toc486427199 \h </w:instrText>
      </w:r>
      <w:r>
        <w:rPr>
          <w:noProof/>
        </w:rPr>
      </w:r>
      <w:r>
        <w:rPr>
          <w:noProof/>
        </w:rPr>
        <w:fldChar w:fldCharType="separate"/>
      </w:r>
      <w:r>
        <w:rPr>
          <w:noProof/>
        </w:rPr>
        <w:t>53</w:t>
      </w:r>
      <w:r>
        <w:rPr>
          <w:noProof/>
        </w:rPr>
        <w:fldChar w:fldCharType="end"/>
      </w:r>
    </w:p>
    <w:p>
      <w:pPr>
        <w:pStyle w:val="TOC8"/>
        <w:rPr>
          <w:rFonts w:asciiTheme="minorHAnsi" w:eastAsiaTheme="minorEastAsia" w:hAnsiTheme="minorHAnsi" w:cstheme="minorBidi"/>
          <w:szCs w:val="22"/>
        </w:rPr>
      </w:pPr>
      <w:r>
        <w:t>25.</w:t>
      </w:r>
      <w:r>
        <w:tab/>
        <w:t>Application for VRO</w:t>
      </w:r>
      <w:r>
        <w:tab/>
      </w:r>
      <w:r>
        <w:fldChar w:fldCharType="begin"/>
      </w:r>
      <w:r>
        <w:instrText xml:space="preserve"> PAGEREF _Toc486427200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_Toc486427201 \h </w:instrText>
      </w:r>
      <w:r>
        <w:fldChar w:fldCharType="separate"/>
      </w:r>
      <w:r>
        <w:t>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_Toc486427202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_Toc486427203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_Toc486427204 \h </w:instrText>
      </w:r>
      <w:r>
        <w:fldChar w:fldCharType="separate"/>
      </w:r>
      <w:r>
        <w:t>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_Toc486427205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3A — Police officers may make police orders where family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_Toc486427207 \h </w:instrText>
      </w:r>
      <w:r>
        <w:fldChar w:fldCharType="separate"/>
      </w:r>
      <w:r>
        <w:t>57</w:t>
      </w:r>
      <w:r>
        <w:fldChar w:fldCharType="end"/>
      </w:r>
    </w:p>
    <w:p>
      <w:pPr>
        <w:pStyle w:val="TOC8"/>
        <w:rPr>
          <w:rFonts w:asciiTheme="minorHAnsi" w:eastAsiaTheme="minorEastAsia" w:hAnsiTheme="minorHAnsi" w:cstheme="minorBidi"/>
          <w:szCs w:val="22"/>
        </w:rPr>
      </w:pPr>
      <w:r>
        <w:t>30B.</w:t>
      </w:r>
      <w:r>
        <w:tab/>
        <w:t>Matters to be considered by police officer generally</w:t>
      </w:r>
      <w:r>
        <w:tab/>
      </w:r>
      <w:r>
        <w:fldChar w:fldCharType="begin"/>
      </w:r>
      <w:r>
        <w:instrText xml:space="preserve"> PAGEREF _Toc486427208 \h </w:instrText>
      </w:r>
      <w:r>
        <w:fldChar w:fldCharType="separate"/>
      </w:r>
      <w:r>
        <w:t>58</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_Toc486427209 \h </w:instrText>
      </w:r>
      <w:r>
        <w:fldChar w:fldCharType="separate"/>
      </w:r>
      <w:r>
        <w:t>59</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_Toc486427210 \h </w:instrText>
      </w:r>
      <w:r>
        <w:fldChar w:fldCharType="separate"/>
      </w:r>
      <w:r>
        <w:t>60</w:t>
      </w:r>
      <w:r>
        <w:fldChar w:fldCharType="end"/>
      </w:r>
    </w:p>
    <w:p>
      <w:pPr>
        <w:pStyle w:val="TOC8"/>
        <w:rPr>
          <w:rFonts w:asciiTheme="minorHAnsi" w:eastAsiaTheme="minorEastAsia" w:hAnsiTheme="minorHAnsi" w:cstheme="minorBidi"/>
          <w:szCs w:val="22"/>
        </w:rPr>
      </w:pPr>
      <w:r>
        <w:t>30E.</w:t>
      </w:r>
      <w:r>
        <w:tab/>
        <w:t>Police order to be served and explained</w:t>
      </w:r>
      <w:r>
        <w:tab/>
      </w:r>
      <w:r>
        <w:fldChar w:fldCharType="begin"/>
      </w:r>
      <w:r>
        <w:instrText xml:space="preserve"> PAGEREF _Toc486427211 \h </w:instrText>
      </w:r>
      <w:r>
        <w:fldChar w:fldCharType="separate"/>
      </w:r>
      <w:r>
        <w:t>60</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_Toc486427212 \h </w:instrText>
      </w:r>
      <w:r>
        <w:fldChar w:fldCharType="separate"/>
      </w:r>
      <w:r>
        <w:t>61</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_Toc486427213 \h </w:instrText>
      </w:r>
      <w:r>
        <w:fldChar w:fldCharType="separate"/>
      </w:r>
      <w:r>
        <w:t>61</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_Toc486427214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_Toc486427216 \h </w:instrText>
      </w:r>
      <w:r>
        <w:fldChar w:fldCharType="separate"/>
      </w:r>
      <w:r>
        <w:t>62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_Toc486427217 \h </w:instrText>
      </w:r>
      <w:r>
        <w:fldChar w:fldCharType="separate"/>
      </w:r>
      <w:r>
        <w:t>63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_Toc486427218 \h </w:instrText>
      </w:r>
      <w:r>
        <w:fldChar w:fldCharType="separate"/>
      </w:r>
      <w:r>
        <w:t>63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_Toc486427219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_Toc486427221 \h </w:instrText>
      </w:r>
      <w:r>
        <w:fldChar w:fldCharType="separate"/>
      </w:r>
      <w:r>
        <w:t>67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 generally</w:t>
      </w:r>
      <w:r>
        <w:tab/>
      </w:r>
      <w:r>
        <w:fldChar w:fldCharType="begin"/>
      </w:r>
      <w:r>
        <w:instrText xml:space="preserve"> PAGEREF _Toc486427222 \h </w:instrText>
      </w:r>
      <w:r>
        <w:fldChar w:fldCharType="separate"/>
      </w:r>
      <w:r>
        <w:t>67</w:t>
      </w:r>
      <w:r>
        <w:fldChar w:fldCharType="end"/>
      </w:r>
    </w:p>
    <w:p>
      <w:pPr>
        <w:pStyle w:val="TOC8"/>
        <w:rPr>
          <w:rFonts w:asciiTheme="minorHAnsi" w:eastAsiaTheme="minorEastAsia" w:hAnsiTheme="minorHAnsi" w:cstheme="minorBidi"/>
          <w:szCs w:val="22"/>
        </w:rPr>
      </w:pPr>
      <w:r>
        <w:t>35A.</w:t>
      </w:r>
      <w:r>
        <w:tab/>
        <w:t>MROs not for persons in family relationship</w:t>
      </w:r>
      <w:r>
        <w:tab/>
      </w:r>
      <w:r>
        <w:fldChar w:fldCharType="begin"/>
      </w:r>
      <w:r>
        <w:instrText xml:space="preserve"> PAGEREF _Toc486427223 \h </w:instrText>
      </w:r>
      <w:r>
        <w:fldChar w:fldCharType="separate"/>
      </w:r>
      <w:r>
        <w:t>69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_Toc486427224 \h </w:instrText>
      </w:r>
      <w:r>
        <w:fldChar w:fldCharType="separate"/>
      </w:r>
      <w:r>
        <w:t>69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MRO</w:t>
      </w:r>
      <w:r>
        <w:tab/>
      </w:r>
      <w:r>
        <w:fldChar w:fldCharType="begin"/>
      </w:r>
      <w:r>
        <w:instrText xml:space="preserve"> PAGEREF _Toc486427225 \h </w:instrText>
      </w:r>
      <w:r>
        <w:fldChar w:fldCharType="separate"/>
      </w:r>
      <w:r>
        <w:t>71</w:t>
      </w:r>
      <w:r>
        <w:fldChar w:fldCharType="end"/>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_Toc486427226 \h </w:instrText>
      </w:r>
      <w:r>
        <w:fldChar w:fldCharType="separate"/>
      </w:r>
      <w:r>
        <w:t>71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_Toc486427227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_Toc486427230 \h </w:instrText>
      </w:r>
      <w:r>
        <w:fldChar w:fldCharType="separate"/>
      </w:r>
      <w:r>
        <w:t>73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_Toc486427231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_Toc486427233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_Toc486427234 \h </w:instrText>
      </w:r>
      <w:r>
        <w:fldChar w:fldCharType="separate"/>
      </w:r>
      <w:r>
        <w:t>75</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_Toc486427235 \h </w:instrText>
      </w:r>
      <w:r>
        <w:fldChar w:fldCharType="separate"/>
      </w:r>
      <w:r>
        <w:t>76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_Toc486427236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44A.</w:t>
      </w:r>
      <w:r>
        <w:tab/>
        <w:t>Rules of evidence not to apply in certain circumstances</w:t>
      </w:r>
      <w:r>
        <w:tab/>
      </w:r>
      <w:r>
        <w:fldChar w:fldCharType="begin"/>
      </w:r>
      <w:r>
        <w:instrText xml:space="preserve"> PAGEREF _Toc486427238 \h </w:instrText>
      </w:r>
      <w:r>
        <w:fldChar w:fldCharType="separate"/>
      </w:r>
      <w:r>
        <w:t>79</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_Toc486427239 \h </w:instrText>
      </w:r>
      <w:r>
        <w:fldChar w:fldCharType="separate"/>
      </w:r>
      <w:r>
        <w:t>80</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_Toc486427240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_Toc486427242 \h </w:instrText>
      </w:r>
      <w:r>
        <w:fldChar w:fldCharType="separate"/>
      </w:r>
      <w:r>
        <w:t>82</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_Toc486427243 \h </w:instrText>
      </w:r>
      <w:r>
        <w:fldChar w:fldCharType="separate"/>
      </w:r>
      <w:r>
        <w:t>83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_Toc486427244 \h </w:instrText>
      </w:r>
      <w:r>
        <w:fldChar w:fldCharType="separate"/>
      </w:r>
      <w:r>
        <w:t>83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_Toc486427245 \h </w:instrText>
      </w:r>
      <w:r>
        <w:fldChar w:fldCharType="separate"/>
      </w:r>
      <w:r>
        <w:t>84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_Toc486427246 \h </w:instrText>
      </w:r>
      <w:r>
        <w:fldChar w:fldCharType="separate"/>
      </w:r>
      <w:r>
        <w:t>85</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_Toc486427247 \h </w:instrText>
      </w:r>
      <w:r>
        <w:fldChar w:fldCharType="separate"/>
      </w:r>
      <w:r>
        <w:t>87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_Toc486427248 \h </w:instrText>
      </w:r>
      <w:r>
        <w:fldChar w:fldCharType="separate"/>
      </w:r>
      <w:r>
        <w:t>87</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_Toc486427249 \h </w:instrText>
      </w:r>
      <w:r>
        <w:fldChar w:fldCharType="separate"/>
      </w:r>
      <w:r>
        <w:t>88</w:t>
      </w:r>
      <w:r>
        <w:fldChar w:fldCharType="end"/>
      </w:r>
    </w:p>
    <w:p>
      <w:pPr>
        <w:pStyle w:val="TOC8"/>
        <w:rPr>
          <w:rFonts w:asciiTheme="minorHAnsi" w:eastAsiaTheme="minorEastAsia" w:hAnsiTheme="minorHAnsi" w:cstheme="minorBidi"/>
          <w:szCs w:val="22"/>
        </w:rPr>
      </w:pPr>
      <w:r>
        <w:t>49B.</w:t>
      </w:r>
      <w:r>
        <w:tab/>
        <w:t>Matters to be considered by court generally</w:t>
      </w:r>
      <w:r>
        <w:tab/>
      </w:r>
      <w:r>
        <w:fldChar w:fldCharType="begin"/>
      </w:r>
      <w:r>
        <w:instrText xml:space="preserve"> PAGEREF _Toc486427250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_Toc486427253 \h </w:instrText>
      </w:r>
      <w:r>
        <w:fldChar w:fldCharType="separate"/>
      </w:r>
      <w:r>
        <w:t>90</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_Toc486427254 \h </w:instrText>
      </w:r>
      <w:r>
        <w:fldChar w:fldCharType="separate"/>
      </w:r>
      <w:r>
        <w:t>90</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_Toc486427255 \h </w:instrText>
      </w:r>
      <w:r>
        <w:fldChar w:fldCharType="separate"/>
      </w:r>
      <w:r>
        <w:t>90</w:t>
      </w:r>
      <w:r>
        <w:fldChar w:fldCharType="end"/>
      </w:r>
    </w:p>
    <w:p>
      <w:pPr>
        <w:pStyle w:val="TOC8"/>
        <w:rPr>
          <w:rFonts w:asciiTheme="minorHAnsi" w:eastAsiaTheme="minorEastAsia" w:hAnsiTheme="minorHAnsi" w:cstheme="minorBidi"/>
          <w:szCs w:val="22"/>
        </w:rPr>
      </w:pPr>
      <w:r>
        <w:t>50C.</w:t>
      </w:r>
      <w:r>
        <w:tab/>
        <w:t>CEO (child welfare) to be notified before certain FVROs or VROs are made</w:t>
      </w:r>
      <w:r>
        <w:tab/>
      </w:r>
      <w:r>
        <w:fldChar w:fldCharType="begin"/>
      </w:r>
      <w:r>
        <w:instrText xml:space="preserve"> PAGEREF _Toc486427256 \h </w:instrText>
      </w:r>
      <w:r>
        <w:fldChar w:fldCharType="separate"/>
      </w:r>
      <w:r>
        <w:t>91</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_Toc486427257 \h </w:instrText>
      </w:r>
      <w:r>
        <w:fldChar w:fldCharType="separate"/>
      </w:r>
      <w:r>
        <w:t>92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_Toc486427258 \h </w:instrText>
      </w:r>
      <w:r>
        <w:fldChar w:fldCharType="separate"/>
      </w:r>
      <w:r>
        <w:t>92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_Toc486427259 \h </w:instrText>
      </w:r>
      <w:r>
        <w:fldChar w:fldCharType="separate"/>
      </w:r>
      <w:r>
        <w:t>92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Telephone order made against child</w:t>
      </w:r>
      <w:r>
        <w:tab/>
      </w:r>
      <w:r>
        <w:fldChar w:fldCharType="begin"/>
      </w:r>
      <w:r>
        <w:instrText xml:space="preserve"> PAGEREF _Toc486427260 \h </w:instrText>
      </w:r>
      <w:r>
        <w:fldChar w:fldCharType="separate"/>
      </w:r>
      <w:r>
        <w:t>93</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_Toc486427261 \h </w:instrText>
      </w:r>
      <w:r>
        <w:fldChar w:fldCharType="separate"/>
      </w:r>
      <w:r>
        <w:t>94</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_Toc486427262 \h </w:instrText>
      </w:r>
      <w:r>
        <w:fldChar w:fldCharType="separate"/>
      </w:r>
      <w:r>
        <w:t>94</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_Toc486427263 \h </w:instrText>
      </w:r>
      <w:r>
        <w:fldChar w:fldCharType="separate"/>
      </w:r>
      <w:r>
        <w:t>95</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_Toc486427264 \h </w:instrText>
      </w:r>
      <w:r>
        <w:fldChar w:fldCharType="separate"/>
      </w:r>
      <w:r>
        <w:t>95</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_Toc486427265 \h </w:instrText>
      </w:r>
      <w:r>
        <w:fldChar w:fldCharType="separate"/>
      </w:r>
      <w:r>
        <w:t>95</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_Toc486427266 \h </w:instrText>
      </w:r>
      <w:r>
        <w:fldChar w:fldCharType="separate"/>
      </w:r>
      <w:r>
        <w:t>96</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_Toc486427267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_Toc486427269 \h </w:instrText>
      </w:r>
      <w:r>
        <w:fldChar w:fldCharType="separate"/>
      </w:r>
      <w:r>
        <w:t>97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_Toc486427270 \h </w:instrText>
      </w:r>
      <w:r>
        <w:fldChar w:fldCharType="separate"/>
      </w:r>
      <w:r>
        <w:t>97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_Toc486427271 \h </w:instrText>
      </w:r>
      <w:r>
        <w:fldChar w:fldCharType="separate"/>
      </w:r>
      <w:r>
        <w:t>99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_Toc486427272 \h </w:instrText>
      </w:r>
      <w:r>
        <w:fldChar w:fldCharType="separate"/>
      </w:r>
      <w:r>
        <w:t>99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_Toc486427273 \h </w:instrText>
      </w:r>
      <w:r>
        <w:fldChar w:fldCharType="separate"/>
      </w:r>
      <w:r>
        <w:t>99</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_Toc486427274 \h </w:instrText>
      </w:r>
      <w:r>
        <w:fldChar w:fldCharType="separate"/>
      </w:r>
      <w:r>
        <w:t>100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Substituted service</w:t>
      </w:r>
      <w:r>
        <w:tab/>
      </w:r>
      <w:r>
        <w:fldChar w:fldCharType="begin"/>
      </w:r>
      <w:r>
        <w:instrText xml:space="preserve"> PAGEREF _Toc486427275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_Toc486427277 \h </w:instrText>
      </w:r>
      <w:r>
        <w:fldChar w:fldCharType="separate"/>
      </w:r>
      <w:r>
        <w:t>102</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_Toc486427278 \h </w:instrText>
      </w:r>
      <w:r>
        <w:fldChar w:fldCharType="separate"/>
      </w:r>
      <w:r>
        <w:t>103</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_Toc486427279 \h </w:instrText>
      </w:r>
      <w:r>
        <w:fldChar w:fldCharType="separate"/>
      </w:r>
      <w:r>
        <w:t>104</w:t>
      </w:r>
      <w:r>
        <w:fldChar w:fldCharType="end"/>
      </w:r>
    </w:p>
    <w:p>
      <w:pPr>
        <w:pStyle w:val="TOC8"/>
        <w:rPr>
          <w:rFonts w:asciiTheme="minorHAnsi" w:eastAsiaTheme="minorEastAsia" w:hAnsiTheme="minorHAnsi" w:cstheme="minorBidi"/>
          <w:szCs w:val="22"/>
        </w:rPr>
      </w:pPr>
      <w:r>
        <w:t>61C.</w:t>
      </w:r>
      <w:r>
        <w:tab/>
        <w:t>Report under s. 10V to be considered in sentencing for breach of FVRO</w:t>
      </w:r>
      <w:r>
        <w:tab/>
      </w:r>
      <w:r>
        <w:fldChar w:fldCharType="begin"/>
      </w:r>
      <w:r>
        <w:instrText xml:space="preserve"> PAGEREF _Toc486427280 \h </w:instrText>
      </w:r>
      <w:r>
        <w:fldChar w:fldCharType="separate"/>
      </w:r>
      <w:r>
        <w:t>105</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_Toc486427281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violence</w:t>
      </w:r>
      <w:r>
        <w:tab/>
      </w:r>
      <w:r>
        <w:fldChar w:fldCharType="begin"/>
      </w:r>
      <w:r>
        <w:instrText xml:space="preserve"> PAGEREF _Toc486427283 \h </w:instrText>
      </w:r>
      <w:r>
        <w:fldChar w:fldCharType="separate"/>
      </w:r>
      <w:r>
        <w:t>106</w:t>
      </w:r>
      <w:r>
        <w:fldChar w:fldCharType="end"/>
      </w:r>
    </w:p>
    <w:p>
      <w:pPr>
        <w:pStyle w:val="TOC8"/>
        <w:rPr>
          <w:rFonts w:asciiTheme="minorHAnsi" w:eastAsiaTheme="minorEastAsia" w:hAnsiTheme="minorHAnsi" w:cstheme="minorBidi"/>
          <w:szCs w:val="22"/>
        </w:rPr>
      </w:pPr>
      <w:r>
        <w:t>62B.</w:t>
      </w:r>
      <w:r>
        <w:tab/>
        <w:t>Entry and search of premises if family violence suspected</w:t>
      </w:r>
      <w:r>
        <w:tab/>
      </w:r>
      <w:r>
        <w:fldChar w:fldCharType="begin"/>
      </w:r>
      <w:r>
        <w:instrText xml:space="preserve"> PAGEREF _Toc486427284 \h </w:instrText>
      </w:r>
      <w:r>
        <w:fldChar w:fldCharType="separate"/>
      </w:r>
      <w:r>
        <w:t>107</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violence</w:t>
      </w:r>
      <w:r>
        <w:tab/>
      </w:r>
      <w:r>
        <w:fldChar w:fldCharType="begin"/>
      </w:r>
      <w:r>
        <w:instrText xml:space="preserve"> PAGEREF _Toc486427285 \h </w:instrText>
      </w:r>
      <w:r>
        <w:fldChar w:fldCharType="separate"/>
      </w:r>
      <w:r>
        <w:t>109</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_Toc486427286 \h </w:instrText>
      </w:r>
      <w:r>
        <w:fldChar w:fldCharType="separate"/>
      </w:r>
      <w:r>
        <w:t>109</w:t>
      </w:r>
      <w:r>
        <w:fldChar w:fldCharType="end"/>
      </w:r>
    </w:p>
    <w:p>
      <w:pPr>
        <w:pStyle w:val="TOC8"/>
        <w:rPr>
          <w:rFonts w:asciiTheme="minorHAnsi" w:eastAsiaTheme="minorEastAsia" w:hAnsiTheme="minorHAnsi" w:cstheme="minorBidi"/>
          <w:szCs w:val="22"/>
        </w:rPr>
      </w:pPr>
      <w:r>
        <w:t>62E.</w:t>
      </w:r>
      <w:r>
        <w:tab/>
        <w:t>Seizure of firearms</w:t>
      </w:r>
      <w:r>
        <w:tab/>
      </w:r>
      <w:r>
        <w:fldChar w:fldCharType="begin"/>
      </w:r>
      <w:r>
        <w:instrText xml:space="preserve"> PAGEREF _Toc486427287 \h </w:instrText>
      </w:r>
      <w:r>
        <w:fldChar w:fldCharType="separate"/>
      </w:r>
      <w:r>
        <w:t>110</w:t>
      </w:r>
      <w:r>
        <w:fldChar w:fldCharType="end"/>
      </w:r>
    </w:p>
    <w:p>
      <w:pPr>
        <w:pStyle w:val="TOC8"/>
        <w:rPr>
          <w:rFonts w:asciiTheme="minorHAnsi" w:eastAsiaTheme="minorEastAsia" w:hAnsiTheme="minorHAnsi" w:cstheme="minorBidi"/>
          <w:szCs w:val="22"/>
        </w:rPr>
      </w:pPr>
      <w:r>
        <w:t>62F.</w:t>
      </w:r>
      <w:r>
        <w:tab/>
        <w:t>Detention of respondent during telephone hearing or while police order is being made</w:t>
      </w:r>
      <w:r>
        <w:tab/>
      </w:r>
      <w:r>
        <w:fldChar w:fldCharType="begin"/>
      </w:r>
      <w:r>
        <w:instrText xml:space="preserve"> PAGEREF _Toc486427288 \h </w:instrText>
      </w:r>
      <w:r>
        <w:fldChar w:fldCharType="separate"/>
      </w:r>
      <w:r>
        <w:t>111</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_Toc486427289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_Toc486427291 \h </w:instrText>
      </w:r>
      <w:r>
        <w:fldChar w:fldCharType="separate"/>
      </w:r>
      <w:r>
        <w:t>113</w:t>
      </w:r>
      <w:r>
        <w:fldChar w:fldCharType="end"/>
      </w:r>
    </w:p>
    <w:p>
      <w:pPr>
        <w:pStyle w:val="TOC8"/>
        <w:rPr>
          <w:rFonts w:asciiTheme="minorHAnsi" w:eastAsiaTheme="minorEastAsia" w:hAnsiTheme="minorHAnsi" w:cstheme="minorBidi"/>
          <w:szCs w:val="22"/>
        </w:rPr>
      </w:pPr>
      <w:r>
        <w:t>63A.</w:t>
      </w:r>
      <w:r>
        <w:tab/>
        <w:t>FVRO or VRO made if certain violent personal offences committed</w:t>
      </w:r>
      <w:r>
        <w:tab/>
      </w:r>
      <w:r>
        <w:fldChar w:fldCharType="begin"/>
      </w:r>
      <w:r>
        <w:instrText xml:space="preserve"> PAGEREF _Toc486427292 \h </w:instrText>
      </w:r>
      <w:r>
        <w:fldChar w:fldCharType="separate"/>
      </w:r>
      <w:r>
        <w:t>116</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_Toc486427293 \h </w:instrText>
      </w:r>
      <w:r>
        <w:fldChar w:fldCharType="separate"/>
      </w:r>
      <w:r>
        <w:t>117</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_Toc486427294 \h </w:instrText>
      </w:r>
      <w:r>
        <w:fldChar w:fldCharType="separate"/>
      </w:r>
      <w:r>
        <w:t>118</w:t>
      </w:r>
      <w:r>
        <w:fldChar w:fldCharType="end"/>
      </w:r>
    </w:p>
    <w:p>
      <w:pPr>
        <w:pStyle w:val="TOC8"/>
        <w:rPr>
          <w:rFonts w:asciiTheme="minorHAnsi" w:eastAsiaTheme="minorEastAsia" w:hAnsiTheme="minorHAnsi" w:cstheme="minorBidi"/>
          <w:szCs w:val="22"/>
        </w:rPr>
      </w:pPr>
      <w:r>
        <w:t>63D.</w:t>
      </w:r>
      <w:r>
        <w:tab/>
        <w:t>Court to give reasons for certain decisions</w:t>
      </w:r>
      <w:r>
        <w:tab/>
      </w:r>
      <w:r>
        <w:fldChar w:fldCharType="begin"/>
      </w:r>
      <w:r>
        <w:instrText xml:space="preserve"> PAGEREF _Toc486427295 \h </w:instrText>
      </w:r>
      <w:r>
        <w:fldChar w:fldCharType="separate"/>
      </w:r>
      <w:r>
        <w:t>118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_Toc486427296 \h </w:instrText>
      </w:r>
      <w:r>
        <w:fldChar w:fldCharType="separate"/>
      </w:r>
      <w:r>
        <w:t>118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_Toc486427297 \h </w:instrText>
      </w:r>
      <w:r>
        <w:fldChar w:fldCharType="separate"/>
      </w:r>
      <w:r>
        <w:t>120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Notification of family orders</w:t>
      </w:r>
      <w:r>
        <w:tab/>
      </w:r>
      <w:r>
        <w:fldChar w:fldCharType="begin"/>
      </w:r>
      <w:r>
        <w:instrText xml:space="preserve"> PAGEREF _Toc486427298 \h </w:instrText>
      </w:r>
      <w:r>
        <w:fldChar w:fldCharType="separate"/>
      </w:r>
      <w:r>
        <w:t>120</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_Toc486427299 \h </w:instrText>
      </w:r>
      <w:r>
        <w:fldChar w:fldCharType="separate"/>
      </w:r>
      <w:r>
        <w:t>121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_Toc486427300 \h </w:instrText>
      </w:r>
      <w:r>
        <w:fldChar w:fldCharType="separate"/>
      </w:r>
      <w:r>
        <w:t>122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_Toc486427301 \h </w:instrText>
      </w:r>
      <w:r>
        <w:fldChar w:fldCharType="separate"/>
      </w:r>
      <w:r>
        <w:t>123</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_Toc486427302 \h </w:instrText>
      </w:r>
      <w:r>
        <w:fldChar w:fldCharType="separate"/>
      </w:r>
      <w:r>
        <w:t>123</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_Toc486427303 \h </w:instrText>
      </w:r>
      <w:r>
        <w:fldChar w:fldCharType="separate"/>
      </w:r>
      <w:r>
        <w:t>125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_Toc486427304 \h </w:instrText>
      </w:r>
      <w:r>
        <w:fldChar w:fldCharType="separate"/>
      </w:r>
      <w:r>
        <w:t>126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_Toc486427305 \h </w:instrText>
      </w:r>
      <w:r>
        <w:fldChar w:fldCharType="separate"/>
      </w:r>
      <w:r>
        <w:t>129</w:t>
      </w:r>
      <w:r>
        <w:fldChar w:fldCharType="end"/>
      </w:r>
    </w:p>
    <w:p>
      <w:pPr>
        <w:pStyle w:val="TOC8"/>
        <w:rPr>
          <w:rFonts w:asciiTheme="minorHAnsi" w:eastAsiaTheme="minorEastAsia" w:hAnsiTheme="minorHAnsi" w:cstheme="minorBidi"/>
          <w:szCs w:val="22"/>
        </w:rPr>
      </w:pPr>
      <w:r>
        <w:t>72A.</w:t>
      </w:r>
      <w:r>
        <w:tab/>
        <w:t>Forms</w:t>
      </w:r>
      <w:r>
        <w:tab/>
      </w:r>
      <w:r>
        <w:fldChar w:fldCharType="begin"/>
      </w:r>
      <w:r>
        <w:instrText xml:space="preserve"> PAGEREF _Toc486427306 \h </w:instrText>
      </w:r>
      <w:r>
        <w:fldChar w:fldCharType="separate"/>
      </w:r>
      <w:r>
        <w:t>129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_Toc486427307 \h </w:instrText>
      </w:r>
      <w:r>
        <w:fldChar w:fldCharType="separate"/>
      </w:r>
      <w:r>
        <w:t>129</w:t>
      </w:r>
      <w:r>
        <w:fldChar w:fldCharType="end"/>
      </w:r>
    </w:p>
    <w:p>
      <w:pPr>
        <w:pStyle w:val="TOC8"/>
        <w:rPr>
          <w:rFonts w:asciiTheme="minorHAnsi" w:eastAsiaTheme="minorEastAsia" w:hAnsiTheme="minorHAnsi" w:cstheme="minorBidi"/>
          <w:szCs w:val="22"/>
        </w:rPr>
      </w:pPr>
      <w:r>
        <w:t>73A.</w:t>
      </w:r>
      <w:r>
        <w:tab/>
        <w:t>Review of certain amendments relating to FVROs</w:t>
      </w:r>
      <w:r>
        <w:tab/>
      </w:r>
      <w:r>
        <w:fldChar w:fldCharType="begin"/>
      </w:r>
      <w:r>
        <w:instrText xml:space="preserve"> PAGEREF _Toc486427308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_Toc486427310 \h </w:instrText>
      </w:r>
      <w:r>
        <w:fldChar w:fldCharType="separate"/>
      </w:r>
      <w:r>
        <w:t>131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_Toc486427311 \h </w:instrText>
      </w:r>
      <w:r>
        <w:fldChar w:fldCharType="separate"/>
      </w:r>
      <w:r>
        <w:t>131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_Toc486427312 \h </w:instrText>
      </w:r>
      <w:r>
        <w:fldChar w:fldCharType="separate"/>
      </w:r>
      <w:r>
        <w:t>132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_Toc486427313 \h </w:instrText>
      </w:r>
      <w:r>
        <w:fldChar w:fldCharType="separate"/>
      </w:r>
      <w:r>
        <w:t>133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Variation or cancellation in another State or Territory</w:t>
      </w:r>
      <w:r>
        <w:tab/>
      </w:r>
      <w:r>
        <w:fldChar w:fldCharType="begin"/>
      </w:r>
      <w:r>
        <w:instrText xml:space="preserve"> PAGEREF _Toc486427314 \h </w:instrText>
      </w:r>
      <w:r>
        <w:fldChar w:fldCharType="separate"/>
      </w:r>
      <w:r>
        <w:t>133</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_Toc486427315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_Toc486427317 \h </w:instrText>
      </w:r>
      <w:r>
        <w:fldChar w:fldCharType="separate"/>
      </w:r>
      <w:r>
        <w:t>136</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_Toc486427318 \h </w:instrText>
      </w:r>
      <w:r>
        <w:fldChar w:fldCharType="separate"/>
      </w:r>
      <w:r>
        <w:t>136</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_Toc486427319 \h </w:instrText>
      </w:r>
      <w:r>
        <w:fldChar w:fldCharType="separate"/>
      </w:r>
      <w:r>
        <w:t>137</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_Toc486427320 \h </w:instrText>
      </w:r>
      <w:r>
        <w:fldChar w:fldCharType="separate"/>
      </w:r>
      <w:r>
        <w:t>137</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_Toc486427321 \h </w:instrText>
      </w:r>
      <w:r>
        <w:fldChar w:fldCharType="separate"/>
      </w:r>
      <w:r>
        <w:t>138</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_Toc486427322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_Toc486427324 \h </w:instrText>
      </w:r>
      <w:r>
        <w:fldChar w:fldCharType="separate"/>
      </w:r>
      <w:r>
        <w:t>140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_Toc486427325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00" w:after="880"/>
      </w:pPr>
      <w:r>
        <w:t>Restraining Orders Act 1997</w:t>
      </w:r>
    </w:p>
    <w:p>
      <w:pPr>
        <w:pStyle w:val="LongTitle"/>
        <w:spacing w:before="400"/>
        <w:rPr>
          <w:snapToGrid w:val="0"/>
        </w:rPr>
      </w:pPr>
      <w:r>
        <w:rPr>
          <w:snapToGrid w:val="0"/>
        </w:rPr>
        <w:t>An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by No. 38 of 2004 s. 4; No. 49 of 2016 s. 4.]</w:t>
      </w:r>
    </w:p>
    <w:p>
      <w:pPr>
        <w:pStyle w:val="Heading2"/>
      </w:pPr>
      <w:bookmarkStart w:id="3" w:name="_Toc474231987"/>
      <w:bookmarkStart w:id="4" w:name="_Toc485887948"/>
      <w:bookmarkStart w:id="5" w:name="_Toc486424952"/>
      <w:bookmarkStart w:id="6" w:name="_Toc48642712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86427130"/>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8" w:name="_Toc486427131"/>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9" w:name="_Toc486427132"/>
      <w:r>
        <w:rPr>
          <w:rStyle w:val="CharSectno"/>
        </w:rPr>
        <w:t>3</w:t>
      </w:r>
      <w:r>
        <w:rPr>
          <w:snapToGrid w:val="0"/>
        </w:rPr>
        <w:t>.</w:t>
      </w:r>
      <w:r>
        <w:rPr>
          <w:snapToGrid w:val="0"/>
        </w:rPr>
        <w:tab/>
        <w:t>Terms used</w:t>
      </w:r>
      <w:bookmarkEnd w:id="9"/>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by No. 10 of 1998 s. 62(1); No. 11 of 1999 s. 4; No. 22 of 2000 s. 4; </w:t>
      </w:r>
      <w:r>
        <w:rPr>
          <w:spacing w:val="-6"/>
        </w:rPr>
        <w:t>No. 34 of 2004 Sch. 2 cl. 23(2)</w:t>
      </w:r>
      <w:r>
        <w:t>; No. 38 of 2004 s. 5, 18(2), 25(2) and (3) and 57(2)</w:t>
      </w:r>
      <w:r>
        <w:noBreakHyphen/>
        <w:t>(4); No. 59 of 2004 s. 124; No. 5 of 2008 s. 90; No. 49 of 2016 s. 5.]</w:t>
      </w:r>
    </w:p>
    <w:p>
      <w:pPr>
        <w:pStyle w:val="Heading5"/>
      </w:pPr>
      <w:bookmarkStart w:id="10" w:name="_Toc486427133"/>
      <w:r>
        <w:rPr>
          <w:rStyle w:val="CharSectno"/>
        </w:rPr>
        <w:t>4</w:t>
      </w:r>
      <w:r>
        <w:t>.</w:t>
      </w:r>
      <w:r>
        <w:tab/>
        <w:t>Terms used: family relationship and family member</w:t>
      </w:r>
      <w:bookmarkEnd w:id="10"/>
    </w:p>
    <w:p>
      <w:pPr>
        <w:pStyle w:val="Subsection"/>
      </w:pPr>
      <w:r>
        <w:tab/>
        <w:t>(1)</w:t>
      </w:r>
      <w:r>
        <w:tab/>
        <w:t xml:space="preserve">In this Act — </w:t>
      </w:r>
    </w:p>
    <w:p>
      <w:pPr>
        <w:pStyle w:val="Defstart"/>
      </w:pPr>
      <w:r>
        <w:rPr>
          <w:b/>
        </w:rPr>
        <w:tab/>
      </w:r>
      <w:r>
        <w:rPr>
          <w:rStyle w:val="CharDefText"/>
        </w:rPr>
        <w:t>family relationship</w:t>
      </w:r>
      <w:r>
        <w:t xml:space="preserve"> means a relationship between 2 persons —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by No. 38 of 2004 s. 6; amended by No. 49 of 2016 s. 6.]</w:t>
      </w:r>
    </w:p>
    <w:p>
      <w:pPr>
        <w:pStyle w:val="Heading5"/>
      </w:pPr>
      <w:bookmarkStart w:id="11" w:name="_Toc486427134"/>
      <w:r>
        <w:rPr>
          <w:rStyle w:val="CharSectno"/>
        </w:rPr>
        <w:t>5</w:t>
      </w:r>
      <w:r>
        <w:t>.</w:t>
      </w:r>
      <w:r>
        <w:tab/>
        <w:t>Term used: family order</w:t>
      </w:r>
      <w:bookmarkEnd w:id="11"/>
    </w:p>
    <w:p>
      <w:pPr>
        <w:pStyle w:val="Subsection"/>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12" w:name="_Toc486427135"/>
      <w:r>
        <w:rPr>
          <w:rStyle w:val="CharSectno"/>
        </w:rPr>
        <w:t>5A</w:t>
      </w:r>
      <w:r>
        <w:t>.</w:t>
      </w:r>
      <w:r>
        <w:tab/>
        <w:t>Term used: family violence</w:t>
      </w:r>
      <w:bookmarkEnd w:id="12"/>
    </w:p>
    <w:p>
      <w:pPr>
        <w:pStyle w:val="Subsection"/>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or publishing, or threatening to distribute or publish, intimate personal images of the family member;</w:t>
      </w:r>
    </w:p>
    <w:p>
      <w:pPr>
        <w:pStyle w:val="Indenta"/>
      </w:pPr>
      <w:r>
        <w:tab/>
        <w:t>(l)</w:t>
      </w:r>
      <w:r>
        <w:tab/>
        <w:t>causing any family member who is a child to be exposed to behaviour referred to in this section.</w:t>
      </w:r>
    </w:p>
    <w:p>
      <w:pPr>
        <w:pStyle w:val="Subsection"/>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by No. 49 of 2016 s. 7.]</w:t>
      </w:r>
    </w:p>
    <w:p>
      <w:pPr>
        <w:pStyle w:val="Heading5"/>
      </w:pPr>
      <w:bookmarkStart w:id="13" w:name="_Toc486427136"/>
      <w:r>
        <w:rPr>
          <w:rStyle w:val="CharSectno"/>
        </w:rPr>
        <w:t>6</w:t>
      </w:r>
      <w:r>
        <w:t>.</w:t>
      </w:r>
      <w:r>
        <w:tab/>
        <w:t>Term used: personal violence</w:t>
      </w:r>
      <w:bookmarkEnd w:id="13"/>
    </w:p>
    <w:p>
      <w:pPr>
        <w:pStyle w:val="Ednotesubsection"/>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Ednotesubsection"/>
      </w:pPr>
      <w:r>
        <w:tab/>
        <w:t>[(4)</w:t>
      </w:r>
      <w:r>
        <w:tab/>
        <w:t>deleted]</w:t>
      </w:r>
    </w:p>
    <w:p>
      <w:pPr>
        <w:pStyle w:val="Footnotesection"/>
      </w:pPr>
      <w:r>
        <w:tab/>
        <w:t>[Section 6 inserted by No. 38 of 2004 s. 7; amended by No. 5 of 2008 s. 91; 49 of 2016 s. 8.]</w:t>
      </w:r>
    </w:p>
    <w:p>
      <w:pPr>
        <w:pStyle w:val="Heading5"/>
      </w:pPr>
      <w:bookmarkStart w:id="14" w:name="_Toc486427137"/>
      <w:r>
        <w:rPr>
          <w:rStyle w:val="CharSectno"/>
        </w:rPr>
        <w:t>6A</w:t>
      </w:r>
      <w:r>
        <w:t>.</w:t>
      </w:r>
      <w:r>
        <w:tab/>
        <w:t>Term used: exposed</w:t>
      </w:r>
      <w:bookmarkEnd w:id="14"/>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by No. 49 of 2016 s. 9.]</w:t>
      </w:r>
    </w:p>
    <w:p>
      <w:pPr>
        <w:pStyle w:val="Heading5"/>
      </w:pPr>
      <w:bookmarkStart w:id="15" w:name="_Toc486427138"/>
      <w:r>
        <w:rPr>
          <w:rStyle w:val="CharSectno"/>
        </w:rPr>
        <w:t>7</w:t>
      </w:r>
      <w:r>
        <w:t>.</w:t>
      </w:r>
      <w:r>
        <w:tab/>
        <w:t>Persons protected, and bound, by order to be natural persons</w:t>
      </w:r>
      <w:bookmarkEnd w:id="15"/>
    </w:p>
    <w:p>
      <w:pPr>
        <w:pStyle w:val="Subsection"/>
      </w:pPr>
      <w:r>
        <w:tab/>
      </w:r>
      <w:r>
        <w:tab/>
        <w:t>A person protected by an order under this Act, and a person who is bound by an order under this Act, must be natural persons.</w:t>
      </w:r>
    </w:p>
    <w:p>
      <w:pPr>
        <w:pStyle w:val="Footnotesection"/>
      </w:pPr>
      <w:r>
        <w:tab/>
        <w:t>[Section 7 inserted by No. 38 of 2004 s. 8; amended by No. 49 of 2016 s. 10.]</w:t>
      </w:r>
    </w:p>
    <w:p>
      <w:pPr>
        <w:pStyle w:val="Heading5"/>
      </w:pPr>
      <w:bookmarkStart w:id="16" w:name="_Toc486427139"/>
      <w:r>
        <w:rPr>
          <w:rStyle w:val="CharSectno"/>
        </w:rPr>
        <w:t>7A</w:t>
      </w:r>
      <w:r>
        <w:t>.</w:t>
      </w:r>
      <w:r>
        <w:tab/>
        <w:t>Orders under this Act imposing restraints</w:t>
      </w:r>
      <w:bookmarkEnd w:id="16"/>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 No. 49 of 2016 s. 11.]</w:t>
      </w:r>
    </w:p>
    <w:p>
      <w:pPr>
        <w:pStyle w:val="Heading5"/>
      </w:pPr>
      <w:bookmarkStart w:id="17" w:name="_Toc486427140"/>
      <w:r>
        <w:rPr>
          <w:rStyle w:val="CharSectno"/>
        </w:rPr>
        <w:t>8A</w:t>
      </w:r>
      <w:r>
        <w:t>.</w:t>
      </w:r>
      <w:r>
        <w:tab/>
      </w:r>
      <w:r>
        <w:rPr>
          <w:i/>
        </w:rPr>
        <w:t>Courts and Tribunals (Electronic Processes Facilitation) Act 2013</w:t>
      </w:r>
      <w:r>
        <w:t xml:space="preserve"> Part 2 applies</w:t>
      </w:r>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109.]</w:t>
      </w:r>
    </w:p>
    <w:p>
      <w:pPr>
        <w:pStyle w:val="Heading2"/>
      </w:pPr>
      <w:bookmarkStart w:id="18" w:name="_Toc474231997"/>
      <w:bookmarkStart w:id="19" w:name="_Toc485887960"/>
      <w:bookmarkStart w:id="20" w:name="_Toc486424964"/>
      <w:bookmarkStart w:id="21" w:name="_Toc486427141"/>
      <w:r>
        <w:rPr>
          <w:rStyle w:val="CharPartNo"/>
        </w:rPr>
        <w:t>Part 1A</w:t>
      </w:r>
      <w:r>
        <w:rPr>
          <w:b w:val="0"/>
        </w:rPr>
        <w:t> </w:t>
      </w:r>
      <w:r>
        <w:t>—</w:t>
      </w:r>
      <w:r>
        <w:rPr>
          <w:b w:val="0"/>
        </w:rPr>
        <w:t> </w:t>
      </w:r>
      <w:r>
        <w:rPr>
          <w:rStyle w:val="CharPartText"/>
        </w:rPr>
        <w:t>Restraining orders generally</w:t>
      </w:r>
      <w:bookmarkEnd w:id="18"/>
      <w:bookmarkEnd w:id="19"/>
      <w:bookmarkEnd w:id="20"/>
      <w:bookmarkEnd w:id="21"/>
    </w:p>
    <w:p>
      <w:pPr>
        <w:pStyle w:val="Footnoteheading"/>
        <w:tabs>
          <w:tab w:val="left" w:pos="851"/>
        </w:tabs>
      </w:pPr>
      <w:r>
        <w:tab/>
        <w:t>[Heading inserted by No. 38 of 2004 s. 9.]</w:t>
      </w:r>
    </w:p>
    <w:p>
      <w:pPr>
        <w:pStyle w:val="Heading5"/>
      </w:pPr>
      <w:bookmarkStart w:id="22" w:name="_Toc486427142"/>
      <w:r>
        <w:rPr>
          <w:rStyle w:val="CharSectno"/>
        </w:rPr>
        <w:t>8</w:t>
      </w:r>
      <w:r>
        <w:t>.</w:t>
      </w:r>
      <w:r>
        <w:tab/>
        <w:t>Explanation about orders to be given</w:t>
      </w:r>
      <w:bookmarkEnd w:id="22"/>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if the order is an FVRO or VRO,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who is 16 years of age or older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 No. 49 of 2016 s. 12.]</w:t>
      </w:r>
    </w:p>
    <w:p>
      <w:pPr>
        <w:pStyle w:val="Heading5"/>
        <w:rPr>
          <w:snapToGrid w:val="0"/>
        </w:rPr>
      </w:pPr>
      <w:bookmarkStart w:id="23" w:name="_Toc486427143"/>
      <w:r>
        <w:rPr>
          <w:rStyle w:val="CharSectno"/>
        </w:rPr>
        <w:t>9</w:t>
      </w:r>
      <w:r>
        <w:rPr>
          <w:snapToGrid w:val="0"/>
        </w:rPr>
        <w:t>.</w:t>
      </w:r>
      <w:r>
        <w:rPr>
          <w:snapToGrid w:val="0"/>
        </w:rPr>
        <w:tab/>
        <w:t>Fixing a hearing</w:t>
      </w:r>
      <w:bookmarkEnd w:id="23"/>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prepare a summons in the prescribed form; and</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spacing w:before="60"/>
        <w:rPr>
          <w:snapToGrid w:val="0"/>
        </w:rPr>
      </w:pPr>
      <w:r>
        <w:rPr>
          <w:snapToGrid w:val="0"/>
        </w:rPr>
        <w:tab/>
        <w:t>(a)</w:t>
      </w:r>
      <w:r>
        <w:rPr>
          <w:snapToGrid w:val="0"/>
        </w:rPr>
        <w:tab/>
        <w:t>fix a day, time and place for the hearing; and</w:t>
      </w:r>
    </w:p>
    <w:p>
      <w:pPr>
        <w:pStyle w:val="Indenta"/>
        <w:spacing w:before="60"/>
        <w:rPr>
          <w:snapToGrid w:val="0"/>
        </w:rPr>
      </w:pPr>
      <w:r>
        <w:rPr>
          <w:snapToGrid w:val="0"/>
        </w:rPr>
        <w:tab/>
        <w:t>(b)</w:t>
      </w:r>
      <w:r>
        <w:rPr>
          <w:snapToGrid w:val="0"/>
        </w:rPr>
        <w:tab/>
        <w:t>notify the party who is to be present of the hearing.</w:t>
      </w:r>
    </w:p>
    <w:p>
      <w:pPr>
        <w:pStyle w:val="Footnotesection"/>
        <w:spacing w:before="80"/>
      </w:pPr>
      <w:r>
        <w:tab/>
        <w:t xml:space="preserve">[Section 9 amended by No. 59 of 2004 s. 123.] </w:t>
      </w:r>
    </w:p>
    <w:p>
      <w:pPr>
        <w:pStyle w:val="Heading5"/>
        <w:spacing w:before="200"/>
        <w:rPr>
          <w:snapToGrid w:val="0"/>
        </w:rPr>
      </w:pPr>
      <w:bookmarkStart w:id="24" w:name="_Toc486427144"/>
      <w:r>
        <w:rPr>
          <w:rStyle w:val="CharSectno"/>
        </w:rPr>
        <w:t>10</w:t>
      </w:r>
      <w:r>
        <w:rPr>
          <w:snapToGrid w:val="0"/>
        </w:rPr>
        <w:t>.</w:t>
      </w:r>
      <w:r>
        <w:rPr>
          <w:snapToGrid w:val="0"/>
        </w:rPr>
        <w:tab/>
        <w:t>Preparation and service of orders</w:t>
      </w:r>
      <w:bookmarkEnd w:id="24"/>
      <w:r>
        <w:rPr>
          <w:snapToGrid w:val="0"/>
        </w:rPr>
        <w:t xml:space="preserve"> </w:t>
      </w:r>
    </w:p>
    <w:p>
      <w:pPr>
        <w:pStyle w:val="Subsection"/>
        <w:spacing w:before="130"/>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spacing w:before="60"/>
        <w:rPr>
          <w:snapToGrid w:val="0"/>
        </w:rPr>
      </w:pPr>
      <w:r>
        <w:rPr>
          <w:snapToGrid w:val="0"/>
        </w:rPr>
        <w:tab/>
        <w:t>(a)</w:t>
      </w:r>
      <w:r>
        <w:rPr>
          <w:snapToGrid w:val="0"/>
        </w:rPr>
        <w:tab/>
        <w:t>the respondent’s copy and the respondent’s endorsement copy (if one is required to be served) of the order to be served on the person who is bound by the order; and</w:t>
      </w:r>
    </w:p>
    <w:p>
      <w:pPr>
        <w:pStyle w:val="Indenta"/>
        <w:spacing w:before="60"/>
      </w:pPr>
      <w:r>
        <w:rPr>
          <w:snapToGrid w:val="0"/>
        </w:rPr>
        <w:tab/>
        <w:t>(b)</w:t>
      </w:r>
      <w:r>
        <w:rPr>
          <w:snapToGrid w:val="0"/>
        </w:rPr>
        <w:tab/>
        <w:t>the applicant’s copy of the order to be</w:t>
      </w:r>
      <w:r>
        <w:t xml:space="preserve"> delivered to — </w:t>
      </w:r>
    </w:p>
    <w:p>
      <w:pPr>
        <w:pStyle w:val="Indenti"/>
        <w:spacing w:before="60"/>
      </w:pPr>
      <w:r>
        <w:tab/>
        <w:t>(i)</w:t>
      </w:r>
      <w:r>
        <w:tab/>
        <w:t xml:space="preserve">the person seeking to be protected by the order; or </w:t>
      </w:r>
    </w:p>
    <w:p>
      <w:pPr>
        <w:pStyle w:val="Indenti"/>
        <w:spacing w:before="60"/>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police copy of the order to be delivered to the Commissioner of Police; and</w:t>
      </w:r>
    </w:p>
    <w:p>
      <w:pPr>
        <w:pStyle w:val="Indenta"/>
        <w:spacing w:before="60"/>
        <w:rPr>
          <w:snapToGrid w:val="0"/>
        </w:rPr>
      </w:pPr>
      <w:r>
        <w:rPr>
          <w:snapToGrid w:val="0"/>
        </w:rPr>
        <w:tab/>
        <w:t>(d)</w:t>
      </w:r>
      <w:r>
        <w:rPr>
          <w:snapToGrid w:val="0"/>
        </w:rPr>
        <w:tab/>
        <w:t xml:space="preserve">the court copy of the order to be placed on the court’s records. </w:t>
      </w:r>
    </w:p>
    <w:p>
      <w:pPr>
        <w:pStyle w:val="Subsection"/>
        <w:spacing w:before="130"/>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by No. 38 of 2004 s. 10, 18(3) and 38(4); No. 59 of 2004 s. 123 and 124; No. 5 of 2008 s. 92; No. 49 of 2016 s. 13.]</w:t>
      </w:r>
    </w:p>
    <w:p>
      <w:pPr>
        <w:pStyle w:val="Heading2"/>
      </w:pPr>
      <w:bookmarkStart w:id="25" w:name="_Toc485887964"/>
      <w:bookmarkStart w:id="26" w:name="_Toc486424968"/>
      <w:bookmarkStart w:id="27" w:name="_Toc486427145"/>
      <w:bookmarkStart w:id="28" w:name="_Toc474232001"/>
      <w:r>
        <w:rPr>
          <w:rStyle w:val="CharPartNo"/>
        </w:rPr>
        <w:t>Part 1B</w:t>
      </w:r>
      <w:r>
        <w:rPr>
          <w:rStyle w:val="CharDivNo"/>
        </w:rPr>
        <w:t> </w:t>
      </w:r>
      <w:r>
        <w:t>—</w:t>
      </w:r>
      <w:r>
        <w:rPr>
          <w:rStyle w:val="CharDivText"/>
        </w:rPr>
        <w:t> </w:t>
      </w:r>
      <w:r>
        <w:rPr>
          <w:rStyle w:val="CharPartText"/>
        </w:rPr>
        <w:t>Family violence restraining order</w:t>
      </w:r>
      <w:bookmarkEnd w:id="25"/>
      <w:bookmarkEnd w:id="26"/>
      <w:bookmarkEnd w:id="27"/>
      <w:r>
        <w:t xml:space="preserve"> </w:t>
      </w:r>
    </w:p>
    <w:p>
      <w:pPr>
        <w:pStyle w:val="Footnoteheading"/>
      </w:pPr>
      <w:r>
        <w:tab/>
        <w:t>[Heading inserted by No. 49 of 2016 s. 14.]</w:t>
      </w:r>
    </w:p>
    <w:p>
      <w:pPr>
        <w:pStyle w:val="Heading5"/>
      </w:pPr>
      <w:bookmarkStart w:id="29" w:name="_Toc486427146"/>
      <w:r>
        <w:rPr>
          <w:rStyle w:val="CharSectno"/>
        </w:rPr>
        <w:t>10A</w:t>
      </w:r>
      <w:r>
        <w:t>.</w:t>
      </w:r>
      <w:r>
        <w:tab/>
        <w:t>Objects</w:t>
      </w:r>
      <w:bookmarkEnd w:id="29"/>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by No. 49 of 2016 s. 14.]</w:t>
      </w:r>
    </w:p>
    <w:p>
      <w:pPr>
        <w:pStyle w:val="Heading5"/>
      </w:pPr>
      <w:bookmarkStart w:id="30" w:name="_Toc486427147"/>
      <w:r>
        <w:rPr>
          <w:rStyle w:val="CharSectno"/>
        </w:rPr>
        <w:t>10B</w:t>
      </w:r>
      <w:r>
        <w:t>.</w:t>
      </w:r>
      <w:r>
        <w:tab/>
        <w:t>Principles to be observed in performing functions in relation to FVROs</w:t>
      </w:r>
      <w:bookmarkEnd w:id="30"/>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by No. 49 of 2016 s. 14.]</w:t>
      </w:r>
    </w:p>
    <w:p>
      <w:pPr>
        <w:pStyle w:val="Heading5"/>
      </w:pPr>
      <w:bookmarkStart w:id="31" w:name="_Toc486427148"/>
      <w:r>
        <w:rPr>
          <w:rStyle w:val="CharSectno"/>
        </w:rPr>
        <w:t>10C</w:t>
      </w:r>
      <w:r>
        <w:t>.</w:t>
      </w:r>
      <w:r>
        <w:tab/>
        <w:t>FVRO to specify names of person bound, and person protected, by order</w:t>
      </w:r>
      <w:bookmarkEnd w:id="31"/>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by No. 49 of 2016 s. 14.]</w:t>
      </w:r>
    </w:p>
    <w:p>
      <w:pPr>
        <w:pStyle w:val="Heading5"/>
      </w:pPr>
      <w:bookmarkStart w:id="32" w:name="_Toc486427149"/>
      <w:r>
        <w:rPr>
          <w:rStyle w:val="CharSectno"/>
        </w:rPr>
        <w:t>10D</w:t>
      </w:r>
      <w:r>
        <w:t>.</w:t>
      </w:r>
      <w:r>
        <w:tab/>
        <w:t>When FVROs may be made</w:t>
      </w:r>
      <w:bookmarkEnd w:id="32"/>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by No. 49 of 2016 s. 14.]</w:t>
      </w:r>
    </w:p>
    <w:p>
      <w:pPr>
        <w:pStyle w:val="Heading5"/>
      </w:pPr>
      <w:bookmarkStart w:id="33" w:name="_Toc486427150"/>
      <w:r>
        <w:rPr>
          <w:rStyle w:val="CharSectno"/>
        </w:rPr>
        <w:t>10E</w:t>
      </w:r>
      <w:r>
        <w:t>.</w:t>
      </w:r>
      <w:r>
        <w:tab/>
        <w:t>FVRO may be made for child in circumstances of family violence</w:t>
      </w:r>
      <w:bookmarkEnd w:id="33"/>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by No. 49 of 2016 s. 14.]</w:t>
      </w:r>
    </w:p>
    <w:p>
      <w:pPr>
        <w:pStyle w:val="Heading5"/>
      </w:pPr>
      <w:bookmarkStart w:id="34" w:name="_Toc486427151"/>
      <w:r>
        <w:rPr>
          <w:rStyle w:val="CharSectno"/>
        </w:rPr>
        <w:t>10F</w:t>
      </w:r>
      <w:r>
        <w:t>.</w:t>
      </w:r>
      <w:r>
        <w:tab/>
        <w:t>Matters to be considered by court generally</w:t>
      </w:r>
      <w:bookmarkEnd w:id="34"/>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by No. 49 of 2016 s. 14.]</w:t>
      </w:r>
    </w:p>
    <w:p>
      <w:pPr>
        <w:pStyle w:val="Heading5"/>
      </w:pPr>
      <w:bookmarkStart w:id="35" w:name="_Toc486427152"/>
      <w:r>
        <w:rPr>
          <w:rStyle w:val="CharSectno"/>
        </w:rPr>
        <w:t>10G</w:t>
      </w:r>
      <w:r>
        <w:t>.</w:t>
      </w:r>
      <w:r>
        <w:tab/>
        <w:t>Restraints on respondent</w:t>
      </w:r>
      <w:bookmarkEnd w:id="35"/>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or publishing, or threatening to distribute or publish, intimate personal images of the person seeking to be protected;</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by No. 49 of 2016 s. 14.]</w:t>
      </w:r>
    </w:p>
    <w:p>
      <w:pPr>
        <w:pStyle w:val="Heading5"/>
      </w:pPr>
      <w:bookmarkStart w:id="36" w:name="_Toc486427153"/>
      <w:r>
        <w:rPr>
          <w:rStyle w:val="CharSectno"/>
        </w:rPr>
        <w:t>10H</w:t>
      </w:r>
      <w:r>
        <w:t>.</w:t>
      </w:r>
      <w:r>
        <w:tab/>
        <w:t>Conduct agreement</w:t>
      </w:r>
      <w:bookmarkEnd w:id="36"/>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by No. 49 of 2016 s. 14.]</w:t>
      </w:r>
    </w:p>
    <w:p>
      <w:pPr>
        <w:pStyle w:val="Heading2"/>
      </w:pPr>
      <w:bookmarkStart w:id="37" w:name="_Toc485887973"/>
      <w:bookmarkStart w:id="38" w:name="_Toc486424977"/>
      <w:bookmarkStart w:id="39" w:name="_Toc486427154"/>
      <w:r>
        <w:rPr>
          <w:rStyle w:val="CharPartNo"/>
        </w:rPr>
        <w:t>Part 1C</w:t>
      </w:r>
      <w:r>
        <w:t> — </w:t>
      </w:r>
      <w:r>
        <w:rPr>
          <w:rStyle w:val="CharPartText"/>
        </w:rPr>
        <w:t>Behaviour management order</w:t>
      </w:r>
      <w:bookmarkEnd w:id="37"/>
      <w:bookmarkEnd w:id="38"/>
      <w:bookmarkEnd w:id="39"/>
    </w:p>
    <w:p>
      <w:pPr>
        <w:pStyle w:val="Footnoteheading"/>
      </w:pPr>
      <w:r>
        <w:tab/>
        <w:t>[Heading inserted by No. 49 of 2016 s. 14.]</w:t>
      </w:r>
    </w:p>
    <w:p>
      <w:pPr>
        <w:pStyle w:val="Heading3"/>
      </w:pPr>
      <w:bookmarkStart w:id="40" w:name="_Toc485887974"/>
      <w:bookmarkStart w:id="41" w:name="_Toc486424978"/>
      <w:bookmarkStart w:id="42" w:name="_Toc486427155"/>
      <w:r>
        <w:rPr>
          <w:rStyle w:val="CharDivNo"/>
        </w:rPr>
        <w:t>Division 1</w:t>
      </w:r>
      <w:r>
        <w:t> — </w:t>
      </w:r>
      <w:r>
        <w:rPr>
          <w:rStyle w:val="CharDivText"/>
        </w:rPr>
        <w:t>Preliminary</w:t>
      </w:r>
      <w:bookmarkEnd w:id="40"/>
      <w:bookmarkEnd w:id="41"/>
      <w:bookmarkEnd w:id="42"/>
    </w:p>
    <w:p>
      <w:pPr>
        <w:pStyle w:val="Footnoteheading"/>
      </w:pPr>
      <w:r>
        <w:tab/>
        <w:t>[Heading inserted by No. 49 of 2016 s. 14.]</w:t>
      </w:r>
    </w:p>
    <w:p>
      <w:pPr>
        <w:pStyle w:val="Heading5"/>
      </w:pPr>
      <w:bookmarkStart w:id="43" w:name="_Toc486427156"/>
      <w:r>
        <w:rPr>
          <w:rStyle w:val="CharSectno"/>
        </w:rPr>
        <w:t>10I</w:t>
      </w:r>
      <w:r>
        <w:t>.</w:t>
      </w:r>
      <w:r>
        <w:tab/>
        <w:t>Terms used</w:t>
      </w:r>
      <w:bookmarkEnd w:id="43"/>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by No. 49 of 2016 s. 14.]</w:t>
      </w:r>
    </w:p>
    <w:p>
      <w:pPr>
        <w:pStyle w:val="Heading5"/>
      </w:pPr>
      <w:bookmarkStart w:id="44" w:name="_Toc486427157"/>
      <w:r>
        <w:rPr>
          <w:rStyle w:val="CharSectno"/>
        </w:rPr>
        <w:t>10J</w:t>
      </w:r>
      <w:r>
        <w:t>.</w:t>
      </w:r>
      <w:r>
        <w:tab/>
        <w:t>Objects</w:t>
      </w:r>
      <w:bookmarkEnd w:id="44"/>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by No. 49 of 2016 s. 14.]</w:t>
      </w:r>
    </w:p>
    <w:p>
      <w:pPr>
        <w:pStyle w:val="Heading5"/>
      </w:pPr>
      <w:bookmarkStart w:id="45" w:name="_Toc486427158"/>
      <w:r>
        <w:rPr>
          <w:rStyle w:val="CharSectno"/>
        </w:rPr>
        <w:t>10K</w:t>
      </w:r>
      <w:r>
        <w:t>.</w:t>
      </w:r>
      <w:r>
        <w:tab/>
        <w:t>Application of Part</w:t>
      </w:r>
      <w:bookmarkEnd w:id="45"/>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by No. 49 of 2016 s. 14.]</w:t>
      </w:r>
    </w:p>
    <w:p>
      <w:pPr>
        <w:pStyle w:val="Heading3"/>
      </w:pPr>
      <w:bookmarkStart w:id="46" w:name="_Toc485887978"/>
      <w:bookmarkStart w:id="47" w:name="_Toc486424982"/>
      <w:bookmarkStart w:id="48" w:name="_Toc486427159"/>
      <w:r>
        <w:rPr>
          <w:rStyle w:val="CharDivNo"/>
        </w:rPr>
        <w:t>Division 2</w:t>
      </w:r>
      <w:r>
        <w:t> — </w:t>
      </w:r>
      <w:r>
        <w:rPr>
          <w:rStyle w:val="CharDivText"/>
        </w:rPr>
        <w:t>Eligibility assessment order</w:t>
      </w:r>
      <w:bookmarkEnd w:id="46"/>
      <w:bookmarkEnd w:id="47"/>
      <w:bookmarkEnd w:id="48"/>
    </w:p>
    <w:p>
      <w:pPr>
        <w:pStyle w:val="Footnoteheading"/>
      </w:pPr>
      <w:r>
        <w:tab/>
        <w:t>[Heading inserted by No. 49 of 2016 s. 14.]</w:t>
      </w:r>
    </w:p>
    <w:p>
      <w:pPr>
        <w:pStyle w:val="Heading5"/>
      </w:pPr>
      <w:bookmarkStart w:id="49" w:name="_Toc486427160"/>
      <w:r>
        <w:rPr>
          <w:rStyle w:val="CharSectno"/>
        </w:rPr>
        <w:t>10L</w:t>
      </w:r>
      <w:r>
        <w:t>.</w:t>
      </w:r>
      <w:r>
        <w:tab/>
        <w:t>Making an eligibility assessment order</w:t>
      </w:r>
      <w:bookmarkEnd w:id="49"/>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by No. 49 of 2016 s. 14.]</w:t>
      </w:r>
    </w:p>
    <w:p>
      <w:pPr>
        <w:pStyle w:val="Heading5"/>
      </w:pPr>
      <w:bookmarkStart w:id="50" w:name="_Toc486427161"/>
      <w:r>
        <w:rPr>
          <w:rStyle w:val="CharSectno"/>
        </w:rPr>
        <w:t>10M</w:t>
      </w:r>
      <w:r>
        <w:t>.</w:t>
      </w:r>
      <w:r>
        <w:tab/>
        <w:t>Order to attend behaviour change programme</w:t>
      </w:r>
      <w:bookmarkEnd w:id="50"/>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by No. 49 of 2016 s. 14.]</w:t>
      </w:r>
    </w:p>
    <w:p>
      <w:pPr>
        <w:pStyle w:val="Heading5"/>
      </w:pPr>
      <w:bookmarkStart w:id="51" w:name="_Toc486427162"/>
      <w:r>
        <w:rPr>
          <w:rStyle w:val="CharSectno"/>
        </w:rPr>
        <w:t>10N</w:t>
      </w:r>
      <w:r>
        <w:t>.</w:t>
      </w:r>
      <w:r>
        <w:tab/>
        <w:t>Effect of appeal against final order</w:t>
      </w:r>
      <w:bookmarkEnd w:id="51"/>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by No. 49 of 2016 s. 14.]</w:t>
      </w:r>
    </w:p>
    <w:p>
      <w:pPr>
        <w:pStyle w:val="Heading3"/>
      </w:pPr>
      <w:bookmarkStart w:id="52" w:name="_Toc485887982"/>
      <w:bookmarkStart w:id="53" w:name="_Toc486424986"/>
      <w:bookmarkStart w:id="54" w:name="_Toc486427163"/>
      <w:r>
        <w:rPr>
          <w:rStyle w:val="CharDivNo"/>
        </w:rPr>
        <w:t>Division 3</w:t>
      </w:r>
      <w:r>
        <w:t> — </w:t>
      </w:r>
      <w:r>
        <w:rPr>
          <w:rStyle w:val="CharDivText"/>
        </w:rPr>
        <w:t>Procedures relating to behaviour management order</w:t>
      </w:r>
      <w:bookmarkEnd w:id="52"/>
      <w:bookmarkEnd w:id="53"/>
      <w:bookmarkEnd w:id="54"/>
    </w:p>
    <w:p>
      <w:pPr>
        <w:pStyle w:val="Footnoteheading"/>
      </w:pPr>
      <w:r>
        <w:tab/>
        <w:t>[Heading inserted by No. 49 of 2016 s. 14.]</w:t>
      </w:r>
    </w:p>
    <w:p>
      <w:pPr>
        <w:pStyle w:val="Heading5"/>
      </w:pPr>
      <w:bookmarkStart w:id="55" w:name="_Toc486427164"/>
      <w:r>
        <w:rPr>
          <w:rStyle w:val="CharSectno"/>
        </w:rPr>
        <w:t>10O</w:t>
      </w:r>
      <w:r>
        <w:t>.</w:t>
      </w:r>
      <w:r>
        <w:tab/>
        <w:t>Notice of hearings</w:t>
      </w:r>
      <w:bookmarkEnd w:id="55"/>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by No. 49 of 2016 s. 14.]</w:t>
      </w:r>
    </w:p>
    <w:p>
      <w:pPr>
        <w:pStyle w:val="Heading5"/>
      </w:pPr>
      <w:bookmarkStart w:id="56" w:name="_Toc486427165"/>
      <w:r>
        <w:rPr>
          <w:rStyle w:val="CharSectno"/>
        </w:rPr>
        <w:t>10P</w:t>
      </w:r>
      <w:r>
        <w:t>.</w:t>
      </w:r>
      <w:r>
        <w:tab/>
        <w:t>Approval of persons and of behaviour change programme</w:t>
      </w:r>
      <w:bookmarkEnd w:id="56"/>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by No. 49 of 2016 s. 14.]</w:t>
      </w:r>
    </w:p>
    <w:p>
      <w:pPr>
        <w:pStyle w:val="Heading5"/>
      </w:pPr>
      <w:bookmarkStart w:id="57" w:name="_Toc486427166"/>
      <w:r>
        <w:rPr>
          <w:rStyle w:val="CharSectno"/>
        </w:rPr>
        <w:t>10Q</w:t>
      </w:r>
      <w:r>
        <w:t>.</w:t>
      </w:r>
      <w:r>
        <w:tab/>
        <w:t>Eligibility assessor may be required to attend hearing</w:t>
      </w:r>
      <w:bookmarkEnd w:id="57"/>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by No. 49 of 2016 s. 14.]</w:t>
      </w:r>
    </w:p>
    <w:p>
      <w:pPr>
        <w:pStyle w:val="Heading5"/>
      </w:pPr>
      <w:bookmarkStart w:id="58" w:name="_Toc486427167"/>
      <w:r>
        <w:rPr>
          <w:rStyle w:val="CharSectno"/>
        </w:rPr>
        <w:t>10R</w:t>
      </w:r>
      <w:r>
        <w:t>.</w:t>
      </w:r>
      <w:r>
        <w:tab/>
        <w:t>Disputed eligibility assessment report</w:t>
      </w:r>
      <w:bookmarkEnd w:id="58"/>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by No. 49 of 2016 s. 14.]</w:t>
      </w:r>
    </w:p>
    <w:p>
      <w:pPr>
        <w:pStyle w:val="Heading5"/>
      </w:pPr>
      <w:bookmarkStart w:id="59" w:name="_Toc486427168"/>
      <w:r>
        <w:rPr>
          <w:rStyle w:val="CharSectno"/>
        </w:rPr>
        <w:t>10S</w:t>
      </w:r>
      <w:r>
        <w:t>.</w:t>
      </w:r>
      <w:r>
        <w:tab/>
        <w:t>Explanation of behaviour management orders</w:t>
      </w:r>
      <w:bookmarkEnd w:id="59"/>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by No. 49 of 2016 s. 14.]</w:t>
      </w:r>
    </w:p>
    <w:p>
      <w:pPr>
        <w:pStyle w:val="Heading5"/>
      </w:pPr>
      <w:bookmarkStart w:id="60" w:name="_Toc486427169"/>
      <w:r>
        <w:rPr>
          <w:rStyle w:val="CharSectno"/>
        </w:rPr>
        <w:t>10T</w:t>
      </w:r>
      <w:r>
        <w:t>.</w:t>
      </w:r>
      <w:r>
        <w:tab/>
        <w:t>Variation or cancellation of behaviour management orders</w:t>
      </w:r>
      <w:bookmarkEnd w:id="60"/>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by No. 49 of 2016 s. 14.]</w:t>
      </w:r>
    </w:p>
    <w:p>
      <w:pPr>
        <w:pStyle w:val="Heading5"/>
      </w:pPr>
      <w:bookmarkStart w:id="61" w:name="_Toc486427170"/>
      <w:r>
        <w:rPr>
          <w:rStyle w:val="CharSectno"/>
        </w:rPr>
        <w:t>10U</w:t>
      </w:r>
      <w:r>
        <w:t>.</w:t>
      </w:r>
      <w:r>
        <w:tab/>
        <w:t>Service of orders</w:t>
      </w:r>
      <w:bookmarkEnd w:id="61"/>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by No. 49 of 2016 s. 14.]</w:t>
      </w:r>
    </w:p>
    <w:p>
      <w:pPr>
        <w:pStyle w:val="Heading3"/>
      </w:pPr>
      <w:bookmarkStart w:id="62" w:name="_Toc485887990"/>
      <w:bookmarkStart w:id="63" w:name="_Toc486424994"/>
      <w:bookmarkStart w:id="64" w:name="_Toc486427171"/>
      <w:r>
        <w:rPr>
          <w:rStyle w:val="CharDivNo"/>
        </w:rPr>
        <w:t>Division 4</w:t>
      </w:r>
      <w:r>
        <w:t> — </w:t>
      </w:r>
      <w:r>
        <w:rPr>
          <w:rStyle w:val="CharDivText"/>
        </w:rPr>
        <w:t>Other matters</w:t>
      </w:r>
      <w:bookmarkEnd w:id="62"/>
      <w:bookmarkEnd w:id="63"/>
      <w:bookmarkEnd w:id="64"/>
    </w:p>
    <w:p>
      <w:pPr>
        <w:pStyle w:val="Footnoteheading"/>
      </w:pPr>
      <w:r>
        <w:tab/>
        <w:t>[Heading inserted by No. 49 of 2016 s. 14.]</w:t>
      </w:r>
    </w:p>
    <w:p>
      <w:pPr>
        <w:pStyle w:val="Heading5"/>
      </w:pPr>
      <w:bookmarkStart w:id="65" w:name="_Toc486427172"/>
      <w:r>
        <w:rPr>
          <w:rStyle w:val="CharSectno"/>
        </w:rPr>
        <w:t>10V</w:t>
      </w:r>
      <w:r>
        <w:t>.</w:t>
      </w:r>
      <w:r>
        <w:tab/>
        <w:t>Respondent’s participation in behaviour change programme</w:t>
      </w:r>
      <w:bookmarkEnd w:id="65"/>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by No. 49 of 2016 s. 14.]</w:t>
      </w:r>
    </w:p>
    <w:p>
      <w:pPr>
        <w:pStyle w:val="Heading5"/>
      </w:pPr>
      <w:bookmarkStart w:id="66" w:name="_Toc486427173"/>
      <w:r>
        <w:rPr>
          <w:rStyle w:val="CharSectno"/>
        </w:rPr>
        <w:t>10W</w:t>
      </w:r>
      <w:r>
        <w:t>.</w:t>
      </w:r>
      <w:r>
        <w:tab/>
        <w:t>Respondent’s contravention of behaviour management order</w:t>
      </w:r>
      <w:bookmarkEnd w:id="66"/>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by No. 49 of 2016 s. 14.]</w:t>
      </w:r>
    </w:p>
    <w:p>
      <w:pPr>
        <w:pStyle w:val="Heading5"/>
      </w:pPr>
      <w:bookmarkStart w:id="67" w:name="_Toc486427174"/>
      <w:r>
        <w:rPr>
          <w:rStyle w:val="CharSectno"/>
        </w:rPr>
        <w:t>10X</w:t>
      </w:r>
      <w:r>
        <w:t>.</w:t>
      </w:r>
      <w:r>
        <w:tab/>
        <w:t>Confidentiality of interviews and reports</w:t>
      </w:r>
      <w:bookmarkEnd w:id="67"/>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by No. 49 of 2016 s. 14.]</w:t>
      </w:r>
    </w:p>
    <w:p>
      <w:pPr>
        <w:pStyle w:val="Heading5"/>
      </w:pPr>
      <w:bookmarkStart w:id="68" w:name="_Toc486427175"/>
      <w:r>
        <w:rPr>
          <w:rStyle w:val="CharSectno"/>
        </w:rPr>
        <w:t>10Y</w:t>
      </w:r>
      <w:r>
        <w:t>.</w:t>
      </w:r>
      <w:r>
        <w:tab/>
        <w:t>Confidentiality of behaviour change programme</w:t>
      </w:r>
      <w:bookmarkEnd w:id="68"/>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by No. 49 of 2016 s. 14.]</w:t>
      </w:r>
    </w:p>
    <w:p>
      <w:pPr>
        <w:pStyle w:val="Heading5"/>
      </w:pPr>
      <w:bookmarkStart w:id="69" w:name="_Toc486427176"/>
      <w:r>
        <w:rPr>
          <w:rStyle w:val="CharSectno"/>
        </w:rPr>
        <w:t>10Z</w:t>
      </w:r>
      <w:r>
        <w:t>.</w:t>
      </w:r>
      <w:r>
        <w:tab/>
        <w:t>Delegation</w:t>
      </w:r>
      <w:bookmarkEnd w:id="69"/>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by No. 49 of 2016 s. 14.]</w:t>
      </w:r>
    </w:p>
    <w:p>
      <w:pPr>
        <w:pStyle w:val="Heading2"/>
      </w:pPr>
      <w:bookmarkStart w:id="70" w:name="_Toc485887996"/>
      <w:bookmarkStart w:id="71" w:name="_Toc486425000"/>
      <w:bookmarkStart w:id="72" w:name="_Toc486427177"/>
      <w:r>
        <w:rPr>
          <w:rStyle w:val="CharPartNo"/>
        </w:rPr>
        <w:t>Part 2</w:t>
      </w:r>
      <w:r>
        <w:rPr>
          <w:rStyle w:val="CharDivNo"/>
        </w:rPr>
        <w:t> </w:t>
      </w:r>
      <w:r>
        <w:t>—</w:t>
      </w:r>
      <w:r>
        <w:rPr>
          <w:rStyle w:val="CharDivText"/>
        </w:rPr>
        <w:t> </w:t>
      </w:r>
      <w:r>
        <w:rPr>
          <w:rStyle w:val="CharPartText"/>
        </w:rPr>
        <w:t>Violence restraining order</w:t>
      </w:r>
      <w:bookmarkEnd w:id="28"/>
      <w:bookmarkEnd w:id="70"/>
      <w:bookmarkEnd w:id="71"/>
      <w:bookmarkEnd w:id="72"/>
      <w:r>
        <w:rPr>
          <w:rStyle w:val="CharPartText"/>
        </w:rPr>
        <w:t xml:space="preserve"> </w:t>
      </w:r>
    </w:p>
    <w:p>
      <w:pPr>
        <w:pStyle w:val="Ednotedivision"/>
      </w:pPr>
      <w:bookmarkStart w:id="73" w:name="_Toc474232002"/>
      <w:r>
        <w:tab/>
        <w:t>[Division heading deleted by No. 49 of 2016 s. 15.]</w:t>
      </w:r>
    </w:p>
    <w:p>
      <w:pPr>
        <w:pStyle w:val="Heading5"/>
      </w:pPr>
      <w:bookmarkStart w:id="74" w:name="_Toc486427178"/>
      <w:bookmarkEnd w:id="73"/>
      <w:r>
        <w:rPr>
          <w:rStyle w:val="CharSectno"/>
        </w:rPr>
        <w:t>11</w:t>
      </w:r>
      <w:r>
        <w:t>.</w:t>
      </w:r>
      <w:r>
        <w:tab/>
        <w:t>VRO to specify names of person bound, and person protected, by order</w:t>
      </w:r>
      <w:bookmarkEnd w:id="74"/>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 amended by No. 49 of 2016 s. 16.]</w:t>
      </w:r>
    </w:p>
    <w:p>
      <w:pPr>
        <w:pStyle w:val="Heading5"/>
      </w:pPr>
      <w:bookmarkStart w:id="75" w:name="_Toc486427179"/>
      <w:r>
        <w:rPr>
          <w:rStyle w:val="CharSectno"/>
        </w:rPr>
        <w:t>11A</w:t>
      </w:r>
      <w:r>
        <w:t>.</w:t>
      </w:r>
      <w:r>
        <w:tab/>
        <w:t>When VROs may be made</w:t>
      </w:r>
      <w:bookmarkEnd w:id="75"/>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an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by No. 38 of 2004 s. 11; amended by No. 49 of 2016 s. 17.]</w:t>
      </w:r>
    </w:p>
    <w:p>
      <w:pPr>
        <w:pStyle w:val="Ednotesection"/>
        <w:spacing w:before="200"/>
      </w:pPr>
      <w:r>
        <w:t>[</w:t>
      </w:r>
      <w:r>
        <w:rPr>
          <w:b/>
        </w:rPr>
        <w:t>11B.</w:t>
      </w:r>
      <w:r>
        <w:tab/>
        <w:t>Deleted by No. 49 of 2016 s. 18.]</w:t>
      </w:r>
    </w:p>
    <w:p>
      <w:pPr>
        <w:pStyle w:val="Heading5"/>
        <w:rPr>
          <w:snapToGrid w:val="0"/>
        </w:rPr>
      </w:pPr>
      <w:bookmarkStart w:id="76" w:name="_Toc486427180"/>
      <w:r>
        <w:rPr>
          <w:rStyle w:val="CharSectno"/>
        </w:rPr>
        <w:t>12</w:t>
      </w:r>
      <w:r>
        <w:rPr>
          <w:snapToGrid w:val="0"/>
        </w:rPr>
        <w:t>.</w:t>
      </w:r>
      <w:r>
        <w:rPr>
          <w:snapToGrid w:val="0"/>
        </w:rPr>
        <w:tab/>
        <w:t>Matters to be considered by court generally</w:t>
      </w:r>
      <w:bookmarkEnd w:id="76"/>
    </w:p>
    <w:p>
      <w:pPr>
        <w:pStyle w:val="Subsection"/>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Ednotepara"/>
      </w:pPr>
      <w:r>
        <w:tab/>
        <w:t>[(ba)</w:t>
      </w:r>
      <w:r>
        <w:tab/>
        <w:t>deleted]</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by No. 38 of 2004 s. 12, 54, 55, 56 and 57(5); No. 32 of 2011 s. 4; No. 49 of 2016 s. 19.]</w:t>
      </w:r>
    </w:p>
    <w:p>
      <w:pPr>
        <w:pStyle w:val="Heading5"/>
      </w:pPr>
      <w:bookmarkStart w:id="77" w:name="_Toc486427181"/>
      <w:r>
        <w:rPr>
          <w:rStyle w:val="CharSectno"/>
        </w:rPr>
        <w:t>12A</w:t>
      </w:r>
      <w:r>
        <w:t>.</w:t>
      </w:r>
      <w:r>
        <w:tab/>
        <w:t>VROs not for persons in family relationship</w:t>
      </w:r>
      <w:bookmarkEnd w:id="77"/>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by No. 49 of 2016 s. 20.]</w:t>
      </w:r>
    </w:p>
    <w:p>
      <w:pPr>
        <w:pStyle w:val="Heading5"/>
        <w:rPr>
          <w:snapToGrid w:val="0"/>
        </w:rPr>
      </w:pPr>
      <w:bookmarkStart w:id="78" w:name="_Toc486427182"/>
      <w:r>
        <w:rPr>
          <w:rStyle w:val="CharSectno"/>
        </w:rPr>
        <w:t>13</w:t>
      </w:r>
      <w:r>
        <w:rPr>
          <w:snapToGrid w:val="0"/>
        </w:rPr>
        <w:t>.</w:t>
      </w:r>
      <w:r>
        <w:rPr>
          <w:snapToGrid w:val="0"/>
        </w:rPr>
        <w:tab/>
        <w:t>Restraints on respondent</w:t>
      </w:r>
      <w:bookmarkEnd w:id="78"/>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by No. 38 of 2004 s. 13, 54 and 56; No. 32 of 2011 s. 5; No. 49 of 2016 s. 21.]</w:t>
      </w:r>
    </w:p>
    <w:p>
      <w:pPr>
        <w:pStyle w:val="Heading2"/>
      </w:pPr>
      <w:bookmarkStart w:id="79" w:name="_Toc485888002"/>
      <w:bookmarkStart w:id="80" w:name="_Toc486425006"/>
      <w:bookmarkStart w:id="81" w:name="_Toc486427183"/>
      <w:r>
        <w:rPr>
          <w:rStyle w:val="CharPartNo"/>
        </w:rPr>
        <w:t>Part 2A</w:t>
      </w:r>
      <w:r>
        <w:t> — </w:t>
      </w:r>
      <w:r>
        <w:rPr>
          <w:rStyle w:val="CharPartText"/>
        </w:rPr>
        <w:t>Provisions for FVRO and VRO</w:t>
      </w:r>
      <w:bookmarkEnd w:id="79"/>
      <w:bookmarkEnd w:id="80"/>
      <w:bookmarkEnd w:id="81"/>
    </w:p>
    <w:p>
      <w:pPr>
        <w:pStyle w:val="Footnoteheading"/>
      </w:pPr>
      <w:r>
        <w:tab/>
        <w:t>[Heading inserted by No. 49 of 2016 s. 22.]</w:t>
      </w:r>
    </w:p>
    <w:p>
      <w:pPr>
        <w:pStyle w:val="Heading3"/>
      </w:pPr>
      <w:bookmarkStart w:id="82" w:name="_Toc485888003"/>
      <w:bookmarkStart w:id="83" w:name="_Toc486425007"/>
      <w:bookmarkStart w:id="84" w:name="_Toc486427184"/>
      <w:r>
        <w:rPr>
          <w:rStyle w:val="CharDivNo"/>
        </w:rPr>
        <w:t>Division 1</w:t>
      </w:r>
      <w:r>
        <w:t> — </w:t>
      </w:r>
      <w:r>
        <w:rPr>
          <w:rStyle w:val="CharDivText"/>
        </w:rPr>
        <w:t>Orders relating to firearms</w:t>
      </w:r>
      <w:bookmarkEnd w:id="82"/>
      <w:bookmarkEnd w:id="83"/>
      <w:bookmarkEnd w:id="84"/>
    </w:p>
    <w:p>
      <w:pPr>
        <w:pStyle w:val="Footnoteheading"/>
      </w:pPr>
      <w:r>
        <w:tab/>
        <w:t>[Heading inserted by No. 49 of 2016 s. 22.]</w:t>
      </w:r>
    </w:p>
    <w:p>
      <w:pPr>
        <w:pStyle w:val="Heading5"/>
        <w:rPr>
          <w:snapToGrid w:val="0"/>
        </w:rPr>
      </w:pPr>
      <w:bookmarkStart w:id="85" w:name="_Toc486427185"/>
      <w:r>
        <w:rPr>
          <w:rStyle w:val="CharSectno"/>
        </w:rPr>
        <w:t>14</w:t>
      </w:r>
      <w:r>
        <w:rPr>
          <w:snapToGrid w:val="0"/>
        </w:rPr>
        <w:t>.</w:t>
      </w:r>
      <w:r>
        <w:rPr>
          <w:snapToGrid w:val="0"/>
        </w:rPr>
        <w:tab/>
        <w:t>Firearms order</w:t>
      </w:r>
      <w:bookmarkEnd w:id="85"/>
      <w:r>
        <w:rPr>
          <w:snapToGrid w:val="0"/>
        </w:rPr>
        <w:t xml:space="preserve"> </w:t>
      </w:r>
    </w:p>
    <w:p>
      <w:pPr>
        <w:pStyle w:val="Subsection"/>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by No. 38 of 2004 s. 55; No. 49 of 2016 s. 23.]</w:t>
      </w:r>
    </w:p>
    <w:p>
      <w:pPr>
        <w:pStyle w:val="Heading3"/>
      </w:pPr>
      <w:bookmarkStart w:id="86" w:name="_Toc485888005"/>
      <w:bookmarkStart w:id="87" w:name="_Toc486425009"/>
      <w:bookmarkStart w:id="88" w:name="_Toc486427186"/>
      <w:r>
        <w:rPr>
          <w:rStyle w:val="CharDivNo"/>
        </w:rPr>
        <w:t>Division 1A</w:t>
      </w:r>
      <w:r>
        <w:t> — </w:t>
      </w:r>
      <w:r>
        <w:rPr>
          <w:rStyle w:val="CharDivText"/>
        </w:rPr>
        <w:t>Duration of orders</w:t>
      </w:r>
      <w:bookmarkEnd w:id="86"/>
      <w:bookmarkEnd w:id="87"/>
      <w:bookmarkEnd w:id="88"/>
    </w:p>
    <w:p>
      <w:pPr>
        <w:pStyle w:val="Footnoteheading"/>
      </w:pPr>
      <w:r>
        <w:tab/>
        <w:t>[Heading inserted by No. 49 of 2016 s. 24.]</w:t>
      </w:r>
    </w:p>
    <w:p>
      <w:pPr>
        <w:pStyle w:val="Ednotesection"/>
        <w:spacing w:before="200"/>
      </w:pPr>
      <w:r>
        <w:t>[</w:t>
      </w:r>
      <w:r>
        <w:rPr>
          <w:b/>
        </w:rPr>
        <w:t>15.</w:t>
      </w:r>
      <w:r>
        <w:tab/>
        <w:t>Deleted by No. 38 of 2004 s. 43(2).]</w:t>
      </w:r>
    </w:p>
    <w:p>
      <w:pPr>
        <w:pStyle w:val="Heading5"/>
        <w:spacing w:before="200"/>
        <w:rPr>
          <w:snapToGrid w:val="0"/>
        </w:rPr>
      </w:pPr>
      <w:bookmarkStart w:id="89" w:name="_Toc486427187"/>
      <w:r>
        <w:rPr>
          <w:rStyle w:val="CharSectno"/>
        </w:rPr>
        <w:t>16</w:t>
      </w:r>
      <w:r>
        <w:rPr>
          <w:snapToGrid w:val="0"/>
        </w:rPr>
        <w:t>.</w:t>
      </w:r>
      <w:r>
        <w:rPr>
          <w:snapToGrid w:val="0"/>
        </w:rPr>
        <w:tab/>
        <w:t>Duration of FVRO or VRO generally</w:t>
      </w:r>
      <w:bookmarkEnd w:id="89"/>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Ednotesubsection"/>
      </w:pPr>
      <w:r>
        <w:tab/>
        <w:t>[(5)</w:t>
      </w:r>
      <w:r>
        <w:tab/>
        <w:t>deleted]</w:t>
      </w:r>
    </w:p>
    <w:p>
      <w:pPr>
        <w:pStyle w:val="Footnotesection"/>
        <w:ind w:left="890" w:hanging="890"/>
      </w:pPr>
      <w:r>
        <w:tab/>
        <w:t>[Section 16 amended by No. 38 of 2004 s. 14; No. 32 of 2011 s. 6; No. 49 of 2016 s. 25.]</w:t>
      </w:r>
    </w:p>
    <w:p>
      <w:pPr>
        <w:pStyle w:val="Heading5"/>
      </w:pPr>
      <w:bookmarkStart w:id="90" w:name="_Toc486427188"/>
      <w:bookmarkStart w:id="91" w:name="_Toc474232010"/>
      <w:r>
        <w:rPr>
          <w:rStyle w:val="CharSectno"/>
        </w:rPr>
        <w:t>16A</w:t>
      </w:r>
      <w:r>
        <w:t>.</w:t>
      </w:r>
      <w:r>
        <w:tab/>
        <w:t>Duration of FVRO</w:t>
      </w:r>
      <w:bookmarkEnd w:id="90"/>
    </w:p>
    <w:p>
      <w:pPr>
        <w:pStyle w:val="Subsection"/>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Subsection"/>
      </w:pPr>
      <w:r>
        <w:tab/>
        <w:t>(4)</w:t>
      </w:r>
      <w:r>
        <w:tab/>
        <w:t>For the purposes of subsection (3), the date on which the final order comes into force may be a date on which the respondent is in prison.</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by No. 49 of 2016 s. 26.]</w:t>
      </w:r>
    </w:p>
    <w:p>
      <w:pPr>
        <w:pStyle w:val="Heading5"/>
      </w:pPr>
      <w:bookmarkStart w:id="92" w:name="_Toc486427189"/>
      <w:r>
        <w:rPr>
          <w:rStyle w:val="CharSectno"/>
        </w:rPr>
        <w:t>16B</w:t>
      </w:r>
      <w:r>
        <w:t>.</w:t>
      </w:r>
      <w:r>
        <w:tab/>
        <w:t>Duration of VRO</w:t>
      </w:r>
      <w:bookmarkEnd w:id="92"/>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by No. 49 of 2016 s. 26.]</w:t>
      </w:r>
    </w:p>
    <w:p>
      <w:pPr>
        <w:pStyle w:val="Heading3"/>
        <w:rPr>
          <w:snapToGrid w:val="0"/>
        </w:rPr>
      </w:pPr>
      <w:bookmarkStart w:id="93" w:name="_Toc485888009"/>
      <w:bookmarkStart w:id="94" w:name="_Toc486425013"/>
      <w:bookmarkStart w:id="95" w:name="_Toc486427190"/>
      <w:r>
        <w:rPr>
          <w:rStyle w:val="CharDivNo"/>
        </w:rPr>
        <w:t>Division 2</w:t>
      </w:r>
      <w:r>
        <w:rPr>
          <w:snapToGrid w:val="0"/>
        </w:rPr>
        <w:t> — </w:t>
      </w:r>
      <w:r>
        <w:rPr>
          <w:rStyle w:val="CharDivText"/>
        </w:rPr>
        <w:t>Telephone applications</w:t>
      </w:r>
      <w:bookmarkEnd w:id="91"/>
      <w:bookmarkEnd w:id="93"/>
      <w:bookmarkEnd w:id="94"/>
      <w:bookmarkEnd w:id="95"/>
      <w:r>
        <w:rPr>
          <w:rStyle w:val="CharDivText"/>
        </w:rPr>
        <w:t xml:space="preserve"> </w:t>
      </w:r>
    </w:p>
    <w:p>
      <w:pPr>
        <w:pStyle w:val="Heading5"/>
        <w:rPr>
          <w:snapToGrid w:val="0"/>
        </w:rPr>
      </w:pPr>
      <w:bookmarkStart w:id="96" w:name="_Toc486427191"/>
      <w:r>
        <w:rPr>
          <w:rStyle w:val="CharSectno"/>
        </w:rPr>
        <w:t>17</w:t>
      </w:r>
      <w:r>
        <w:rPr>
          <w:snapToGrid w:val="0"/>
        </w:rPr>
        <w:t>.</w:t>
      </w:r>
      <w:r>
        <w:rPr>
          <w:snapToGrid w:val="0"/>
        </w:rPr>
        <w:tab/>
        <w:t>Authorised magistrates</w:t>
      </w:r>
      <w:bookmarkEnd w:id="96"/>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97" w:name="_Toc486427192"/>
      <w:r>
        <w:rPr>
          <w:rStyle w:val="CharSectno"/>
        </w:rPr>
        <w:t>18</w:t>
      </w:r>
      <w:r>
        <w:t>.</w:t>
      </w:r>
      <w:r>
        <w:tab/>
        <w:t>Who can apply</w:t>
      </w:r>
      <w:bookmarkEnd w:id="97"/>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 No. 49 of 2016 s. 27.]</w:t>
      </w:r>
    </w:p>
    <w:p>
      <w:pPr>
        <w:pStyle w:val="Heading5"/>
        <w:rPr>
          <w:snapToGrid w:val="0"/>
        </w:rPr>
      </w:pPr>
      <w:bookmarkStart w:id="98" w:name="_Toc486427193"/>
      <w:r>
        <w:rPr>
          <w:rStyle w:val="CharSectno"/>
        </w:rPr>
        <w:t>19</w:t>
      </w:r>
      <w:r>
        <w:rPr>
          <w:snapToGrid w:val="0"/>
        </w:rPr>
        <w:t>.</w:t>
      </w:r>
      <w:r>
        <w:rPr>
          <w:snapToGrid w:val="0"/>
        </w:rPr>
        <w:tab/>
        <w:t>How to make telephone application</w:t>
      </w:r>
      <w:bookmarkEnd w:id="98"/>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by No. 49 of 2016 s. 28.]</w:t>
      </w:r>
    </w:p>
    <w:p>
      <w:pPr>
        <w:pStyle w:val="Heading5"/>
        <w:rPr>
          <w:snapToGrid w:val="0"/>
        </w:rPr>
      </w:pPr>
      <w:bookmarkStart w:id="99" w:name="_Toc486427194"/>
      <w:r>
        <w:rPr>
          <w:rStyle w:val="CharSectno"/>
        </w:rPr>
        <w:t>20</w:t>
      </w:r>
      <w:r>
        <w:rPr>
          <w:snapToGrid w:val="0"/>
        </w:rPr>
        <w:t>.</w:t>
      </w:r>
      <w:r>
        <w:rPr>
          <w:snapToGrid w:val="0"/>
        </w:rPr>
        <w:tab/>
        <w:t>When telephone application may be heard</w:t>
      </w:r>
      <w:bookmarkEnd w:id="99"/>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by No. 38 of 2004 s. 18(5); No. 49 of 2016 s. 29.]</w:t>
      </w:r>
    </w:p>
    <w:p>
      <w:pPr>
        <w:pStyle w:val="Heading5"/>
        <w:rPr>
          <w:snapToGrid w:val="0"/>
        </w:rPr>
      </w:pPr>
      <w:bookmarkStart w:id="100" w:name="_Toc486427195"/>
      <w:r>
        <w:rPr>
          <w:rStyle w:val="CharSectno"/>
        </w:rPr>
        <w:t>21</w:t>
      </w:r>
      <w:r>
        <w:rPr>
          <w:snapToGrid w:val="0"/>
        </w:rPr>
        <w:t>.</w:t>
      </w:r>
      <w:r>
        <w:rPr>
          <w:snapToGrid w:val="0"/>
        </w:rPr>
        <w:tab/>
        <w:t>How hearing to be conducted</w:t>
      </w:r>
      <w:bookmarkEnd w:id="100"/>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by No. 38 of 2004 s. 18(6).]</w:t>
      </w:r>
    </w:p>
    <w:p>
      <w:pPr>
        <w:pStyle w:val="Ednotesection"/>
      </w:pPr>
      <w:r>
        <w:t>[</w:t>
      </w:r>
      <w:r>
        <w:rPr>
          <w:b/>
        </w:rPr>
        <w:t>22.</w:t>
      </w:r>
      <w:r>
        <w:tab/>
        <w:t>Deleted by No. 38 of 2004 s. 43(3).]</w:t>
      </w:r>
    </w:p>
    <w:p>
      <w:pPr>
        <w:pStyle w:val="Heading5"/>
        <w:keepNext w:val="0"/>
        <w:keepLines w:val="0"/>
        <w:rPr>
          <w:snapToGrid w:val="0"/>
        </w:rPr>
      </w:pPr>
      <w:bookmarkStart w:id="101" w:name="_Toc486427196"/>
      <w:r>
        <w:rPr>
          <w:rStyle w:val="CharSectno"/>
        </w:rPr>
        <w:t>23</w:t>
      </w:r>
      <w:r>
        <w:rPr>
          <w:snapToGrid w:val="0"/>
        </w:rPr>
        <w:t>.</w:t>
      </w:r>
      <w:r>
        <w:rPr>
          <w:snapToGrid w:val="0"/>
        </w:rPr>
        <w:tab/>
        <w:t>Orders at telephone hearing</w:t>
      </w:r>
      <w:bookmarkEnd w:id="101"/>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by No. 59 of 2004 s. 123.] </w:t>
      </w:r>
    </w:p>
    <w:p>
      <w:pPr>
        <w:pStyle w:val="Heading5"/>
        <w:rPr>
          <w:snapToGrid w:val="0"/>
        </w:rPr>
      </w:pPr>
      <w:bookmarkStart w:id="102" w:name="_Toc486427197"/>
      <w:r>
        <w:rPr>
          <w:rStyle w:val="CharSectno"/>
        </w:rPr>
        <w:t>24</w:t>
      </w:r>
      <w:r>
        <w:rPr>
          <w:snapToGrid w:val="0"/>
        </w:rPr>
        <w:t>.</w:t>
      </w:r>
      <w:r>
        <w:rPr>
          <w:snapToGrid w:val="0"/>
        </w:rPr>
        <w:tab/>
        <w:t>Telephone order to be prepared and served</w:t>
      </w:r>
      <w:bookmarkEnd w:id="102"/>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103" w:name="_Toc474232018"/>
      <w:bookmarkStart w:id="104" w:name="_Toc485888017"/>
      <w:bookmarkStart w:id="105" w:name="_Toc486425021"/>
      <w:bookmarkStart w:id="106" w:name="_Toc486427198"/>
      <w:r>
        <w:rPr>
          <w:rStyle w:val="CharDivNo"/>
        </w:rPr>
        <w:t>Division 3</w:t>
      </w:r>
      <w:r>
        <w:rPr>
          <w:snapToGrid w:val="0"/>
        </w:rPr>
        <w:t> — </w:t>
      </w:r>
      <w:r>
        <w:rPr>
          <w:rStyle w:val="CharDivText"/>
        </w:rPr>
        <w:t>Applications in person to a court</w:t>
      </w:r>
      <w:bookmarkEnd w:id="103"/>
      <w:bookmarkEnd w:id="104"/>
      <w:bookmarkEnd w:id="105"/>
      <w:bookmarkEnd w:id="106"/>
    </w:p>
    <w:p>
      <w:pPr>
        <w:pStyle w:val="Footnoteheading"/>
        <w:tabs>
          <w:tab w:val="left" w:pos="851"/>
        </w:tabs>
      </w:pPr>
      <w:r>
        <w:tab/>
        <w:t>[Heading amended by No. 38 of 2004 s. 18(7).]</w:t>
      </w:r>
    </w:p>
    <w:p>
      <w:pPr>
        <w:pStyle w:val="zHeading5"/>
      </w:pPr>
      <w:bookmarkStart w:id="107" w:name="_Toc486427199"/>
      <w:r>
        <w:rPr>
          <w:rStyle w:val="CharSectno"/>
        </w:rPr>
        <w:t>24A</w:t>
      </w:r>
      <w:r>
        <w:t>.</w:t>
      </w:r>
      <w:r>
        <w:tab/>
        <w:t>Application for FVRO</w:t>
      </w:r>
      <w:bookmarkEnd w:id="107"/>
    </w:p>
    <w:p>
      <w:pPr>
        <w:pStyle w:val="zSubsection"/>
      </w:pPr>
      <w:r>
        <w:tab/>
        <w:t>(1)</w:t>
      </w:r>
      <w:r>
        <w:tab/>
        <w:t>An application for an FVRO may be made in person by —</w:t>
      </w:r>
    </w:p>
    <w:p>
      <w:pPr>
        <w:pStyle w:val="zIndenta"/>
      </w:pPr>
      <w:r>
        <w:tab/>
        <w:t>(a)</w:t>
      </w:r>
      <w:r>
        <w:tab/>
        <w:t xml:space="preserve">the person seeking to be protected, if the person is 16 years of age or older; or </w:t>
      </w:r>
    </w:p>
    <w:p>
      <w:pPr>
        <w:pStyle w:val="zIndenta"/>
      </w:pPr>
      <w:r>
        <w:tab/>
        <w:t>(b)</w:t>
      </w:r>
      <w:r>
        <w:tab/>
        <w:t>a police officer on behalf of the person seeking to be protected, regardless of the age of the person.</w:t>
      </w:r>
    </w:p>
    <w:p>
      <w:pPr>
        <w:pStyle w:val="zSubsection"/>
      </w:pPr>
      <w:r>
        <w:tab/>
        <w:t>(2)</w:t>
      </w:r>
      <w:r>
        <w:tab/>
        <w:t>An application for an FVRO may also be made —</w:t>
      </w:r>
    </w:p>
    <w:p>
      <w:pPr>
        <w:pStyle w:val="zIndenta"/>
      </w:pPr>
      <w:r>
        <w:tab/>
        <w:t>(a)</w:t>
      </w:r>
      <w:r>
        <w:tab/>
        <w:t>if the person seeking to be protected is a child, by a parent or guardian of the child, or a child welfare officer, on behalf of the child; or</w:t>
      </w:r>
    </w:p>
    <w:p>
      <w:pPr>
        <w:pStyle w:val="z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zSubsection"/>
      </w:pPr>
      <w:r>
        <w:tab/>
        <w:t>(3)</w:t>
      </w:r>
      <w:r>
        <w:tab/>
        <w:t xml:space="preserve">An application for an FVRO made in person is to be made in the prescribed form to — </w:t>
      </w:r>
    </w:p>
    <w:p>
      <w:pPr>
        <w:pStyle w:val="zIndenta"/>
      </w:pPr>
      <w:r>
        <w:tab/>
        <w:t>(a)</w:t>
      </w:r>
      <w:r>
        <w:tab/>
        <w:t>if the respondent is a child, the Children’s Court; or</w:t>
      </w:r>
    </w:p>
    <w:p>
      <w:pPr>
        <w:pStyle w:val="zIndenta"/>
      </w:pPr>
      <w:r>
        <w:tab/>
        <w:t>(b)</w:t>
      </w:r>
      <w:r>
        <w:tab/>
        <w:t>if the respondent is not a child and the person seeking to be protected is a child, the Children’s Court or the Magistrates Court; or</w:t>
      </w:r>
    </w:p>
    <w:p>
      <w:pPr>
        <w:pStyle w:val="zIndenta"/>
      </w:pPr>
      <w:r>
        <w:tab/>
        <w:t>(c)</w:t>
      </w:r>
      <w:r>
        <w:tab/>
        <w:t>otherwise, the Magistrates Court.</w:t>
      </w:r>
    </w:p>
    <w:p>
      <w:pPr>
        <w:pStyle w:val="Footnotesection"/>
        <w:rPr>
          <w:rStyle w:val="CharSectno"/>
        </w:rPr>
      </w:pPr>
      <w:r>
        <w:tab/>
        <w:t>[Section 24A inserted by No. 49 of 2016 s. 30.]</w:t>
      </w:r>
    </w:p>
    <w:p>
      <w:pPr>
        <w:pStyle w:val="Heading5"/>
      </w:pPr>
      <w:bookmarkStart w:id="108" w:name="_Toc486427200"/>
      <w:r>
        <w:rPr>
          <w:rStyle w:val="CharSectno"/>
        </w:rPr>
        <w:t>25</w:t>
      </w:r>
      <w:r>
        <w:t>.</w:t>
      </w:r>
      <w:r>
        <w:tab/>
        <w:t>Application for VRO</w:t>
      </w:r>
      <w:bookmarkEnd w:id="108"/>
    </w:p>
    <w:p>
      <w:pPr>
        <w:pStyle w:val="Subsection"/>
      </w:pPr>
      <w:r>
        <w:tab/>
        <w:t>(1)</w:t>
      </w:r>
      <w:r>
        <w:tab/>
        <w:t>An application for a VRO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by No. 22 of 2000 s. 7; amended by No. 38 of 2004 s. 55; No. 59 of 2004 s. 124; No. 32 of 2011 s. 7; No. 14 of 2013 s. 4; No. 49 of 2016 s. 31.]</w:t>
      </w:r>
    </w:p>
    <w:p>
      <w:pPr>
        <w:pStyle w:val="Heading5"/>
        <w:rPr>
          <w:snapToGrid w:val="0"/>
        </w:rPr>
      </w:pPr>
      <w:bookmarkStart w:id="109" w:name="_Toc486427201"/>
      <w:r>
        <w:rPr>
          <w:rStyle w:val="CharSectno"/>
        </w:rPr>
        <w:t>26</w:t>
      </w:r>
      <w:r>
        <w:rPr>
          <w:snapToGrid w:val="0"/>
        </w:rPr>
        <w:t>.</w:t>
      </w:r>
      <w:r>
        <w:rPr>
          <w:snapToGrid w:val="0"/>
        </w:rPr>
        <w:tab/>
        <w:t>Applicant to choose whether to have hearing in absence of respondent</w:t>
      </w:r>
      <w:bookmarkEnd w:id="109"/>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No. 49 of 2016 s. 32.] </w:t>
      </w:r>
    </w:p>
    <w:p>
      <w:pPr>
        <w:pStyle w:val="Heading5"/>
        <w:rPr>
          <w:snapToGrid w:val="0"/>
        </w:rPr>
      </w:pPr>
      <w:bookmarkStart w:id="110" w:name="_Toc486427202"/>
      <w:r>
        <w:rPr>
          <w:rStyle w:val="CharSectno"/>
        </w:rPr>
        <w:t>27</w:t>
      </w:r>
      <w:r>
        <w:rPr>
          <w:snapToGrid w:val="0"/>
        </w:rPr>
        <w:t>.</w:t>
      </w:r>
      <w:r>
        <w:rPr>
          <w:snapToGrid w:val="0"/>
        </w:rPr>
        <w:tab/>
        <w:t>Attendance at hearing in absence of respondent</w:t>
      </w:r>
      <w:bookmarkEnd w:id="110"/>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111" w:name="_Toc486427203"/>
      <w:r>
        <w:rPr>
          <w:rStyle w:val="CharSectno"/>
        </w:rPr>
        <w:t>28</w:t>
      </w:r>
      <w:r>
        <w:rPr>
          <w:snapToGrid w:val="0"/>
        </w:rPr>
        <w:t>.</w:t>
      </w:r>
      <w:r>
        <w:rPr>
          <w:snapToGrid w:val="0"/>
        </w:rPr>
        <w:tab/>
        <w:t>Affidavit evidence</w:t>
      </w:r>
      <w:bookmarkEnd w:id="111"/>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by No. 38 of 2004 s. 16.]</w:t>
      </w:r>
    </w:p>
    <w:p>
      <w:pPr>
        <w:pStyle w:val="Heading5"/>
        <w:rPr>
          <w:snapToGrid w:val="0"/>
        </w:rPr>
      </w:pPr>
      <w:bookmarkStart w:id="112" w:name="_Toc486427204"/>
      <w:r>
        <w:rPr>
          <w:rStyle w:val="CharSectno"/>
        </w:rPr>
        <w:t>29</w:t>
      </w:r>
      <w:r>
        <w:rPr>
          <w:snapToGrid w:val="0"/>
        </w:rPr>
        <w:t>.</w:t>
      </w:r>
      <w:r>
        <w:rPr>
          <w:snapToGrid w:val="0"/>
        </w:rPr>
        <w:tab/>
        <w:t>Order at hearing in absence of respondent</w:t>
      </w:r>
      <w:bookmarkEnd w:id="112"/>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by No. 38 of 2004 s. 17; No. 59 of 2004 s. 123; No. 49 of 2016 s. 33.]</w:t>
      </w:r>
    </w:p>
    <w:p>
      <w:pPr>
        <w:pStyle w:val="Heading5"/>
        <w:spacing w:before="180"/>
        <w:rPr>
          <w:snapToGrid w:val="0"/>
        </w:rPr>
      </w:pPr>
      <w:bookmarkStart w:id="113" w:name="_Toc486427205"/>
      <w:r>
        <w:rPr>
          <w:rStyle w:val="CharSectno"/>
        </w:rPr>
        <w:t>30</w:t>
      </w:r>
      <w:r>
        <w:rPr>
          <w:snapToGrid w:val="0"/>
        </w:rPr>
        <w:t>.</w:t>
      </w:r>
      <w:r>
        <w:rPr>
          <w:snapToGrid w:val="0"/>
        </w:rPr>
        <w:tab/>
        <w:t>Order to be prepared and served</w:t>
      </w:r>
      <w:bookmarkEnd w:id="113"/>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114" w:name="_Toc474232025"/>
      <w:bookmarkStart w:id="115" w:name="_Toc485888025"/>
      <w:bookmarkStart w:id="116" w:name="_Toc486425029"/>
      <w:bookmarkStart w:id="117" w:name="_Toc486427206"/>
      <w:r>
        <w:rPr>
          <w:rStyle w:val="CharDivNo"/>
        </w:rPr>
        <w:t>Division 3A</w:t>
      </w:r>
      <w:r>
        <w:t> — </w:t>
      </w:r>
      <w:r>
        <w:rPr>
          <w:rStyle w:val="CharDivText"/>
        </w:rPr>
        <w:t>Police officers may make police orders where family violence</w:t>
      </w:r>
      <w:bookmarkEnd w:id="114"/>
      <w:bookmarkEnd w:id="115"/>
      <w:bookmarkEnd w:id="116"/>
      <w:bookmarkEnd w:id="117"/>
    </w:p>
    <w:p>
      <w:pPr>
        <w:pStyle w:val="Footnoteheading"/>
        <w:tabs>
          <w:tab w:val="left" w:pos="851"/>
        </w:tabs>
      </w:pPr>
      <w:r>
        <w:tab/>
        <w:t>[Heading inserted by No. 38 of 2004 s. 18(1); amended by No. 49 of 2016 s. 34.]</w:t>
      </w:r>
    </w:p>
    <w:p>
      <w:pPr>
        <w:pStyle w:val="Heading5"/>
        <w:spacing w:before="180"/>
      </w:pPr>
      <w:bookmarkStart w:id="118" w:name="_Toc486427207"/>
      <w:r>
        <w:rPr>
          <w:rStyle w:val="CharSectno"/>
        </w:rPr>
        <w:t>30A</w:t>
      </w:r>
      <w:r>
        <w:t>.</w:t>
      </w:r>
      <w:r>
        <w:tab/>
        <w:t>When police order may be made</w:t>
      </w:r>
      <w:bookmarkEnd w:id="118"/>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pPr>
      <w:r>
        <w:tab/>
        <w:t>(a)</w:t>
      </w:r>
      <w:r>
        <w:tab/>
        <w:t xml:space="preserve">if the officer reasonably believes that — </w:t>
      </w:r>
    </w:p>
    <w:p>
      <w:pPr>
        <w:pStyle w:val="Indenti"/>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 amended by No. 49 of 2016 s. 35.]</w:t>
      </w:r>
    </w:p>
    <w:p>
      <w:pPr>
        <w:pStyle w:val="Heading5"/>
      </w:pPr>
      <w:bookmarkStart w:id="119" w:name="_Toc486427208"/>
      <w:r>
        <w:rPr>
          <w:rStyle w:val="CharSectno"/>
        </w:rPr>
        <w:t>30B</w:t>
      </w:r>
      <w:r>
        <w:t>.</w:t>
      </w:r>
      <w:r>
        <w:tab/>
        <w:t>Matters to be considered by police officer generally</w:t>
      </w:r>
      <w:bookmarkEnd w:id="119"/>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 No. 49 of 2016 s. 36.]</w:t>
      </w:r>
    </w:p>
    <w:p>
      <w:pPr>
        <w:pStyle w:val="Heading5"/>
      </w:pPr>
      <w:bookmarkStart w:id="120" w:name="_Toc486427209"/>
      <w:r>
        <w:rPr>
          <w:rStyle w:val="CharSectno"/>
        </w:rPr>
        <w:t>30C</w:t>
      </w:r>
      <w:r>
        <w:t>.</w:t>
      </w:r>
      <w:r>
        <w:tab/>
        <w:t>Restraints that may be imposed</w:t>
      </w:r>
      <w:bookmarkEnd w:id="120"/>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 amended by No. 49 of 2016 s. 37.]</w:t>
      </w:r>
    </w:p>
    <w:p>
      <w:pPr>
        <w:pStyle w:val="Heading5"/>
      </w:pPr>
      <w:bookmarkStart w:id="121" w:name="_Toc486427210"/>
      <w:r>
        <w:rPr>
          <w:rStyle w:val="CharSectno"/>
        </w:rPr>
        <w:t>30D</w:t>
      </w:r>
      <w:r>
        <w:t>.</w:t>
      </w:r>
      <w:r>
        <w:tab/>
        <w:t>Police orders against children</w:t>
      </w:r>
      <w:bookmarkEnd w:id="121"/>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8; No. 49 of 2016 s. 38.]</w:t>
      </w:r>
    </w:p>
    <w:p>
      <w:pPr>
        <w:pStyle w:val="Heading5"/>
      </w:pPr>
      <w:bookmarkStart w:id="122" w:name="_Toc486427211"/>
      <w:r>
        <w:rPr>
          <w:rStyle w:val="CharSectno"/>
        </w:rPr>
        <w:t>30E</w:t>
      </w:r>
      <w:r>
        <w:t>.</w:t>
      </w:r>
      <w:r>
        <w:tab/>
        <w:t>Police order to be served and explained</w:t>
      </w:r>
      <w:bookmarkEnd w:id="122"/>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16 years of age or older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 No. 49 of 2016 s. 39.]</w:t>
      </w:r>
    </w:p>
    <w:p>
      <w:pPr>
        <w:pStyle w:val="Heading5"/>
      </w:pPr>
      <w:bookmarkStart w:id="123" w:name="_Toc486427212"/>
      <w:r>
        <w:rPr>
          <w:rStyle w:val="CharSectno"/>
        </w:rPr>
        <w:t>30F</w:t>
      </w:r>
      <w:r>
        <w:t>.</w:t>
      </w:r>
      <w:r>
        <w:tab/>
        <w:t>Duration of police orders</w:t>
      </w:r>
      <w:bookmarkEnd w:id="123"/>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124" w:name="_Toc486427213"/>
      <w:r>
        <w:rPr>
          <w:rStyle w:val="CharSectno"/>
        </w:rPr>
        <w:t>30H</w:t>
      </w:r>
      <w:r>
        <w:t>.</w:t>
      </w:r>
      <w:r>
        <w:tab/>
        <w:t>Order not to be renewed by police officer</w:t>
      </w:r>
      <w:bookmarkEnd w:id="124"/>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by No. 38 of 2004 s. 18(1).]</w:t>
      </w:r>
    </w:p>
    <w:p>
      <w:pPr>
        <w:pStyle w:val="Heading5"/>
      </w:pPr>
      <w:bookmarkStart w:id="125" w:name="_Toc486427214"/>
      <w:r>
        <w:rPr>
          <w:rStyle w:val="CharSectno"/>
        </w:rPr>
        <w:t>30I</w:t>
      </w:r>
      <w:r>
        <w:t>.</w:t>
      </w:r>
      <w:r>
        <w:tab/>
        <w:t>Review of Division</w:t>
      </w:r>
      <w:bookmarkEnd w:id="125"/>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by No. 38 of 2004 s. 18(1).]</w:t>
      </w:r>
    </w:p>
    <w:p>
      <w:pPr>
        <w:pStyle w:val="Heading3"/>
        <w:rPr>
          <w:snapToGrid w:val="0"/>
        </w:rPr>
      </w:pPr>
      <w:bookmarkStart w:id="126" w:name="_Toc474232034"/>
      <w:bookmarkStart w:id="127" w:name="_Toc485888034"/>
      <w:bookmarkStart w:id="128" w:name="_Toc486425038"/>
      <w:bookmarkStart w:id="129" w:name="_Toc486427215"/>
      <w:r>
        <w:rPr>
          <w:rStyle w:val="CharDivNo"/>
        </w:rPr>
        <w:t>Division 4</w:t>
      </w:r>
      <w:r>
        <w:rPr>
          <w:snapToGrid w:val="0"/>
        </w:rPr>
        <w:t> — </w:t>
      </w:r>
      <w:r>
        <w:rPr>
          <w:rStyle w:val="CharDivText"/>
        </w:rPr>
        <w:t>Procedure when interim order made</w:t>
      </w:r>
      <w:bookmarkEnd w:id="126"/>
      <w:bookmarkEnd w:id="127"/>
      <w:bookmarkEnd w:id="128"/>
      <w:bookmarkEnd w:id="129"/>
      <w:r>
        <w:rPr>
          <w:rStyle w:val="CharDivText"/>
        </w:rPr>
        <w:t xml:space="preserve"> </w:t>
      </w:r>
    </w:p>
    <w:p>
      <w:pPr>
        <w:pStyle w:val="Heading5"/>
      </w:pPr>
      <w:bookmarkStart w:id="130" w:name="_Toc486427216"/>
      <w:r>
        <w:rPr>
          <w:rStyle w:val="CharSectno"/>
        </w:rPr>
        <w:t>31A</w:t>
      </w:r>
      <w:r>
        <w:t>.</w:t>
      </w:r>
      <w:r>
        <w:tab/>
        <w:t>Term used: respondent</w:t>
      </w:r>
      <w:bookmarkEnd w:id="130"/>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by No. 32 of 2011 s. 11.]</w:t>
      </w:r>
    </w:p>
    <w:p>
      <w:pPr>
        <w:pStyle w:val="Heading5"/>
        <w:rPr>
          <w:snapToGrid w:val="0"/>
        </w:rPr>
      </w:pPr>
      <w:bookmarkStart w:id="131" w:name="_Toc486427217"/>
      <w:r>
        <w:rPr>
          <w:rStyle w:val="CharSectno"/>
        </w:rPr>
        <w:t>31</w:t>
      </w:r>
      <w:r>
        <w:rPr>
          <w:snapToGrid w:val="0"/>
        </w:rPr>
        <w:t>.</w:t>
      </w:r>
      <w:r>
        <w:rPr>
          <w:snapToGrid w:val="0"/>
        </w:rPr>
        <w:tab/>
        <w:t>21 days for respondent to object</w:t>
      </w:r>
      <w:bookmarkEnd w:id="131"/>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132" w:name="_Toc486427218"/>
      <w:r>
        <w:rPr>
          <w:rStyle w:val="CharSectno"/>
        </w:rPr>
        <w:t>32</w:t>
      </w:r>
      <w:r>
        <w:rPr>
          <w:snapToGrid w:val="0"/>
        </w:rPr>
        <w:t>.</w:t>
      </w:r>
      <w:r>
        <w:rPr>
          <w:snapToGrid w:val="0"/>
        </w:rPr>
        <w:tab/>
        <w:t>Respondent does not object to final order being made</w:t>
      </w:r>
      <w:bookmarkEnd w:id="132"/>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133" w:name="_Toc486427219"/>
      <w:r>
        <w:rPr>
          <w:rStyle w:val="CharSectno"/>
        </w:rPr>
        <w:t>33</w:t>
      </w:r>
      <w:r>
        <w:rPr>
          <w:snapToGrid w:val="0"/>
        </w:rPr>
        <w:t>.</w:t>
      </w:r>
      <w:r>
        <w:rPr>
          <w:snapToGrid w:val="0"/>
        </w:rPr>
        <w:tab/>
        <w:t>Respondent objects to final order being made</w:t>
      </w:r>
      <w:bookmarkEnd w:id="133"/>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134" w:name="_Toc474232039"/>
      <w:bookmarkStart w:id="135" w:name="_Toc485888039"/>
      <w:bookmarkStart w:id="136" w:name="_Toc486425043"/>
      <w:bookmarkStart w:id="137" w:name="_Toc486427220"/>
      <w:r>
        <w:rPr>
          <w:rStyle w:val="CharPartNo"/>
        </w:rPr>
        <w:t>Part 3</w:t>
      </w:r>
      <w:r>
        <w:rPr>
          <w:rStyle w:val="CharDivNo"/>
        </w:rPr>
        <w:t> </w:t>
      </w:r>
      <w:r>
        <w:t>—</w:t>
      </w:r>
      <w:r>
        <w:rPr>
          <w:rStyle w:val="CharDivText"/>
        </w:rPr>
        <w:t> </w:t>
      </w:r>
      <w:r>
        <w:rPr>
          <w:rStyle w:val="CharPartText"/>
        </w:rPr>
        <w:t>Misconduct restraining order</w:t>
      </w:r>
      <w:bookmarkEnd w:id="134"/>
      <w:bookmarkEnd w:id="135"/>
      <w:bookmarkEnd w:id="136"/>
      <w:bookmarkEnd w:id="137"/>
      <w:r>
        <w:rPr>
          <w:rStyle w:val="CharPartText"/>
        </w:rPr>
        <w:t xml:space="preserve"> </w:t>
      </w:r>
    </w:p>
    <w:p>
      <w:pPr>
        <w:pStyle w:val="Heading5"/>
        <w:rPr>
          <w:snapToGrid w:val="0"/>
        </w:rPr>
      </w:pPr>
      <w:bookmarkStart w:id="138" w:name="_Toc486427221"/>
      <w:r>
        <w:rPr>
          <w:rStyle w:val="CharSectno"/>
        </w:rPr>
        <w:t>34</w:t>
      </w:r>
      <w:r>
        <w:rPr>
          <w:snapToGrid w:val="0"/>
        </w:rPr>
        <w:t>.</w:t>
      </w:r>
      <w:r>
        <w:rPr>
          <w:snapToGrid w:val="0"/>
        </w:rPr>
        <w:tab/>
        <w:t>Grounds for misconduct restraining order</w:t>
      </w:r>
      <w:bookmarkEnd w:id="138"/>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by No. 38 of 2004 s. 54 and 56; No. 49 of 2016 s. 40.]</w:t>
      </w:r>
    </w:p>
    <w:p>
      <w:pPr>
        <w:pStyle w:val="Heading5"/>
        <w:rPr>
          <w:snapToGrid w:val="0"/>
        </w:rPr>
      </w:pPr>
      <w:bookmarkStart w:id="139" w:name="_Toc486427222"/>
      <w:r>
        <w:rPr>
          <w:rStyle w:val="CharSectno"/>
        </w:rPr>
        <w:t>35</w:t>
      </w:r>
      <w:r>
        <w:rPr>
          <w:snapToGrid w:val="0"/>
        </w:rPr>
        <w:t>.</w:t>
      </w:r>
      <w:r>
        <w:rPr>
          <w:snapToGrid w:val="0"/>
        </w:rPr>
        <w:tab/>
        <w:t>Matters to be considered by court generally</w:t>
      </w:r>
      <w:bookmarkEnd w:id="139"/>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by No. 38 of 2004 s. 19, 54, 55, 56 and 57(5); No. 49 of 2016 s. 41.]</w:t>
      </w:r>
    </w:p>
    <w:p>
      <w:pPr>
        <w:pStyle w:val="Heading5"/>
      </w:pPr>
      <w:bookmarkStart w:id="140" w:name="_Toc486427223"/>
      <w:r>
        <w:rPr>
          <w:rStyle w:val="CharSectno"/>
        </w:rPr>
        <w:t>35A</w:t>
      </w:r>
      <w:r>
        <w:t>.</w:t>
      </w:r>
      <w:r>
        <w:tab/>
        <w:t>MROs not for persons in family relationship</w:t>
      </w:r>
      <w:bookmarkEnd w:id="140"/>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by No. 38 of 2004 s. 20; amended by No. 49 of 2016 s. 42.]</w:t>
      </w:r>
    </w:p>
    <w:p>
      <w:pPr>
        <w:pStyle w:val="Heading5"/>
        <w:rPr>
          <w:snapToGrid w:val="0"/>
        </w:rPr>
      </w:pPr>
      <w:bookmarkStart w:id="141" w:name="_Toc486427224"/>
      <w:r>
        <w:rPr>
          <w:rStyle w:val="CharSectno"/>
        </w:rPr>
        <w:t>36</w:t>
      </w:r>
      <w:r>
        <w:rPr>
          <w:snapToGrid w:val="0"/>
        </w:rPr>
        <w:t>.</w:t>
      </w:r>
      <w:r>
        <w:rPr>
          <w:snapToGrid w:val="0"/>
        </w:rPr>
        <w:tab/>
        <w:t>Restraints on respondent</w:t>
      </w:r>
      <w:bookmarkEnd w:id="141"/>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p>
    <w:p>
      <w:pPr>
        <w:pStyle w:val="Footnotesection"/>
        <w:ind w:left="890" w:hanging="890"/>
      </w:pPr>
      <w:r>
        <w:tab/>
        <w:t>[Section 36 amended by No. 38 of 2004 s. 21, 43(4), 54 and 56; No. 49 of 2016 s. 43.]</w:t>
      </w:r>
    </w:p>
    <w:p>
      <w:pPr>
        <w:pStyle w:val="Heading5"/>
        <w:rPr>
          <w:snapToGrid w:val="0"/>
        </w:rPr>
      </w:pPr>
      <w:bookmarkStart w:id="142" w:name="_Toc486427225"/>
      <w:r>
        <w:rPr>
          <w:rStyle w:val="CharSectno"/>
        </w:rPr>
        <w:t>37</w:t>
      </w:r>
      <w:r>
        <w:rPr>
          <w:snapToGrid w:val="0"/>
        </w:rPr>
        <w:t>.</w:t>
      </w:r>
      <w:r>
        <w:rPr>
          <w:snapToGrid w:val="0"/>
        </w:rPr>
        <w:tab/>
        <w:t>Duration of MRO</w:t>
      </w:r>
      <w:bookmarkEnd w:id="142"/>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by No. 49 of 2016 s. 44.]</w:t>
      </w:r>
    </w:p>
    <w:p>
      <w:pPr>
        <w:pStyle w:val="Heading5"/>
      </w:pPr>
      <w:bookmarkStart w:id="143" w:name="_Toc486427226"/>
      <w:r>
        <w:rPr>
          <w:rStyle w:val="CharSectno"/>
        </w:rPr>
        <w:t>38</w:t>
      </w:r>
      <w:r>
        <w:t>.</w:t>
      </w:r>
      <w:r>
        <w:tab/>
        <w:t>Application</w:t>
      </w:r>
      <w:bookmarkEnd w:id="143"/>
      <w:r>
        <w:t xml:space="preserve"> </w:t>
      </w:r>
    </w:p>
    <w:p>
      <w:pPr>
        <w:pStyle w:val="Subsection"/>
      </w:pPr>
      <w:r>
        <w:tab/>
        <w:t>(1)</w:t>
      </w:r>
      <w:r>
        <w:tab/>
        <w:t>An application for an MRO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 No. 49 of 2016 s. 45.]</w:t>
      </w:r>
    </w:p>
    <w:p>
      <w:pPr>
        <w:pStyle w:val="Heading5"/>
        <w:rPr>
          <w:snapToGrid w:val="0"/>
        </w:rPr>
      </w:pPr>
      <w:bookmarkStart w:id="144" w:name="_Toc486427227"/>
      <w:r>
        <w:rPr>
          <w:rStyle w:val="CharSectno"/>
        </w:rPr>
        <w:t>39</w:t>
      </w:r>
      <w:r>
        <w:rPr>
          <w:snapToGrid w:val="0"/>
        </w:rPr>
        <w:t>.</w:t>
      </w:r>
      <w:r>
        <w:rPr>
          <w:snapToGrid w:val="0"/>
        </w:rPr>
        <w:tab/>
      </w:r>
      <w:r>
        <w:t xml:space="preserve">Registrar </w:t>
      </w:r>
      <w:r>
        <w:rPr>
          <w:snapToGrid w:val="0"/>
        </w:rPr>
        <w:t>to fix hearing and issue summons</w:t>
      </w:r>
      <w:bookmarkEnd w:id="144"/>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No. 49 of 2016 s. 46.] </w:t>
      </w:r>
    </w:p>
    <w:p>
      <w:pPr>
        <w:pStyle w:val="Heading2"/>
      </w:pPr>
      <w:bookmarkStart w:id="145" w:name="_Toc474232047"/>
      <w:bookmarkStart w:id="146" w:name="_Toc485888047"/>
      <w:bookmarkStart w:id="147" w:name="_Toc486425051"/>
      <w:bookmarkStart w:id="148" w:name="_Toc486427228"/>
      <w:r>
        <w:rPr>
          <w:rStyle w:val="CharPartNo"/>
        </w:rPr>
        <w:t>Part 4</w:t>
      </w:r>
      <w:r>
        <w:t> — </w:t>
      </w:r>
      <w:r>
        <w:rPr>
          <w:rStyle w:val="CharPartText"/>
        </w:rPr>
        <w:t>Hearings and evidence</w:t>
      </w:r>
      <w:bookmarkEnd w:id="145"/>
      <w:bookmarkEnd w:id="146"/>
      <w:bookmarkEnd w:id="147"/>
      <w:bookmarkEnd w:id="148"/>
    </w:p>
    <w:p>
      <w:pPr>
        <w:pStyle w:val="Footnoteheading"/>
        <w:tabs>
          <w:tab w:val="left" w:pos="851"/>
        </w:tabs>
      </w:pPr>
      <w:r>
        <w:tab/>
        <w:t>[Heading amended by No. 38 of 2004 s. 22.]</w:t>
      </w:r>
    </w:p>
    <w:p>
      <w:pPr>
        <w:pStyle w:val="Heading3"/>
        <w:rPr>
          <w:snapToGrid w:val="0"/>
        </w:rPr>
      </w:pPr>
      <w:bookmarkStart w:id="149" w:name="_Toc474232048"/>
      <w:bookmarkStart w:id="150" w:name="_Toc485888048"/>
      <w:bookmarkStart w:id="151" w:name="_Toc486425052"/>
      <w:bookmarkStart w:id="152" w:name="_Toc486427229"/>
      <w:r>
        <w:rPr>
          <w:rStyle w:val="CharDivNo"/>
        </w:rPr>
        <w:t>Division 1</w:t>
      </w:r>
      <w:r>
        <w:rPr>
          <w:snapToGrid w:val="0"/>
        </w:rPr>
        <w:t> — </w:t>
      </w:r>
      <w:r>
        <w:rPr>
          <w:rStyle w:val="CharDivText"/>
        </w:rPr>
        <w:t>Mention hearings</w:t>
      </w:r>
      <w:bookmarkEnd w:id="149"/>
      <w:bookmarkEnd w:id="150"/>
      <w:bookmarkEnd w:id="151"/>
      <w:bookmarkEnd w:id="152"/>
      <w:r>
        <w:rPr>
          <w:rStyle w:val="CharDivText"/>
        </w:rPr>
        <w:t xml:space="preserve"> </w:t>
      </w:r>
    </w:p>
    <w:p>
      <w:pPr>
        <w:pStyle w:val="Heading5"/>
        <w:spacing w:before="200"/>
        <w:rPr>
          <w:snapToGrid w:val="0"/>
        </w:rPr>
      </w:pPr>
      <w:bookmarkStart w:id="153" w:name="_Toc486427230"/>
      <w:r>
        <w:rPr>
          <w:rStyle w:val="CharSectno"/>
        </w:rPr>
        <w:t>40</w:t>
      </w:r>
      <w:r>
        <w:rPr>
          <w:snapToGrid w:val="0"/>
        </w:rPr>
        <w:t>.</w:t>
      </w:r>
      <w:r>
        <w:rPr>
          <w:snapToGrid w:val="0"/>
        </w:rPr>
        <w:tab/>
        <w:t>Attendance at hearing</w:t>
      </w:r>
      <w:bookmarkEnd w:id="153"/>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rPr>
          <w:snapToGrid w:val="0"/>
        </w:rPr>
      </w:pPr>
      <w:bookmarkStart w:id="154" w:name="_Toc486427231"/>
      <w:r>
        <w:rPr>
          <w:rStyle w:val="CharSectno"/>
        </w:rPr>
        <w:t>41</w:t>
      </w:r>
      <w:r>
        <w:rPr>
          <w:snapToGrid w:val="0"/>
        </w:rPr>
        <w:t>.</w:t>
      </w:r>
      <w:r>
        <w:rPr>
          <w:snapToGrid w:val="0"/>
        </w:rPr>
        <w:tab/>
        <w:t>Consent order or final order hearing to be fixed</w:t>
      </w:r>
      <w:bookmarkEnd w:id="154"/>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No. 49 of 2016 s. 47.] </w:t>
      </w:r>
    </w:p>
    <w:p>
      <w:pPr>
        <w:pStyle w:val="Heading3"/>
        <w:rPr>
          <w:snapToGrid w:val="0"/>
        </w:rPr>
      </w:pPr>
      <w:bookmarkStart w:id="155" w:name="_Toc474232051"/>
      <w:bookmarkStart w:id="156" w:name="_Toc485888051"/>
      <w:bookmarkStart w:id="157" w:name="_Toc486425055"/>
      <w:bookmarkStart w:id="158" w:name="_Toc486427232"/>
      <w:r>
        <w:rPr>
          <w:rStyle w:val="CharDivNo"/>
        </w:rPr>
        <w:t>Division 2</w:t>
      </w:r>
      <w:r>
        <w:rPr>
          <w:snapToGrid w:val="0"/>
        </w:rPr>
        <w:t> — </w:t>
      </w:r>
      <w:r>
        <w:rPr>
          <w:rStyle w:val="CharDivText"/>
        </w:rPr>
        <w:t>Final order hearings</w:t>
      </w:r>
      <w:bookmarkEnd w:id="155"/>
      <w:bookmarkEnd w:id="156"/>
      <w:bookmarkEnd w:id="157"/>
      <w:bookmarkEnd w:id="158"/>
      <w:r>
        <w:rPr>
          <w:rStyle w:val="CharDivText"/>
        </w:rPr>
        <w:t xml:space="preserve"> </w:t>
      </w:r>
    </w:p>
    <w:p>
      <w:pPr>
        <w:pStyle w:val="Heading5"/>
        <w:rPr>
          <w:snapToGrid w:val="0"/>
        </w:rPr>
      </w:pPr>
      <w:bookmarkStart w:id="159" w:name="_Toc486427233"/>
      <w:r>
        <w:rPr>
          <w:rStyle w:val="CharSectno"/>
        </w:rPr>
        <w:t>42</w:t>
      </w:r>
      <w:r>
        <w:rPr>
          <w:snapToGrid w:val="0"/>
        </w:rPr>
        <w:t>.</w:t>
      </w:r>
      <w:r>
        <w:rPr>
          <w:snapToGrid w:val="0"/>
        </w:rPr>
        <w:tab/>
        <w:t>Attendance at final order hearing</w:t>
      </w:r>
      <w:bookmarkEnd w:id="159"/>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160" w:name="_Toc486427234"/>
      <w:r>
        <w:rPr>
          <w:rStyle w:val="CharSectno"/>
        </w:rPr>
        <w:t>43</w:t>
      </w:r>
      <w:r>
        <w:rPr>
          <w:snapToGrid w:val="0"/>
        </w:rPr>
        <w:t>.</w:t>
      </w:r>
      <w:r>
        <w:rPr>
          <w:snapToGrid w:val="0"/>
        </w:rPr>
        <w:tab/>
        <w:t>Making final order</w:t>
      </w:r>
      <w:bookmarkEnd w:id="160"/>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by No. 38 of 2004 s. 24; No. 5 of 2008 s. 96; No. 49 of 2016 s. 48.]</w:t>
      </w:r>
    </w:p>
    <w:p>
      <w:pPr>
        <w:pStyle w:val="Heading5"/>
      </w:pPr>
      <w:bookmarkStart w:id="161" w:name="_Toc486427235"/>
      <w:r>
        <w:rPr>
          <w:rStyle w:val="CharSectno"/>
        </w:rPr>
        <w:t>43A</w:t>
      </w:r>
      <w:r>
        <w:t>.</w:t>
      </w:r>
      <w:r>
        <w:tab/>
        <w:t>Decision under s. 42 in default of appearance may be set aside</w:t>
      </w:r>
      <w:bookmarkEnd w:id="161"/>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162" w:name="_Toc486427236"/>
      <w:r>
        <w:rPr>
          <w:rStyle w:val="CharSectno"/>
        </w:rPr>
        <w:t>44</w:t>
      </w:r>
      <w:r>
        <w:rPr>
          <w:snapToGrid w:val="0"/>
        </w:rPr>
        <w:t>.</w:t>
      </w:r>
      <w:r>
        <w:rPr>
          <w:snapToGrid w:val="0"/>
        </w:rPr>
        <w:tab/>
        <w:t>Order to be prepared and served</w:t>
      </w:r>
      <w:bookmarkEnd w:id="162"/>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163" w:name="_Toc474232056"/>
      <w:bookmarkStart w:id="164" w:name="_Toc485888056"/>
      <w:bookmarkStart w:id="165" w:name="_Toc486425060"/>
      <w:bookmarkStart w:id="166" w:name="_Toc486427237"/>
      <w:r>
        <w:rPr>
          <w:rStyle w:val="CharDivNo"/>
        </w:rPr>
        <w:t>Division 3</w:t>
      </w:r>
      <w:r>
        <w:t> — </w:t>
      </w:r>
      <w:r>
        <w:rPr>
          <w:rStyle w:val="CharDivText"/>
        </w:rPr>
        <w:t>Evidence</w:t>
      </w:r>
      <w:bookmarkEnd w:id="163"/>
      <w:bookmarkEnd w:id="164"/>
      <w:bookmarkEnd w:id="165"/>
      <w:bookmarkEnd w:id="166"/>
    </w:p>
    <w:p>
      <w:pPr>
        <w:pStyle w:val="Footnoteheading"/>
        <w:keepNext/>
        <w:keepLines/>
        <w:tabs>
          <w:tab w:val="left" w:pos="851"/>
        </w:tabs>
      </w:pPr>
      <w:r>
        <w:tab/>
        <w:t>[Heading inserted by No. 38 of 2004 s. 26.]</w:t>
      </w:r>
    </w:p>
    <w:p>
      <w:pPr>
        <w:pStyle w:val="Heading5"/>
      </w:pPr>
      <w:bookmarkStart w:id="167" w:name="_Toc486427238"/>
      <w:r>
        <w:rPr>
          <w:rStyle w:val="CharSectno"/>
        </w:rPr>
        <w:t>44A</w:t>
      </w:r>
      <w:r>
        <w:t>.</w:t>
      </w:r>
      <w:r>
        <w:tab/>
        <w:t>Rules of evidence not to apply in certain circumstances</w:t>
      </w:r>
      <w:bookmarkEnd w:id="167"/>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 amended by No. 49 of 2016 s. 49.]</w:t>
      </w:r>
    </w:p>
    <w:p>
      <w:pPr>
        <w:pStyle w:val="Heading5"/>
      </w:pPr>
      <w:bookmarkStart w:id="168" w:name="_Toc486427239"/>
      <w:r>
        <w:rPr>
          <w:rStyle w:val="CharSectno"/>
        </w:rPr>
        <w:t>44B</w:t>
      </w:r>
      <w:r>
        <w:t>.</w:t>
      </w:r>
      <w:r>
        <w:tab/>
        <w:t>Access to affidavit evidence</w:t>
      </w:r>
      <w:bookmarkEnd w:id="168"/>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169" w:name="_Toc486427240"/>
      <w:r>
        <w:rPr>
          <w:rStyle w:val="CharSectno"/>
        </w:rPr>
        <w:t>44C</w:t>
      </w:r>
      <w:r>
        <w:t>.</w:t>
      </w:r>
      <w:r>
        <w:tab/>
        <w:t>Cross</w:t>
      </w:r>
      <w:r>
        <w:noBreakHyphen/>
        <w:t>examination of certain persons</w:t>
      </w:r>
      <w:bookmarkEnd w:id="169"/>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Footnotesection"/>
        <w:spacing w:before="100"/>
        <w:ind w:left="890" w:hanging="890"/>
      </w:pPr>
      <w:r>
        <w:tab/>
        <w:t>[Section 44C inserted by No. 38 of 2004 s. 26; amended by No. 49 of 2016 s. 50.]</w:t>
      </w:r>
    </w:p>
    <w:p>
      <w:pPr>
        <w:pStyle w:val="Heading2"/>
      </w:pPr>
      <w:bookmarkStart w:id="170" w:name="_Toc474232060"/>
      <w:bookmarkStart w:id="171" w:name="_Toc485888060"/>
      <w:bookmarkStart w:id="172" w:name="_Toc486425064"/>
      <w:bookmarkStart w:id="173" w:name="_Toc486427241"/>
      <w:r>
        <w:rPr>
          <w:rStyle w:val="CharPartNo"/>
        </w:rPr>
        <w:t>Part 5</w:t>
      </w:r>
      <w:r>
        <w:rPr>
          <w:rStyle w:val="CharDivNo"/>
        </w:rPr>
        <w:t> </w:t>
      </w:r>
      <w:r>
        <w:t>—</w:t>
      </w:r>
      <w:r>
        <w:rPr>
          <w:rStyle w:val="CharDivText"/>
        </w:rPr>
        <w:t> </w:t>
      </w:r>
      <w:r>
        <w:rPr>
          <w:rStyle w:val="CharPartText"/>
        </w:rPr>
        <w:t>Variation or cancellation</w:t>
      </w:r>
      <w:bookmarkEnd w:id="170"/>
      <w:bookmarkEnd w:id="171"/>
      <w:bookmarkEnd w:id="172"/>
      <w:bookmarkEnd w:id="173"/>
    </w:p>
    <w:p>
      <w:pPr>
        <w:pStyle w:val="Heading5"/>
      </w:pPr>
      <w:bookmarkStart w:id="174" w:name="_Toc486427242"/>
      <w:r>
        <w:rPr>
          <w:rStyle w:val="CharSectno"/>
        </w:rPr>
        <w:t>45</w:t>
      </w:r>
      <w:r>
        <w:t>.</w:t>
      </w:r>
      <w:r>
        <w:tab/>
        <w:t>Application</w:t>
      </w:r>
      <w:bookmarkEnd w:id="174"/>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13; No. 49 of 2016 s. 51.]</w:t>
      </w:r>
    </w:p>
    <w:p>
      <w:pPr>
        <w:pStyle w:val="Heading5"/>
        <w:spacing w:before="240"/>
      </w:pPr>
      <w:bookmarkStart w:id="175" w:name="_Toc486427243"/>
      <w:r>
        <w:rPr>
          <w:rStyle w:val="CharSectno"/>
        </w:rPr>
        <w:t>45A</w:t>
      </w:r>
      <w:r>
        <w:t>.</w:t>
      </w:r>
      <w:r>
        <w:tab/>
        <w:t>Application by CEO (child welfare)</w:t>
      </w:r>
      <w:bookmarkEnd w:id="175"/>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 No. 49 of 2016 s. 52.]</w:t>
      </w:r>
    </w:p>
    <w:p>
      <w:pPr>
        <w:pStyle w:val="Heading5"/>
        <w:spacing w:before="240"/>
        <w:rPr>
          <w:snapToGrid w:val="0"/>
        </w:rPr>
      </w:pPr>
      <w:bookmarkStart w:id="176" w:name="_Toc486427244"/>
      <w:r>
        <w:rPr>
          <w:rStyle w:val="CharSectno"/>
        </w:rPr>
        <w:t>46</w:t>
      </w:r>
      <w:r>
        <w:rPr>
          <w:snapToGrid w:val="0"/>
        </w:rPr>
        <w:t>.</w:t>
      </w:r>
      <w:r>
        <w:rPr>
          <w:snapToGrid w:val="0"/>
        </w:rPr>
        <w:tab/>
        <w:t>Leave hearing</w:t>
      </w:r>
      <w:bookmarkEnd w:id="176"/>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177" w:name="_Toc486427245"/>
      <w:r>
        <w:rPr>
          <w:rStyle w:val="CharSectno"/>
        </w:rPr>
        <w:t>47</w:t>
      </w:r>
      <w:r>
        <w:rPr>
          <w:snapToGrid w:val="0"/>
        </w:rPr>
        <w:t>.</w:t>
      </w:r>
      <w:r>
        <w:rPr>
          <w:snapToGrid w:val="0"/>
        </w:rPr>
        <w:tab/>
      </w:r>
      <w:r>
        <w:t xml:space="preserve">Registrar </w:t>
      </w:r>
      <w:r>
        <w:rPr>
          <w:snapToGrid w:val="0"/>
        </w:rPr>
        <w:t>to issue summons</w:t>
      </w:r>
      <w:bookmarkEnd w:id="177"/>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by No. 22 of 2000 s. 10(3) and 11; No. 38 of 2004 s. 30; No. 59 of 2004 s. 123; No. 49 of 2016 s. 53.]</w:t>
      </w:r>
    </w:p>
    <w:p>
      <w:pPr>
        <w:pStyle w:val="Heading5"/>
        <w:rPr>
          <w:snapToGrid w:val="0"/>
        </w:rPr>
      </w:pPr>
      <w:bookmarkStart w:id="178" w:name="_Toc486427246"/>
      <w:r>
        <w:rPr>
          <w:rStyle w:val="CharSectno"/>
        </w:rPr>
        <w:t>48</w:t>
      </w:r>
      <w:r>
        <w:rPr>
          <w:snapToGrid w:val="0"/>
        </w:rPr>
        <w:t>.</w:t>
      </w:r>
      <w:r>
        <w:rPr>
          <w:snapToGrid w:val="0"/>
        </w:rPr>
        <w:tab/>
        <w:t>Attendance at hearing</w:t>
      </w:r>
      <w:bookmarkEnd w:id="178"/>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179" w:name="_Toc486427247"/>
      <w:r>
        <w:rPr>
          <w:rStyle w:val="CharSectno"/>
        </w:rPr>
        <w:t>48A</w:t>
      </w:r>
      <w:r>
        <w:t>.</w:t>
      </w:r>
      <w:r>
        <w:tab/>
        <w:t>Ex parte application to cancel order by person protected by order</w:t>
      </w:r>
      <w:bookmarkEnd w:id="179"/>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180" w:name="_Toc486427248"/>
      <w:r>
        <w:rPr>
          <w:rStyle w:val="CharSectno"/>
        </w:rPr>
        <w:t>49</w:t>
      </w:r>
      <w:r>
        <w:rPr>
          <w:snapToGrid w:val="0"/>
        </w:rPr>
        <w:t>.</w:t>
      </w:r>
      <w:r>
        <w:rPr>
          <w:snapToGrid w:val="0"/>
        </w:rPr>
        <w:tab/>
        <w:t>Variation or cancellation</w:t>
      </w:r>
      <w:bookmarkEnd w:id="180"/>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181" w:name="_Toc486427249"/>
      <w:r>
        <w:rPr>
          <w:rStyle w:val="CharSectno"/>
        </w:rPr>
        <w:t>49A</w:t>
      </w:r>
      <w:r>
        <w:t>.</w:t>
      </w:r>
      <w:r>
        <w:tab/>
        <w:t>Correcting minor errors in restraining orders</w:t>
      </w:r>
      <w:bookmarkEnd w:id="181"/>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5"/>
      </w:pPr>
      <w:bookmarkStart w:id="182" w:name="_Toc486427250"/>
      <w:r>
        <w:rPr>
          <w:rStyle w:val="CharSectno"/>
        </w:rPr>
        <w:t>49B</w:t>
      </w:r>
      <w:r>
        <w:t>.</w:t>
      </w:r>
      <w:r>
        <w:tab/>
        <w:t>Matters to be considered by court generally</w:t>
      </w:r>
      <w:bookmarkEnd w:id="182"/>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by No. 49 of 2016 s. 54.]</w:t>
      </w:r>
    </w:p>
    <w:p>
      <w:pPr>
        <w:pStyle w:val="Heading2"/>
      </w:pPr>
      <w:bookmarkStart w:id="183" w:name="_Toc474232069"/>
      <w:bookmarkStart w:id="184" w:name="_Toc485888070"/>
      <w:bookmarkStart w:id="185" w:name="_Toc486425074"/>
      <w:bookmarkStart w:id="186" w:name="_Toc486427251"/>
      <w:r>
        <w:rPr>
          <w:rStyle w:val="CharPartNo"/>
        </w:rPr>
        <w:t>Part 6</w:t>
      </w:r>
      <w:r>
        <w:t> — </w:t>
      </w:r>
      <w:r>
        <w:rPr>
          <w:rStyle w:val="CharPartText"/>
        </w:rPr>
        <w:t>General</w:t>
      </w:r>
      <w:bookmarkEnd w:id="183"/>
      <w:bookmarkEnd w:id="184"/>
      <w:bookmarkEnd w:id="185"/>
      <w:bookmarkEnd w:id="186"/>
      <w:r>
        <w:rPr>
          <w:rStyle w:val="CharPartText"/>
        </w:rPr>
        <w:t xml:space="preserve"> </w:t>
      </w:r>
    </w:p>
    <w:p>
      <w:pPr>
        <w:pStyle w:val="Heading3"/>
      </w:pPr>
      <w:bookmarkStart w:id="187" w:name="_Toc474232070"/>
      <w:bookmarkStart w:id="188" w:name="_Toc485888071"/>
      <w:bookmarkStart w:id="189" w:name="_Toc486425075"/>
      <w:bookmarkStart w:id="190" w:name="_Toc486427252"/>
      <w:r>
        <w:rPr>
          <w:rStyle w:val="CharDivNo"/>
        </w:rPr>
        <w:t>Division 1</w:t>
      </w:r>
      <w:r>
        <w:t> — </w:t>
      </w:r>
      <w:r>
        <w:rPr>
          <w:rStyle w:val="CharDivText"/>
        </w:rPr>
        <w:t>Children</w:t>
      </w:r>
      <w:bookmarkEnd w:id="187"/>
      <w:bookmarkEnd w:id="188"/>
      <w:bookmarkEnd w:id="189"/>
      <w:bookmarkEnd w:id="190"/>
    </w:p>
    <w:p>
      <w:pPr>
        <w:pStyle w:val="Footnoteheading"/>
        <w:tabs>
          <w:tab w:val="left" w:pos="851"/>
        </w:tabs>
        <w:spacing w:before="100"/>
      </w:pPr>
      <w:r>
        <w:tab/>
        <w:t>[Heading inserted by No. 38 of 2004 s. 35.]</w:t>
      </w:r>
    </w:p>
    <w:p>
      <w:pPr>
        <w:pStyle w:val="Heading5"/>
        <w:rPr>
          <w:snapToGrid w:val="0"/>
        </w:rPr>
      </w:pPr>
      <w:bookmarkStart w:id="191" w:name="_Toc486427253"/>
      <w:r>
        <w:rPr>
          <w:rStyle w:val="CharSectno"/>
        </w:rPr>
        <w:t>50</w:t>
      </w:r>
      <w:r>
        <w:rPr>
          <w:snapToGrid w:val="0"/>
        </w:rPr>
        <w:t>.</w:t>
      </w:r>
      <w:r>
        <w:rPr>
          <w:snapToGrid w:val="0"/>
        </w:rPr>
        <w:tab/>
        <w:t>No restraining orders against children under 10</w:t>
      </w:r>
      <w:bookmarkEnd w:id="191"/>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192" w:name="_Toc486427254"/>
      <w:r>
        <w:rPr>
          <w:rStyle w:val="CharSectno"/>
        </w:rPr>
        <w:t>50A</w:t>
      </w:r>
      <w:r>
        <w:t>.</w:t>
      </w:r>
      <w:r>
        <w:tab/>
        <w:t>Restraining order against child not to exceed 6 months</w:t>
      </w:r>
      <w:bookmarkEnd w:id="192"/>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193" w:name="_Toc486427255"/>
      <w:r>
        <w:rPr>
          <w:rStyle w:val="CharSectno"/>
        </w:rPr>
        <w:t>50B</w:t>
      </w:r>
      <w:r>
        <w:t>.</w:t>
      </w:r>
      <w:r>
        <w:tab/>
        <w:t>Child welfare laws not affected</w:t>
      </w:r>
      <w:bookmarkEnd w:id="193"/>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by No. 38 of 2004 s. 36.]</w:t>
      </w:r>
    </w:p>
    <w:p>
      <w:pPr>
        <w:pStyle w:val="Heading5"/>
      </w:pPr>
      <w:bookmarkStart w:id="194" w:name="_Toc486427256"/>
      <w:r>
        <w:rPr>
          <w:rStyle w:val="CharSectno"/>
        </w:rPr>
        <w:t>50C</w:t>
      </w:r>
      <w:r>
        <w:t>.</w:t>
      </w:r>
      <w:r>
        <w:tab/>
        <w:t>CEO (child welfare) to be notified before certain FVROs or VROs are made</w:t>
      </w:r>
      <w:bookmarkEnd w:id="194"/>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by No. 38 of 2004 s. 36; amended by No. 59 of 2004 s. 123; No. 49 of 2016 s. 55.]</w:t>
      </w:r>
    </w:p>
    <w:p>
      <w:pPr>
        <w:pStyle w:val="Heading5"/>
      </w:pPr>
      <w:bookmarkStart w:id="195" w:name="_Toc486427257"/>
      <w:r>
        <w:rPr>
          <w:rStyle w:val="CharSectno"/>
        </w:rPr>
        <w:t>50D</w:t>
      </w:r>
      <w:r>
        <w:t>.</w:t>
      </w:r>
      <w:r>
        <w:tab/>
        <w:t>Intervention by CEO (child welfare)</w:t>
      </w:r>
      <w:bookmarkEnd w:id="195"/>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 No. 20 of 2013 s. 113.]</w:t>
      </w:r>
    </w:p>
    <w:p>
      <w:pPr>
        <w:pStyle w:val="Heading5"/>
        <w:rPr>
          <w:snapToGrid w:val="0"/>
        </w:rPr>
      </w:pPr>
      <w:bookmarkStart w:id="196" w:name="_Toc486427258"/>
      <w:r>
        <w:rPr>
          <w:rStyle w:val="CharSectno"/>
        </w:rPr>
        <w:t>51</w:t>
      </w:r>
      <w:r>
        <w:rPr>
          <w:snapToGrid w:val="0"/>
        </w:rPr>
        <w:t>.</w:t>
      </w:r>
      <w:r>
        <w:rPr>
          <w:snapToGrid w:val="0"/>
        </w:rPr>
        <w:tab/>
        <w:t>Responsible adult to attend</w:t>
      </w:r>
      <w:bookmarkEnd w:id="196"/>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197" w:name="_Toc486427259"/>
      <w:r>
        <w:rPr>
          <w:rStyle w:val="CharSectno"/>
        </w:rPr>
        <w:t>52</w:t>
      </w:r>
      <w:r>
        <w:rPr>
          <w:snapToGrid w:val="0"/>
        </w:rPr>
        <w:t>.</w:t>
      </w:r>
      <w:r>
        <w:rPr>
          <w:snapToGrid w:val="0"/>
        </w:rPr>
        <w:tab/>
        <w:t>Transfer between courts</w:t>
      </w:r>
      <w:bookmarkEnd w:id="197"/>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198" w:name="_Toc486427260"/>
      <w:r>
        <w:rPr>
          <w:rStyle w:val="CharSectno"/>
        </w:rPr>
        <w:t>53</w:t>
      </w:r>
      <w:r>
        <w:rPr>
          <w:snapToGrid w:val="0"/>
        </w:rPr>
        <w:t>.</w:t>
      </w:r>
      <w:r>
        <w:rPr>
          <w:snapToGrid w:val="0"/>
        </w:rPr>
        <w:tab/>
        <w:t>Telephone order made against child</w:t>
      </w:r>
      <w:bookmarkEnd w:id="198"/>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199" w:name="_Toc486427261"/>
      <w:r>
        <w:rPr>
          <w:rStyle w:val="CharSectno"/>
        </w:rPr>
        <w:t>53A</w:t>
      </w:r>
      <w:r>
        <w:t>.</w:t>
      </w:r>
      <w:r>
        <w:tab/>
        <w:t>Children not to give oral evidence without leave of court, other than in Children’s Court</w:t>
      </w:r>
      <w:bookmarkEnd w:id="199"/>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200" w:name="_Toc486427262"/>
      <w:r>
        <w:rPr>
          <w:rStyle w:val="CharSectno"/>
        </w:rPr>
        <w:t>53B</w:t>
      </w:r>
      <w:r>
        <w:t>.</w:t>
      </w:r>
      <w:r>
        <w:tab/>
        <w:t>Evidence of children</w:t>
      </w:r>
      <w:bookmarkEnd w:id="200"/>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201" w:name="_Toc486427263"/>
      <w:r>
        <w:rPr>
          <w:rStyle w:val="CharSectno"/>
        </w:rPr>
        <w:t>53C</w:t>
      </w:r>
      <w:r>
        <w:t>.</w:t>
      </w:r>
      <w:r>
        <w:tab/>
        <w:t>Child who gives evidence entitled to support</w:t>
      </w:r>
      <w:bookmarkEnd w:id="201"/>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202" w:name="_Toc486427264"/>
      <w:r>
        <w:rPr>
          <w:rStyle w:val="CharSectno"/>
        </w:rPr>
        <w:t>53D</w:t>
      </w:r>
      <w:r>
        <w:t>.</w:t>
      </w:r>
      <w:r>
        <w:tab/>
        <w:t>Cross</w:t>
      </w:r>
      <w:r>
        <w:noBreakHyphen/>
        <w:t>examination of child by unrepresented person</w:t>
      </w:r>
      <w:bookmarkEnd w:id="202"/>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203" w:name="_Toc486427265"/>
      <w:r>
        <w:rPr>
          <w:rStyle w:val="CharSectno"/>
        </w:rPr>
        <w:t>53E</w:t>
      </w:r>
      <w:r>
        <w:t>.</w:t>
      </w:r>
      <w:r>
        <w:tab/>
        <w:t>Admissibility of evidence of representations made by children</w:t>
      </w:r>
      <w:bookmarkEnd w:id="203"/>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204" w:name="_Toc486427266"/>
      <w:r>
        <w:rPr>
          <w:rStyle w:val="CharSectno"/>
        </w:rPr>
        <w:t>53F</w:t>
      </w:r>
      <w:r>
        <w:t>.</w:t>
      </w:r>
      <w:r>
        <w:tab/>
        <w:t>Summonsing of children</w:t>
      </w:r>
      <w:bookmarkEnd w:id="204"/>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205" w:name="_Toc486427267"/>
      <w:r>
        <w:rPr>
          <w:rStyle w:val="CharSectno"/>
        </w:rPr>
        <w:t>53G</w:t>
      </w:r>
      <w:r>
        <w:t>.</w:t>
      </w:r>
      <w:r>
        <w:tab/>
        <w:t>Arrangements for care and wellbeing of children bound by restraining orders</w:t>
      </w:r>
      <w:bookmarkEnd w:id="205"/>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spacing w:before="800"/>
        <w:rPr>
          <w:snapToGrid w:val="0"/>
        </w:rPr>
      </w:pPr>
      <w:bookmarkStart w:id="206" w:name="_Toc474232086"/>
      <w:bookmarkStart w:id="207" w:name="_Toc485888087"/>
      <w:bookmarkStart w:id="208" w:name="_Toc486425091"/>
      <w:bookmarkStart w:id="209" w:name="_Toc486427268"/>
      <w:r>
        <w:rPr>
          <w:rStyle w:val="CharDivNo"/>
        </w:rPr>
        <w:t>Division 2</w:t>
      </w:r>
      <w:r>
        <w:rPr>
          <w:snapToGrid w:val="0"/>
        </w:rPr>
        <w:t> — </w:t>
      </w:r>
      <w:r>
        <w:rPr>
          <w:rStyle w:val="CharDivText"/>
        </w:rPr>
        <w:t>Service</w:t>
      </w:r>
      <w:bookmarkEnd w:id="206"/>
      <w:bookmarkEnd w:id="207"/>
      <w:bookmarkEnd w:id="208"/>
      <w:bookmarkEnd w:id="209"/>
      <w:r>
        <w:rPr>
          <w:rStyle w:val="CharDivText"/>
        </w:rPr>
        <w:t xml:space="preserve"> </w:t>
      </w:r>
    </w:p>
    <w:p>
      <w:pPr>
        <w:pStyle w:val="Heading5"/>
        <w:rPr>
          <w:snapToGrid w:val="0"/>
        </w:rPr>
      </w:pPr>
      <w:bookmarkStart w:id="210" w:name="_Toc486427269"/>
      <w:r>
        <w:rPr>
          <w:rStyle w:val="CharSectno"/>
        </w:rPr>
        <w:t>54</w:t>
      </w:r>
      <w:r>
        <w:rPr>
          <w:snapToGrid w:val="0"/>
        </w:rPr>
        <w:t>.</w:t>
      </w:r>
      <w:r>
        <w:rPr>
          <w:snapToGrid w:val="0"/>
        </w:rPr>
        <w:tab/>
        <w:t>Service of summons</w:t>
      </w:r>
      <w:bookmarkEnd w:id="210"/>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211" w:name="_Toc486427270"/>
      <w:r>
        <w:rPr>
          <w:rStyle w:val="CharSectno"/>
        </w:rPr>
        <w:t>55</w:t>
      </w:r>
      <w:r>
        <w:rPr>
          <w:snapToGrid w:val="0"/>
        </w:rPr>
        <w:t>.</w:t>
      </w:r>
      <w:r>
        <w:rPr>
          <w:snapToGrid w:val="0"/>
        </w:rPr>
        <w:tab/>
        <w:t>Service of restraining order</w:t>
      </w:r>
      <w:bookmarkEnd w:id="211"/>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rPr>
          <w:snapToGrid w:val="0"/>
        </w:rPr>
      </w:pPr>
      <w:r>
        <w:tab/>
        <w:t>(c)</w:t>
      </w:r>
      <w:r>
        <w:tab/>
        <w:t>the court makes an order for substituted service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by No. 38 of 2004 s. 38(1)</w:t>
      </w:r>
      <w:r>
        <w:noBreakHyphen/>
        <w:t>(3); No. 59 of 2004 s. 123; No. 49 of 2016 s. 56.]</w:t>
      </w:r>
    </w:p>
    <w:p>
      <w:pPr>
        <w:pStyle w:val="Heading5"/>
        <w:rPr>
          <w:snapToGrid w:val="0"/>
        </w:rPr>
      </w:pPr>
      <w:bookmarkStart w:id="212" w:name="_Toc486427271"/>
      <w:r>
        <w:rPr>
          <w:rStyle w:val="CharSectno"/>
        </w:rPr>
        <w:t>56</w:t>
      </w:r>
      <w:r>
        <w:rPr>
          <w:snapToGrid w:val="0"/>
        </w:rPr>
        <w:t>.</w:t>
      </w:r>
      <w:r>
        <w:rPr>
          <w:snapToGrid w:val="0"/>
        </w:rPr>
        <w:tab/>
        <w:t>Delivery or notification</w:t>
      </w:r>
      <w:bookmarkEnd w:id="212"/>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213" w:name="_Toc486427272"/>
      <w:r>
        <w:rPr>
          <w:rStyle w:val="CharSectno"/>
        </w:rPr>
        <w:t>57</w:t>
      </w:r>
      <w:r>
        <w:rPr>
          <w:snapToGrid w:val="0"/>
        </w:rPr>
        <w:t>.</w:t>
      </w:r>
      <w:r>
        <w:rPr>
          <w:snapToGrid w:val="0"/>
        </w:rPr>
        <w:tab/>
        <w:t>Copy of document sufficient for service</w:t>
      </w:r>
      <w:bookmarkEnd w:id="213"/>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214" w:name="_Toc486427273"/>
      <w:r>
        <w:rPr>
          <w:rStyle w:val="CharSectno"/>
        </w:rPr>
        <w:t>58</w:t>
      </w:r>
      <w:r>
        <w:rPr>
          <w:snapToGrid w:val="0"/>
        </w:rPr>
        <w:t>.</w:t>
      </w:r>
      <w:r>
        <w:rPr>
          <w:snapToGrid w:val="0"/>
        </w:rPr>
        <w:tab/>
        <w:t>Proof of service</w:t>
      </w:r>
      <w:bookmarkEnd w:id="214"/>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by No. 49 of 2016 s. 57.]</w:t>
      </w:r>
    </w:p>
    <w:p>
      <w:pPr>
        <w:pStyle w:val="Heading5"/>
      </w:pPr>
      <w:bookmarkStart w:id="215" w:name="_Toc486427274"/>
      <w:r>
        <w:rPr>
          <w:rStyle w:val="CharSectno"/>
        </w:rPr>
        <w:t>59</w:t>
      </w:r>
      <w:r>
        <w:t>.</w:t>
      </w:r>
      <w:r>
        <w:tab/>
        <w:t>Service of restraining order, certain people to be notified of</w:t>
      </w:r>
      <w:bookmarkEnd w:id="215"/>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216" w:name="_Toc486427275"/>
      <w:r>
        <w:rPr>
          <w:rStyle w:val="CharSectno"/>
        </w:rPr>
        <w:t>60</w:t>
      </w:r>
      <w:r>
        <w:rPr>
          <w:snapToGrid w:val="0"/>
        </w:rPr>
        <w:t>.</w:t>
      </w:r>
      <w:r>
        <w:rPr>
          <w:snapToGrid w:val="0"/>
        </w:rPr>
        <w:tab/>
        <w:t>Substituted service</w:t>
      </w:r>
      <w:bookmarkEnd w:id="216"/>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pPr>
      <w:r>
        <w:tab/>
        <w:t>(1A)</w:t>
      </w:r>
      <w:r>
        <w:tab/>
        <w:t xml:space="preserve">A court may order substituted service of an FVRO if it is satisfied that — </w:t>
      </w:r>
    </w:p>
    <w:p>
      <w:pPr>
        <w:pStyle w:val="Indenta"/>
      </w:pPr>
      <w:r>
        <w:tab/>
        <w:t>(a)</w:t>
      </w:r>
      <w:r>
        <w:tab/>
        <w:t xml:space="preserve">personal service or service by post is impracticable for any reason, including (but not limited to) the following — </w:t>
      </w:r>
    </w:p>
    <w:p>
      <w:pPr>
        <w:pStyle w:val="Indenti"/>
      </w:pPr>
      <w:r>
        <w:tab/>
        <w:t>(i)</w:t>
      </w:r>
      <w:r>
        <w:tab/>
        <w:t>the person to be served does not have a fixed place of residence or business;</w:t>
      </w:r>
    </w:p>
    <w:p>
      <w:pPr>
        <w:pStyle w:val="Indenti"/>
      </w:pPr>
      <w:r>
        <w:tab/>
        <w:t>(ii)</w:t>
      </w:r>
      <w:r>
        <w:tab/>
        <w:t>the person to be served has a place of residence or business that is too remote to permit personal service or service by post;</w:t>
      </w:r>
    </w:p>
    <w:p>
      <w:pPr>
        <w:pStyle w:val="Indenti"/>
      </w:pPr>
      <w:r>
        <w:tab/>
        <w:t>(iii)</w:t>
      </w:r>
      <w:r>
        <w:tab/>
        <w:t>the person to be served is likely to avoid personal service or service by post;</w:t>
      </w:r>
    </w:p>
    <w:p>
      <w:pPr>
        <w:pStyle w:val="Indenta"/>
      </w:pPr>
      <w:r>
        <w:tab/>
      </w:r>
      <w:r>
        <w:tab/>
        <w:t>and</w:t>
      </w:r>
    </w:p>
    <w:p>
      <w:pPr>
        <w:pStyle w:val="Indenta"/>
        <w:rPr>
          <w:snapToGrid w:val="0"/>
        </w:rPr>
      </w:pPr>
      <w:r>
        <w:tab/>
        <w:t>(b)</w:t>
      </w:r>
      <w:r>
        <w:tab/>
        <w:t>any delay in service is likely to put at risk the safety of the person seeking to be protected.</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by No. 49 of 2016 s. 58.]</w:t>
      </w:r>
    </w:p>
    <w:p>
      <w:pPr>
        <w:pStyle w:val="Heading3"/>
        <w:rPr>
          <w:snapToGrid w:val="0"/>
        </w:rPr>
      </w:pPr>
      <w:bookmarkStart w:id="217" w:name="_Toc474232094"/>
      <w:bookmarkStart w:id="218" w:name="_Toc485888095"/>
      <w:bookmarkStart w:id="219" w:name="_Toc486425099"/>
      <w:bookmarkStart w:id="220" w:name="_Toc486427276"/>
      <w:r>
        <w:rPr>
          <w:rStyle w:val="CharDivNo"/>
        </w:rPr>
        <w:t>Division 3</w:t>
      </w:r>
      <w:r>
        <w:rPr>
          <w:snapToGrid w:val="0"/>
        </w:rPr>
        <w:t> — </w:t>
      </w:r>
      <w:r>
        <w:rPr>
          <w:rStyle w:val="CharDivText"/>
        </w:rPr>
        <w:t>Breach of restraining order or police order</w:t>
      </w:r>
      <w:bookmarkEnd w:id="217"/>
      <w:bookmarkEnd w:id="218"/>
      <w:bookmarkEnd w:id="219"/>
      <w:bookmarkEnd w:id="220"/>
      <w:r>
        <w:rPr>
          <w:rStyle w:val="CharDivText"/>
        </w:rPr>
        <w:t xml:space="preserve"> </w:t>
      </w:r>
    </w:p>
    <w:p>
      <w:pPr>
        <w:pStyle w:val="Footnoteheading"/>
        <w:tabs>
          <w:tab w:val="left" w:pos="851"/>
        </w:tabs>
      </w:pPr>
      <w:r>
        <w:tab/>
        <w:t>[Heading amended by No. 38 of 2004 s. 40.]</w:t>
      </w:r>
    </w:p>
    <w:p>
      <w:pPr>
        <w:pStyle w:val="Heading5"/>
        <w:rPr>
          <w:snapToGrid w:val="0"/>
        </w:rPr>
      </w:pPr>
      <w:bookmarkStart w:id="221" w:name="_Toc486427277"/>
      <w:r>
        <w:rPr>
          <w:rStyle w:val="CharSectno"/>
        </w:rPr>
        <w:t>61</w:t>
      </w:r>
      <w:r>
        <w:rPr>
          <w:snapToGrid w:val="0"/>
        </w:rPr>
        <w:t>.</w:t>
      </w:r>
      <w:r>
        <w:rPr>
          <w:snapToGrid w:val="0"/>
        </w:rPr>
        <w:tab/>
        <w:t>Breach of restraining order</w:t>
      </w:r>
      <w:bookmarkEnd w:id="221"/>
      <w:r>
        <w:rPr>
          <w:snapToGrid w:val="0"/>
        </w:rPr>
        <w:t xml:space="preserve"> </w:t>
      </w:r>
    </w:p>
    <w:p>
      <w:pPr>
        <w:pStyle w:val="Subsection"/>
        <w:rPr>
          <w:snapToGrid w:val="0"/>
        </w:rPr>
      </w:pPr>
      <w:r>
        <w:rPr>
          <w:snapToGrid w:val="0"/>
        </w:rPr>
        <w:tab/>
        <w:t>(1)</w:t>
      </w:r>
      <w:r>
        <w:rPr>
          <w:snapToGrid w:val="0"/>
        </w:rPr>
        <w:tab/>
        <w:t xml:space="preserve">A person who is bound by </w:t>
      </w:r>
      <w:r>
        <w:t>an FVRO or VRO</w:t>
      </w:r>
      <w:r>
        <w:rPr>
          <w:snapToGrid w:val="0"/>
        </w:rPr>
        <w:t xml:space="preserve"> and who breaches that order commits an offence.</w:t>
      </w:r>
    </w:p>
    <w:p>
      <w:pPr>
        <w:pStyle w:val="Penstart"/>
        <w:rPr>
          <w:snapToGrid w:val="0"/>
        </w:rPr>
      </w:pPr>
      <w:r>
        <w:tab/>
        <w:t>Penalty for this subsection: a fine of $6 000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$6 000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 No. 49 of 2016 s. 59.]</w:t>
      </w:r>
    </w:p>
    <w:p>
      <w:pPr>
        <w:pStyle w:val="Heading5"/>
      </w:pPr>
      <w:bookmarkStart w:id="222" w:name="_Toc486427278"/>
      <w:r>
        <w:rPr>
          <w:rStyle w:val="CharSectno"/>
        </w:rPr>
        <w:t>61A</w:t>
      </w:r>
      <w:r>
        <w:t>.</w:t>
      </w:r>
      <w:r>
        <w:tab/>
        <w:t>Penalty for repeated breach of restraining order</w:t>
      </w:r>
      <w:bookmarkEnd w:id="222"/>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 xml:space="preserve">has committed, and been convicted of, at least 2 offences under section 61(1) or (2a) (the </w:t>
      </w:r>
      <w:r>
        <w:rPr>
          <w:rStyle w:val="CharDefText"/>
        </w:rPr>
        <w:t>previous offences</w:t>
      </w:r>
      <w:r>
        <w:t>) within the period of 2 years before the person’s conviction of the relevant offence.</w:t>
      </w:r>
    </w:p>
    <w:p>
      <w:pPr>
        <w:pStyle w:val="zSubsection"/>
      </w:pPr>
      <w:r>
        <w:tab/>
        <w:t>(2A)</w:t>
      </w:r>
      <w:r>
        <w:tab/>
        <w:t>For the purposes of subsection (2)(b) each of the previous offences is to be counted, regardless of whether the convictions for them —</w:t>
      </w:r>
    </w:p>
    <w:p>
      <w:pPr>
        <w:pStyle w:val="zIndenta"/>
      </w:pPr>
      <w:r>
        <w:tab/>
        <w:t>(a)</w:t>
      </w:r>
      <w:r>
        <w:tab/>
        <w:t>were recorded before or after the date on which the relevant offence, or any of the previous offences, was committed; or</w:t>
      </w:r>
    </w:p>
    <w:p>
      <w:pPr>
        <w:pStyle w:val="zIndenta"/>
      </w:pPr>
      <w:r>
        <w:tab/>
        <w:t>(b)</w:t>
      </w:r>
      <w:r>
        <w:tab/>
        <w:t>have been counted in sentencing under this section for a different relevant offence.</w:t>
      </w:r>
    </w:p>
    <w:p>
      <w:pPr>
        <w:pStyle w:val="zSubsection"/>
      </w:pPr>
      <w:r>
        <w:tab/>
        <w:t>(2B)</w:t>
      </w:r>
      <w:r>
        <w:tab/>
        <w:t>For the purposes of subsection (2)(b), convictions for 2 or more previous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by No. 32 of 2011 s. 15; amended by No. 20 of 2013 s. 118; No. 49 of 2016 s. 60.]</w:t>
      </w:r>
    </w:p>
    <w:p>
      <w:pPr>
        <w:pStyle w:val="Heading5"/>
      </w:pPr>
      <w:bookmarkStart w:id="223" w:name="_Toc486427279"/>
      <w:r>
        <w:rPr>
          <w:rStyle w:val="CharSectno"/>
        </w:rPr>
        <w:t>61B</w:t>
      </w:r>
      <w:r>
        <w:t>.</w:t>
      </w:r>
      <w:r>
        <w:tab/>
        <w:t>Protected person aiding breach of restraining order or police order</w:t>
      </w:r>
      <w:bookmarkEnd w:id="223"/>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pPr>
      <w:bookmarkStart w:id="224" w:name="_Toc486427280"/>
      <w:r>
        <w:rPr>
          <w:rStyle w:val="CharSectno"/>
        </w:rPr>
        <w:t>61C</w:t>
      </w:r>
      <w:r>
        <w:t>.</w:t>
      </w:r>
      <w:r>
        <w:tab/>
        <w:t>Report under s. 10V to be considered in sentencing for breach of FVRO</w:t>
      </w:r>
      <w:bookmarkEnd w:id="224"/>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by No. 49 of 2016 s. 61.]</w:t>
      </w:r>
    </w:p>
    <w:p>
      <w:pPr>
        <w:pStyle w:val="Heading5"/>
      </w:pPr>
      <w:bookmarkStart w:id="225" w:name="_Toc486427281"/>
      <w:r>
        <w:rPr>
          <w:rStyle w:val="CharSectno"/>
        </w:rPr>
        <w:t>62</w:t>
      </w:r>
      <w:r>
        <w:t>.</w:t>
      </w:r>
      <w:r>
        <w:tab/>
        <w:t>Defence</w:t>
      </w:r>
      <w:bookmarkEnd w:id="225"/>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by No. 38 of 2004 s. 42; amended by No. 35 of 2006 s. 208; No. 21 of 2008 s. 699; No. 49 of 2016 s. 62.]</w:t>
      </w:r>
    </w:p>
    <w:p>
      <w:pPr>
        <w:pStyle w:val="Heading3"/>
      </w:pPr>
      <w:bookmarkStart w:id="226" w:name="_Toc474232099"/>
      <w:bookmarkStart w:id="227" w:name="_Toc485888101"/>
      <w:bookmarkStart w:id="228" w:name="_Toc486425105"/>
      <w:bookmarkStart w:id="229" w:name="_Toc486427282"/>
      <w:r>
        <w:rPr>
          <w:rStyle w:val="CharDivNo"/>
        </w:rPr>
        <w:t>Division 3A</w:t>
      </w:r>
      <w:r>
        <w:t> — </w:t>
      </w:r>
      <w:r>
        <w:rPr>
          <w:rStyle w:val="CharDivText"/>
        </w:rPr>
        <w:t>Police functions</w:t>
      </w:r>
      <w:bookmarkEnd w:id="226"/>
      <w:bookmarkEnd w:id="227"/>
      <w:bookmarkEnd w:id="228"/>
      <w:bookmarkEnd w:id="229"/>
    </w:p>
    <w:p>
      <w:pPr>
        <w:pStyle w:val="Footnoteheading"/>
        <w:tabs>
          <w:tab w:val="left" w:pos="851"/>
        </w:tabs>
      </w:pPr>
      <w:r>
        <w:tab/>
        <w:t>[Heading inserted by No. 38 of 2004 s. 43(1).]</w:t>
      </w:r>
    </w:p>
    <w:p>
      <w:pPr>
        <w:pStyle w:val="Heading5"/>
      </w:pPr>
      <w:bookmarkStart w:id="230" w:name="_Toc486427283"/>
      <w:r>
        <w:rPr>
          <w:rStyle w:val="CharSectno"/>
        </w:rPr>
        <w:t>62A</w:t>
      </w:r>
      <w:r>
        <w:t>.</w:t>
      </w:r>
      <w:r>
        <w:tab/>
        <w:t>Investigation of suspected family violence</w:t>
      </w:r>
      <w:bookmarkEnd w:id="230"/>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 amended by No. 49 of 2016 s. 63.]</w:t>
      </w:r>
    </w:p>
    <w:p>
      <w:pPr>
        <w:pStyle w:val="Heading5"/>
      </w:pPr>
      <w:bookmarkStart w:id="231" w:name="_Toc486427284"/>
      <w:r>
        <w:rPr>
          <w:rStyle w:val="CharSectno"/>
        </w:rPr>
        <w:t>62B</w:t>
      </w:r>
      <w:r>
        <w:t>.</w:t>
      </w:r>
      <w:r>
        <w:tab/>
        <w:t>Entry and search of premises if family violence suspected</w:t>
      </w:r>
      <w:bookmarkEnd w:id="231"/>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by No. 38 of 2004 s. 43(1); amended by No. 5 of 2008 s. 101; No. 49 of 2016 s. 64.]</w:t>
      </w:r>
    </w:p>
    <w:p>
      <w:pPr>
        <w:pStyle w:val="Heading5"/>
      </w:pPr>
      <w:bookmarkStart w:id="232" w:name="_Toc486427285"/>
      <w:r>
        <w:rPr>
          <w:rStyle w:val="CharSectno"/>
        </w:rPr>
        <w:t>62C</w:t>
      </w:r>
      <w:r>
        <w:t>.</w:t>
      </w:r>
      <w:r>
        <w:tab/>
        <w:t>Action to be taken by police officer after investigating suspected family violence</w:t>
      </w:r>
      <w:bookmarkEnd w:id="232"/>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spacing w:before="60"/>
      </w:pPr>
      <w:r>
        <w:tab/>
        <w:t>(c)</w:t>
      </w:r>
      <w:r>
        <w:tab/>
        <w:t>a written record of the reasons why he or she did not take either of the actions set out in paragraph (a) or (b).</w:t>
      </w:r>
    </w:p>
    <w:p>
      <w:pPr>
        <w:pStyle w:val="Footnotesection"/>
        <w:spacing w:before="80"/>
      </w:pPr>
      <w:r>
        <w:tab/>
        <w:t>[Section 62C inserted by No. 38 of 2004 s. 43(1); amended by amended by No. 49 of 2016 s. 65.]</w:t>
      </w:r>
    </w:p>
    <w:p>
      <w:pPr>
        <w:pStyle w:val="Heading5"/>
      </w:pPr>
      <w:bookmarkStart w:id="233" w:name="_Toc486427286"/>
      <w:r>
        <w:rPr>
          <w:rStyle w:val="CharSectno"/>
        </w:rPr>
        <w:t>62D</w:t>
      </w:r>
      <w:r>
        <w:t>.</w:t>
      </w:r>
      <w:r>
        <w:tab/>
        <w:t>Approval of senior officer</w:t>
      </w:r>
      <w:bookmarkEnd w:id="233"/>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by No. 38 of 2004 s. 43(1); amended by No. 49 of 2016 s. 66.]</w:t>
      </w:r>
    </w:p>
    <w:p>
      <w:pPr>
        <w:pStyle w:val="Heading5"/>
      </w:pPr>
      <w:bookmarkStart w:id="234" w:name="_Toc486427287"/>
      <w:r>
        <w:rPr>
          <w:rStyle w:val="CharSectno"/>
        </w:rPr>
        <w:t>62E</w:t>
      </w:r>
      <w:r>
        <w:t>.</w:t>
      </w:r>
      <w:r>
        <w:tab/>
        <w:t>Seizure of firearms</w:t>
      </w:r>
      <w:bookmarkEnd w:id="234"/>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manner prescribed in the regulations.</w:t>
      </w:r>
    </w:p>
    <w:p>
      <w:pPr>
        <w:pStyle w:val="Footnotesection"/>
      </w:pPr>
      <w:r>
        <w:tab/>
        <w:t>[Section 62E inserted by No. 38 of 2004 s. 43(1); amended by No. 5 of 2008 s. 102; No. 49 of 2016 s. 67.]</w:t>
      </w:r>
    </w:p>
    <w:p>
      <w:pPr>
        <w:pStyle w:val="Footnotesection"/>
      </w:pPr>
      <w:r>
        <w:tab/>
        <w:t>[Section 62E. Modifications to be applied in order to give effect to Cross-border Justice Act 2008: section altered 1 Nov 2009. See endnote 1M.]</w:t>
      </w:r>
    </w:p>
    <w:p>
      <w:pPr>
        <w:pStyle w:val="Heading5"/>
      </w:pPr>
      <w:bookmarkStart w:id="235" w:name="_Toc486427288"/>
      <w:r>
        <w:rPr>
          <w:rStyle w:val="CharSectno"/>
        </w:rPr>
        <w:t>62F</w:t>
      </w:r>
      <w:r>
        <w:t>.</w:t>
      </w:r>
      <w:r>
        <w:tab/>
        <w:t>Detention of respondent during telephone hearing or while police order is being made</w:t>
      </w:r>
      <w:bookmarkEnd w:id="235"/>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by No. 38 of 2004 s. 43(1); amended by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236" w:name="_Toc486427289"/>
      <w:r>
        <w:rPr>
          <w:rStyle w:val="CharSectno"/>
        </w:rPr>
        <w:t>62G</w:t>
      </w:r>
      <w:r>
        <w:t>.</w:t>
      </w:r>
      <w:r>
        <w:tab/>
        <w:t>Police officer may conduct hearing for applicant</w:t>
      </w:r>
      <w:bookmarkEnd w:id="236"/>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237" w:name="_Toc474232107"/>
      <w:bookmarkStart w:id="238" w:name="_Toc485888109"/>
      <w:bookmarkStart w:id="239" w:name="_Toc486425113"/>
      <w:bookmarkStart w:id="240" w:name="_Toc486427290"/>
      <w:r>
        <w:rPr>
          <w:rStyle w:val="CharDivNo"/>
        </w:rPr>
        <w:t>Division 4</w:t>
      </w:r>
      <w:r>
        <w:rPr>
          <w:snapToGrid w:val="0"/>
        </w:rPr>
        <w:t> — </w:t>
      </w:r>
      <w:r>
        <w:rPr>
          <w:rStyle w:val="CharDivText"/>
        </w:rPr>
        <w:t>General</w:t>
      </w:r>
      <w:bookmarkEnd w:id="237"/>
      <w:bookmarkEnd w:id="238"/>
      <w:bookmarkEnd w:id="239"/>
      <w:bookmarkEnd w:id="240"/>
      <w:r>
        <w:rPr>
          <w:rStyle w:val="CharDivText"/>
        </w:rPr>
        <w:t xml:space="preserve"> </w:t>
      </w:r>
    </w:p>
    <w:p>
      <w:pPr>
        <w:pStyle w:val="Heading5"/>
        <w:rPr>
          <w:snapToGrid w:val="0"/>
        </w:rPr>
      </w:pPr>
      <w:bookmarkStart w:id="241" w:name="_Toc486427291"/>
      <w:r>
        <w:rPr>
          <w:rStyle w:val="CharSectno"/>
        </w:rPr>
        <w:t>63</w:t>
      </w:r>
      <w:r>
        <w:rPr>
          <w:snapToGrid w:val="0"/>
        </w:rPr>
        <w:t>.</w:t>
      </w:r>
      <w:r>
        <w:rPr>
          <w:snapToGrid w:val="0"/>
        </w:rPr>
        <w:tab/>
        <w:t>Making restraining orders during other proceedings</w:t>
      </w:r>
      <w:bookmarkEnd w:id="241"/>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case; and</w:t>
      </w:r>
    </w:p>
    <w:p>
      <w:pPr>
        <w:pStyle w:val="Indenta"/>
        <w:rPr>
          <w:snapToGrid w:val="0"/>
        </w:rPr>
      </w:pPr>
      <w:r>
        <w:rPr>
          <w:snapToGrid w:val="0"/>
        </w:rPr>
        <w:tab/>
        <w:t>(c)</w:t>
      </w:r>
      <w:r>
        <w:rPr>
          <w:snapToGrid w:val="0"/>
        </w:rPr>
        <w:tab/>
        <w:t xml:space="preserve">the person is present when the order is made and has been given an opportunity to </w:t>
      </w:r>
      <w:r>
        <w:t>make submissions</w:t>
      </w:r>
      <w:r>
        <w:rPr>
          <w:snapToGrid w:val="0"/>
        </w:rPr>
        <w:t xml:space="preserve"> on the matter.</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10G(2) that is specified by the court in the FVRO.</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by No. 22 of 2000 s. 13; </w:t>
      </w:r>
      <w:r>
        <w:rPr>
          <w:spacing w:val="-6"/>
        </w:rPr>
        <w:t>No. 34 of 2004 Sch. 2 cl. 23(3)</w:t>
      </w:r>
      <w:r>
        <w:t>; No. 38 of 2004 s. 44 and 55; No. 59 of 2004 s. 123 and 124; No. 5 of 2008 s. 104; No. 49 of 2016 s. 69.]</w:t>
      </w:r>
    </w:p>
    <w:p>
      <w:pPr>
        <w:pStyle w:val="Heading5"/>
      </w:pPr>
      <w:bookmarkStart w:id="242" w:name="_Toc486427292"/>
      <w:r>
        <w:rPr>
          <w:rStyle w:val="CharSectno"/>
        </w:rPr>
        <w:t>63A</w:t>
      </w:r>
      <w:r>
        <w:t>.</w:t>
      </w:r>
      <w:r>
        <w:tab/>
        <w:t>FVRO or VRO made if certain violent personal offences committed</w:t>
      </w:r>
      <w:bookmarkEnd w:id="242"/>
    </w:p>
    <w:p>
      <w:pPr>
        <w:pStyle w:val="Subsection"/>
      </w:pPr>
      <w:r>
        <w:tab/>
        <w:t>(1A)</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297, 325, 326, 327 or 328; or</w:t>
      </w:r>
    </w:p>
    <w:p>
      <w:pPr>
        <w:pStyle w:val="Defpara"/>
      </w:pPr>
      <w:r>
        <w:tab/>
        <w:t>(b)</w:t>
      </w:r>
      <w:r>
        <w:tab/>
        <w:t xml:space="preserve">where the person committing the offence is in a family relationship with a victim of the offence — </w:t>
      </w:r>
    </w:p>
    <w:p>
      <w:pPr>
        <w:pStyle w:val="Indenti"/>
      </w:pPr>
      <w:r>
        <w:tab/>
        <w:t>(i)</w:t>
      </w:r>
      <w:r>
        <w:tab/>
        <w:t xml:space="preserve">an offence against </w:t>
      </w:r>
      <w:r>
        <w:rPr>
          <w:i/>
        </w:rPr>
        <w:t>The Criminal Code</w:t>
      </w:r>
      <w:r>
        <w:t xml:space="preserve"> section 292, 293, 294, 304(2), 320, 321, 321A, 329 or 332;</w:t>
      </w:r>
    </w:p>
    <w:p>
      <w:pPr>
        <w:pStyle w:val="Indenti"/>
      </w:pPr>
      <w:r>
        <w:tab/>
        <w:t>(ii)</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the order objects to that order being made.</w:t>
      </w:r>
    </w:p>
    <w:p>
      <w:pPr>
        <w:pStyle w:val="Ednotesubsection"/>
      </w:pPr>
      <w:r>
        <w:tab/>
        <w:t>[(5)</w:t>
      </w:r>
      <w:r>
        <w:tab/>
        <w:t>deleted]</w:t>
      </w:r>
    </w:p>
    <w:p>
      <w:pPr>
        <w:pStyle w:val="Footnotesection"/>
      </w:pPr>
      <w:r>
        <w:tab/>
        <w:t>[Section 63A inserted by No. 38 of 2004 s. 45; amended by No. 49 of 2016 s. 70.]</w:t>
      </w:r>
    </w:p>
    <w:p>
      <w:pPr>
        <w:pStyle w:val="Heading5"/>
      </w:pPr>
      <w:bookmarkStart w:id="243" w:name="_Toc486427293"/>
      <w:r>
        <w:rPr>
          <w:rStyle w:val="CharSectno"/>
        </w:rPr>
        <w:t>63B</w:t>
      </w:r>
      <w:r>
        <w:t>.</w:t>
      </w:r>
      <w:r>
        <w:tab/>
        <w:t>Circumstances to be taken into account when sentencing for certain offences</w:t>
      </w:r>
      <w:bookmarkEnd w:id="243"/>
    </w:p>
    <w:p>
      <w:pPr>
        <w:pStyle w:val="Subsection"/>
      </w:pPr>
      <w:r>
        <w:tab/>
        <w:t>(1)</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332, 333, 338A, 338B, 338C, 338E or 444.</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by No. 49 of 2016 s. 71.]</w:t>
      </w:r>
    </w:p>
    <w:p>
      <w:pPr>
        <w:pStyle w:val="Heading5"/>
      </w:pPr>
      <w:bookmarkStart w:id="244" w:name="_Toc486427294"/>
      <w:r>
        <w:rPr>
          <w:rStyle w:val="CharSectno"/>
        </w:rPr>
        <w:t>63C</w:t>
      </w:r>
      <w:r>
        <w:t>.</w:t>
      </w:r>
      <w:r>
        <w:tab/>
        <w:t>Criminal and civil liability not affected by restraining orders</w:t>
      </w:r>
      <w:bookmarkEnd w:id="244"/>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pPr>
      <w:bookmarkStart w:id="245" w:name="_Toc486427295"/>
      <w:r>
        <w:t>63D.</w:t>
      </w:r>
      <w:r>
        <w:tab/>
        <w:t>Court to give reasons for certain decisions</w:t>
      </w:r>
      <w:bookmarkEnd w:id="245"/>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by No. 49 of 2016 s. 72.]</w:t>
      </w:r>
    </w:p>
    <w:p>
      <w:pPr>
        <w:pStyle w:val="Heading5"/>
        <w:rPr>
          <w:snapToGrid w:val="0"/>
        </w:rPr>
      </w:pPr>
      <w:bookmarkStart w:id="246" w:name="_Toc486427296"/>
      <w:r>
        <w:rPr>
          <w:rStyle w:val="CharSectno"/>
        </w:rPr>
        <w:t>64</w:t>
      </w:r>
      <w:r>
        <w:rPr>
          <w:snapToGrid w:val="0"/>
        </w:rPr>
        <w:t>.</w:t>
      </w:r>
      <w:r>
        <w:rPr>
          <w:snapToGrid w:val="0"/>
        </w:rPr>
        <w:tab/>
        <w:t>Appeals</w:t>
      </w:r>
      <w:bookmarkEnd w:id="246"/>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by No. 22 of 2000 s. 14; No. 45 of 2004 s. 37; No. 59 of 2004 s. 124; No. 14 of 2013 s. 5; No. 49 of 2016 s. 73.]</w:t>
      </w:r>
    </w:p>
    <w:p>
      <w:pPr>
        <w:pStyle w:val="Heading5"/>
        <w:rPr>
          <w:snapToGrid w:val="0"/>
        </w:rPr>
      </w:pPr>
      <w:bookmarkStart w:id="247" w:name="_Toc486427297"/>
      <w:r>
        <w:rPr>
          <w:rStyle w:val="CharSectno"/>
        </w:rPr>
        <w:t>65</w:t>
      </w:r>
      <w:r>
        <w:rPr>
          <w:snapToGrid w:val="0"/>
        </w:rPr>
        <w:t>.</w:t>
      </w:r>
      <w:r>
        <w:rPr>
          <w:snapToGrid w:val="0"/>
        </w:rPr>
        <w:tab/>
        <w:t>Orders not to conflict with certain family orders</w:t>
      </w:r>
      <w:bookmarkEnd w:id="247"/>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248" w:name="_Toc486427298"/>
      <w:r>
        <w:rPr>
          <w:rStyle w:val="CharSectno"/>
        </w:rPr>
        <w:t>66</w:t>
      </w:r>
      <w:r>
        <w:rPr>
          <w:snapToGrid w:val="0"/>
        </w:rPr>
        <w:t>.</w:t>
      </w:r>
      <w:r>
        <w:rPr>
          <w:snapToGrid w:val="0"/>
        </w:rPr>
        <w:tab/>
        <w:t>Notification of family orders</w:t>
      </w:r>
      <w:bookmarkEnd w:id="248"/>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249" w:name="_Toc486427299"/>
      <w:r>
        <w:rPr>
          <w:rStyle w:val="CharSectno"/>
        </w:rPr>
        <w:t>67</w:t>
      </w:r>
      <w:r>
        <w:t>.</w:t>
      </w:r>
      <w:r>
        <w:tab/>
        <w:t>Adjournments</w:t>
      </w:r>
      <w:bookmarkEnd w:id="249"/>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by No. 38 of 2004 s. 46; amended by No. 59 of 2004 s. 123; No. 20 of 2013 s. 120; No. 49 of 2016 s. 74.]</w:t>
      </w:r>
    </w:p>
    <w:p>
      <w:pPr>
        <w:pStyle w:val="Heading5"/>
        <w:rPr>
          <w:snapToGrid w:val="0"/>
        </w:rPr>
      </w:pPr>
      <w:bookmarkStart w:id="250" w:name="_Toc486427300"/>
      <w:r>
        <w:rPr>
          <w:rStyle w:val="CharSectno"/>
        </w:rPr>
        <w:t>68</w:t>
      </w:r>
      <w:r>
        <w:rPr>
          <w:snapToGrid w:val="0"/>
        </w:rPr>
        <w:t>.</w:t>
      </w:r>
      <w:r>
        <w:rPr>
          <w:snapToGrid w:val="0"/>
        </w:rPr>
        <w:tab/>
        <w:t>Orders may be extended to apply to other people</w:t>
      </w:r>
      <w:bookmarkEnd w:id="250"/>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by No. 49 of 2016 s. 75.]</w:t>
      </w:r>
    </w:p>
    <w:p>
      <w:pPr>
        <w:pStyle w:val="Heading5"/>
        <w:rPr>
          <w:snapToGrid w:val="0"/>
        </w:rPr>
      </w:pPr>
      <w:bookmarkStart w:id="251" w:name="_Toc486427301"/>
      <w:r>
        <w:rPr>
          <w:rStyle w:val="CharSectno"/>
        </w:rPr>
        <w:t>69</w:t>
      </w:r>
      <w:r>
        <w:rPr>
          <w:snapToGrid w:val="0"/>
        </w:rPr>
        <w:t>.</w:t>
      </w:r>
      <w:r>
        <w:rPr>
          <w:snapToGrid w:val="0"/>
        </w:rPr>
        <w:tab/>
        <w:t>Costs</w:t>
      </w:r>
      <w:bookmarkEnd w:id="251"/>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252" w:name="_Toc486427302"/>
      <w:r>
        <w:rPr>
          <w:rStyle w:val="CharSectno"/>
        </w:rPr>
        <w:t>70</w:t>
      </w:r>
      <w:r>
        <w:t>.</w:t>
      </w:r>
      <w:r>
        <w:tab/>
        <w:t>Information on identity of certain person restricted</w:t>
      </w:r>
      <w:bookmarkEnd w:id="252"/>
    </w:p>
    <w:p>
      <w:pPr>
        <w:pStyle w:val="Subsection"/>
      </w:pPr>
      <w:r>
        <w:tab/>
        <w:t>(1)</w:t>
      </w:r>
      <w:r>
        <w:tab/>
        <w:t xml:space="preserve">Subject to subsection (1A) or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 No. 49 of 2016 s. 76.]</w:t>
      </w:r>
    </w:p>
    <w:p>
      <w:pPr>
        <w:pStyle w:val="Heading5"/>
        <w:spacing w:before="260"/>
      </w:pPr>
      <w:bookmarkStart w:id="253" w:name="_Toc486427303"/>
      <w:r>
        <w:rPr>
          <w:rStyle w:val="CharSectno"/>
        </w:rPr>
        <w:t>70A</w:t>
      </w:r>
      <w:r>
        <w:t>.</w:t>
      </w:r>
      <w:r>
        <w:tab/>
        <w:t>Exchange of information</w:t>
      </w:r>
      <w:bookmarkEnd w:id="253"/>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 No. 49 of 2016 s. 77.]</w:t>
      </w:r>
    </w:p>
    <w:p>
      <w:pPr>
        <w:pStyle w:val="Heading5"/>
        <w:rPr>
          <w:snapToGrid w:val="0"/>
        </w:rPr>
      </w:pPr>
      <w:bookmarkStart w:id="254" w:name="_Toc486427304"/>
      <w:r>
        <w:rPr>
          <w:rStyle w:val="CharSectno"/>
        </w:rPr>
        <w:t>71</w:t>
      </w:r>
      <w:r>
        <w:rPr>
          <w:snapToGrid w:val="0"/>
        </w:rPr>
        <w:t>.</w:t>
      </w:r>
      <w:r>
        <w:rPr>
          <w:snapToGrid w:val="0"/>
        </w:rPr>
        <w:tab/>
        <w:t>Notification when firearms order made</w:t>
      </w:r>
      <w:bookmarkEnd w:id="2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by No. 50 of 2003 s. 90(3); No. 49 of 2016 s. 78.]</w:t>
      </w:r>
    </w:p>
    <w:p>
      <w:pPr>
        <w:pStyle w:val="Heading5"/>
        <w:spacing w:before="260"/>
        <w:rPr>
          <w:snapToGrid w:val="0"/>
        </w:rPr>
      </w:pPr>
      <w:bookmarkStart w:id="255" w:name="_Toc486427305"/>
      <w:r>
        <w:rPr>
          <w:rStyle w:val="CharSectno"/>
        </w:rPr>
        <w:t>72</w:t>
      </w:r>
      <w:r>
        <w:rPr>
          <w:snapToGrid w:val="0"/>
        </w:rPr>
        <w:t>.</w:t>
      </w:r>
      <w:r>
        <w:rPr>
          <w:snapToGrid w:val="0"/>
        </w:rPr>
        <w:tab/>
        <w:t>Practice and procedure generally</w:t>
      </w:r>
      <w:bookmarkEnd w:id="255"/>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Heading5"/>
      </w:pPr>
      <w:bookmarkStart w:id="256" w:name="_Toc486427306"/>
      <w:r>
        <w:rPr>
          <w:rStyle w:val="CharSectno"/>
        </w:rPr>
        <w:t>72A</w:t>
      </w:r>
      <w:r>
        <w:t>.</w:t>
      </w:r>
      <w:r>
        <w:tab/>
        <w:t>Forms</w:t>
      </w:r>
      <w:bookmarkEnd w:id="256"/>
    </w:p>
    <w:p>
      <w:pPr>
        <w:pStyle w:val="Subsection"/>
      </w:pPr>
      <w:r>
        <w:tab/>
      </w:r>
      <w:r>
        <w:tab/>
        <w:t>The prescribed forms for a restraining order and a telephone order must contain a brief summary of the effect of section 44B.</w:t>
      </w:r>
    </w:p>
    <w:p>
      <w:pPr>
        <w:pStyle w:val="Footnotesection"/>
      </w:pPr>
      <w:r>
        <w:tab/>
        <w:t>[Section 72A inserted by No. 49 of 2016 s. 79.]</w:t>
      </w:r>
    </w:p>
    <w:p>
      <w:pPr>
        <w:pStyle w:val="Ednotesection"/>
      </w:pPr>
      <w:r>
        <w:t>[</w:t>
      </w:r>
      <w:r>
        <w:rPr>
          <w:b/>
          <w:bCs/>
        </w:rPr>
        <w:t>73A.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spacing w:before="260"/>
        <w:rPr>
          <w:snapToGrid w:val="0"/>
        </w:rPr>
      </w:pPr>
      <w:bookmarkStart w:id="257" w:name="_Toc486427307"/>
      <w:r>
        <w:rPr>
          <w:rStyle w:val="CharSectno"/>
        </w:rPr>
        <w:t>73</w:t>
      </w:r>
      <w:r>
        <w:rPr>
          <w:snapToGrid w:val="0"/>
        </w:rPr>
        <w:t>.</w:t>
      </w:r>
      <w:r>
        <w:rPr>
          <w:snapToGrid w:val="0"/>
        </w:rPr>
        <w:tab/>
        <w:t>Regulation making power</w:t>
      </w:r>
      <w:bookmarkEnd w:id="257"/>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Ednotesubsection"/>
      </w:pPr>
      <w:r>
        <w:tab/>
        <w:t>[(3)</w:t>
      </w:r>
      <w:r>
        <w:tab/>
        <w:t>deleted]</w:t>
      </w:r>
    </w:p>
    <w:p>
      <w:pPr>
        <w:pStyle w:val="Footnotesection"/>
      </w:pPr>
      <w:r>
        <w:tab/>
        <w:t>[Section 73 amended by No. 38 of 2004 s. 49; No. 49 of 2016 s. 80.]</w:t>
      </w:r>
    </w:p>
    <w:p>
      <w:pPr>
        <w:pStyle w:val="Heading5"/>
      </w:pPr>
      <w:bookmarkStart w:id="258" w:name="_Toc486427308"/>
      <w:r>
        <w:rPr>
          <w:rStyle w:val="CharSectno"/>
        </w:rPr>
        <w:t>73A</w:t>
      </w:r>
      <w:r>
        <w:t>.</w:t>
      </w:r>
      <w:r>
        <w:tab/>
        <w:t>Review of certain amendments relating to FVROs</w:t>
      </w:r>
      <w:bookmarkEnd w:id="258"/>
    </w:p>
    <w:p>
      <w:pPr>
        <w:pStyle w:val="Subsection"/>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by No. 49 of 2016 s. 81.]</w:t>
      </w:r>
    </w:p>
    <w:p>
      <w:pPr>
        <w:pStyle w:val="Heading2"/>
      </w:pPr>
      <w:bookmarkStart w:id="259" w:name="_Toc474232123"/>
      <w:bookmarkStart w:id="260" w:name="_Toc485888128"/>
      <w:bookmarkStart w:id="261" w:name="_Toc486425132"/>
      <w:bookmarkStart w:id="262" w:name="_Toc486427309"/>
      <w:r>
        <w:rPr>
          <w:rStyle w:val="CharPartNo"/>
        </w:rPr>
        <w:t>Part 7</w:t>
      </w:r>
      <w:r>
        <w:rPr>
          <w:rStyle w:val="CharDivNo"/>
        </w:rPr>
        <w:t> </w:t>
      </w:r>
      <w:r>
        <w:t>—</w:t>
      </w:r>
      <w:r>
        <w:rPr>
          <w:rStyle w:val="CharDivText"/>
        </w:rPr>
        <w:t> </w:t>
      </w:r>
      <w:r>
        <w:rPr>
          <w:rStyle w:val="CharPartText"/>
        </w:rPr>
        <w:t>Interstate restraining orders</w:t>
      </w:r>
      <w:bookmarkEnd w:id="259"/>
      <w:bookmarkEnd w:id="260"/>
      <w:bookmarkEnd w:id="261"/>
      <w:bookmarkEnd w:id="262"/>
      <w:r>
        <w:rPr>
          <w:rStyle w:val="CharPartText"/>
        </w:rPr>
        <w:t xml:space="preserve"> </w:t>
      </w:r>
    </w:p>
    <w:p>
      <w:pPr>
        <w:pStyle w:val="Heading5"/>
        <w:rPr>
          <w:snapToGrid w:val="0"/>
        </w:rPr>
      </w:pPr>
      <w:bookmarkStart w:id="263" w:name="_Toc486427310"/>
      <w:r>
        <w:rPr>
          <w:rStyle w:val="CharSectno"/>
        </w:rPr>
        <w:t>74</w:t>
      </w:r>
      <w:r>
        <w:rPr>
          <w:snapToGrid w:val="0"/>
        </w:rPr>
        <w:t>.</w:t>
      </w:r>
      <w:r>
        <w:rPr>
          <w:snapToGrid w:val="0"/>
        </w:rPr>
        <w:tab/>
        <w:t>Terms used</w:t>
      </w:r>
      <w:bookmarkEnd w:id="26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by No. 38 of 2004 s. 50; No. 59 of 2004 s. 124.]</w:t>
      </w:r>
    </w:p>
    <w:p>
      <w:pPr>
        <w:pStyle w:val="Heading5"/>
        <w:rPr>
          <w:snapToGrid w:val="0"/>
        </w:rPr>
      </w:pPr>
      <w:bookmarkStart w:id="264" w:name="_Toc486427311"/>
      <w:r>
        <w:rPr>
          <w:rStyle w:val="CharSectno"/>
        </w:rPr>
        <w:t>75</w:t>
      </w:r>
      <w:r>
        <w:rPr>
          <w:snapToGrid w:val="0"/>
        </w:rPr>
        <w:t>.</w:t>
      </w:r>
      <w:r>
        <w:rPr>
          <w:snapToGrid w:val="0"/>
        </w:rPr>
        <w:tab/>
        <w:t>Application for registration of interstate order</w:t>
      </w:r>
      <w:bookmarkEnd w:id="264"/>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by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265" w:name="_Toc486427312"/>
      <w:r>
        <w:rPr>
          <w:rStyle w:val="CharSectno"/>
        </w:rPr>
        <w:t>76</w:t>
      </w:r>
      <w:r>
        <w:rPr>
          <w:snapToGrid w:val="0"/>
        </w:rPr>
        <w:t>.</w:t>
      </w:r>
      <w:r>
        <w:rPr>
          <w:snapToGrid w:val="0"/>
        </w:rPr>
        <w:tab/>
        <w:t>Registration</w:t>
      </w:r>
      <w:bookmarkEnd w:id="265"/>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266" w:name="_Toc486427313"/>
      <w:r>
        <w:rPr>
          <w:rStyle w:val="CharSectno"/>
        </w:rPr>
        <w:t>77</w:t>
      </w:r>
      <w:r>
        <w:rPr>
          <w:snapToGrid w:val="0"/>
        </w:rPr>
        <w:t>.</w:t>
      </w:r>
      <w:r>
        <w:rPr>
          <w:snapToGrid w:val="0"/>
        </w:rPr>
        <w:tab/>
        <w:t>Effect of registration</w:t>
      </w:r>
      <w:bookmarkEnd w:id="266"/>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 No. 49 of 2016 s. 83.]</w:t>
      </w:r>
    </w:p>
    <w:p>
      <w:pPr>
        <w:pStyle w:val="Heading5"/>
        <w:rPr>
          <w:snapToGrid w:val="0"/>
        </w:rPr>
      </w:pPr>
      <w:bookmarkStart w:id="267" w:name="_Toc486427314"/>
      <w:r>
        <w:rPr>
          <w:rStyle w:val="CharSectno"/>
        </w:rPr>
        <w:t>78</w:t>
      </w:r>
      <w:r>
        <w:rPr>
          <w:snapToGrid w:val="0"/>
        </w:rPr>
        <w:t>.</w:t>
      </w:r>
      <w:r>
        <w:rPr>
          <w:snapToGrid w:val="0"/>
        </w:rPr>
        <w:tab/>
        <w:t>Variation or cancellation in another State or Territory</w:t>
      </w:r>
      <w:bookmarkEnd w:id="26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268" w:name="_Toc486427315"/>
      <w:r>
        <w:rPr>
          <w:rStyle w:val="CharSectno"/>
        </w:rPr>
        <w:t>79</w:t>
      </w:r>
      <w:r>
        <w:t>.</w:t>
      </w:r>
      <w:r>
        <w:tab/>
        <w:t>Variation or cancellation in this State</w:t>
      </w:r>
      <w:bookmarkEnd w:id="268"/>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69" w:name="_Toc474232130"/>
      <w:bookmarkStart w:id="270" w:name="_Toc485888135"/>
      <w:bookmarkStart w:id="271" w:name="_Toc486425139"/>
      <w:bookmarkStart w:id="272" w:name="_Toc486427316"/>
      <w:r>
        <w:rPr>
          <w:rStyle w:val="CharPartNo"/>
        </w:rPr>
        <w:t>Part 7A</w:t>
      </w:r>
      <w:r>
        <w:rPr>
          <w:rStyle w:val="CharDivNo"/>
        </w:rPr>
        <w:t xml:space="preserve"> </w:t>
      </w:r>
      <w:r>
        <w:t>—</w:t>
      </w:r>
      <w:r>
        <w:rPr>
          <w:rStyle w:val="CharDivText"/>
        </w:rPr>
        <w:t xml:space="preserve"> </w:t>
      </w:r>
      <w:r>
        <w:rPr>
          <w:rStyle w:val="CharPartText"/>
        </w:rPr>
        <w:t>Foreign restraining orders</w:t>
      </w:r>
      <w:bookmarkEnd w:id="269"/>
      <w:bookmarkEnd w:id="270"/>
      <w:bookmarkEnd w:id="271"/>
      <w:bookmarkEnd w:id="272"/>
    </w:p>
    <w:p>
      <w:pPr>
        <w:pStyle w:val="Footnoteheading"/>
      </w:pPr>
      <w:r>
        <w:tab/>
        <w:t>[Heading inserted by No. 11 of 1999 s. 7.]</w:t>
      </w:r>
    </w:p>
    <w:p>
      <w:pPr>
        <w:pStyle w:val="Heading5"/>
      </w:pPr>
      <w:bookmarkStart w:id="273" w:name="_Toc486427317"/>
      <w:r>
        <w:rPr>
          <w:rStyle w:val="CharSectno"/>
        </w:rPr>
        <w:t>79A</w:t>
      </w:r>
      <w:r>
        <w:t>.</w:t>
      </w:r>
      <w:r>
        <w:tab/>
        <w:t>Recognition of foreign restraining orders</w:t>
      </w:r>
      <w:bookmarkEnd w:id="273"/>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country prescribed in the regulations may be registered and enforced under this Part.</w:t>
      </w:r>
    </w:p>
    <w:p>
      <w:pPr>
        <w:pStyle w:val="Footnotesection"/>
      </w:pPr>
      <w:r>
        <w:tab/>
        <w:t>[Section 79A inserted by No. 11 of 1999 s. 7; amended by No. 49 of 2016 s. 84.]</w:t>
      </w:r>
    </w:p>
    <w:p>
      <w:pPr>
        <w:pStyle w:val="Heading5"/>
      </w:pPr>
      <w:bookmarkStart w:id="274" w:name="_Toc486427318"/>
      <w:r>
        <w:rPr>
          <w:rStyle w:val="CharSectno"/>
        </w:rPr>
        <w:t>79B</w:t>
      </w:r>
      <w:r>
        <w:t>.</w:t>
      </w:r>
      <w:r>
        <w:tab/>
        <w:t>Applying for registration of foreign restraining orders</w:t>
      </w:r>
      <w:bookmarkEnd w:id="274"/>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prescribed form referred to in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 No. 49 of 2016 s. 85.]</w:t>
      </w:r>
    </w:p>
    <w:p>
      <w:pPr>
        <w:pStyle w:val="Heading5"/>
      </w:pPr>
      <w:bookmarkStart w:id="275" w:name="_Toc486427319"/>
      <w:r>
        <w:rPr>
          <w:rStyle w:val="CharSectno"/>
        </w:rPr>
        <w:t>79C</w:t>
      </w:r>
      <w:r>
        <w:t>.</w:t>
      </w:r>
      <w:r>
        <w:tab/>
        <w:t>Registration of foreign restraining orders</w:t>
      </w:r>
      <w:bookmarkEnd w:id="275"/>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276" w:name="_Toc486427320"/>
      <w:r>
        <w:rPr>
          <w:rStyle w:val="CharSectno"/>
        </w:rPr>
        <w:t>79D</w:t>
      </w:r>
      <w:r>
        <w:t>.</w:t>
      </w:r>
      <w:r>
        <w:tab/>
        <w:t>Effect of registration</w:t>
      </w:r>
      <w:bookmarkEnd w:id="276"/>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 amended by No. 49 of 2016 s. 86.]</w:t>
      </w:r>
    </w:p>
    <w:p>
      <w:pPr>
        <w:pStyle w:val="Heading5"/>
      </w:pPr>
      <w:bookmarkStart w:id="277" w:name="_Toc486427321"/>
      <w:r>
        <w:rPr>
          <w:rStyle w:val="CharSectno"/>
        </w:rPr>
        <w:t>79E</w:t>
      </w:r>
      <w:r>
        <w:t>.</w:t>
      </w:r>
      <w:r>
        <w:tab/>
        <w:t>Variation or cancellation in foreign country</w:t>
      </w:r>
      <w:bookmarkEnd w:id="277"/>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278" w:name="_Toc486427322"/>
      <w:r>
        <w:rPr>
          <w:rStyle w:val="CharSectno"/>
        </w:rPr>
        <w:t>79F</w:t>
      </w:r>
      <w:r>
        <w:t>.</w:t>
      </w:r>
      <w:r>
        <w:tab/>
        <w:t>Variation or cancellation in this State</w:t>
      </w:r>
      <w:bookmarkEnd w:id="278"/>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2</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279" w:name="_Toc474232137"/>
      <w:bookmarkStart w:id="280" w:name="_Toc485888142"/>
      <w:bookmarkStart w:id="281" w:name="_Toc486425146"/>
      <w:bookmarkStart w:id="282" w:name="_Toc486427323"/>
      <w:r>
        <w:t>Notes</w:t>
      </w:r>
      <w:bookmarkEnd w:id="279"/>
      <w:bookmarkEnd w:id="280"/>
      <w:bookmarkEnd w:id="281"/>
      <w:bookmarkEnd w:id="282"/>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283" w:name="_Toc486427324"/>
      <w:r>
        <w:rPr>
          <w:snapToGrid w:val="0"/>
        </w:rPr>
        <w:t>Compilation table</w:t>
      </w:r>
      <w:bookmarkEnd w:id="283"/>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keepNext/>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 </w:t>
            </w:r>
            <w:r>
              <w:rPr>
                <w:snapToGrid w:val="0"/>
                <w:vertAlign w:val="superscript"/>
              </w:rPr>
              <w:t>3</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Pt. 17 (other than the amendments in s. 123 to s. 67(2) and in s. 124 to s. 4(a) </w:t>
            </w:r>
            <w:r>
              <w:rPr>
                <w:color w:val="000000"/>
                <w:vertAlign w:val="superscript"/>
              </w:rPr>
              <w:t>2</w:t>
            </w:r>
            <w:r>
              <w:rPr>
                <w:color w:val="000000"/>
              </w:rPr>
              <w:t xml:space="preserve">):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keepNext/>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tcBorders>
              <w:bottom w:val="single" w:sz="4" w:space="0" w:color="auto"/>
            </w:tcBorders>
            <w:shd w:val="clear" w:color="auto" w:fill="auto"/>
          </w:tcPr>
          <w:p>
            <w:pPr>
              <w:pStyle w:val="nTable"/>
              <w:spacing w:before="60" w:after="60"/>
            </w:pPr>
            <w:r>
              <w:t>49 of 2016</w:t>
            </w:r>
          </w:p>
        </w:tc>
        <w:tc>
          <w:tcPr>
            <w:tcW w:w="1134" w:type="dxa"/>
            <w:tcBorders>
              <w:bottom w:val="single" w:sz="4" w:space="0" w:color="auto"/>
            </w:tcBorders>
            <w:shd w:val="clear" w:color="auto" w:fill="auto"/>
          </w:tcPr>
          <w:p>
            <w:pPr>
              <w:pStyle w:val="nTable"/>
              <w:spacing w:before="60" w:after="60"/>
            </w:pPr>
            <w:r>
              <w:t>29 Nov 2016</w:t>
            </w:r>
          </w:p>
        </w:tc>
        <w:tc>
          <w:tcPr>
            <w:tcW w:w="2552" w:type="dxa"/>
            <w:tcBorders>
              <w:bottom w:val="single" w:sz="4" w:space="0" w:color="auto"/>
            </w:tcBorders>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4" w:name="_Toc486427325"/>
      <w:r>
        <w:rPr>
          <w:snapToGrid w:val="0"/>
        </w:rPr>
        <w:t>Provisions that have not come into operation</w:t>
      </w:r>
      <w:bookmarkEnd w:id="284"/>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single" w:sz="4" w:space="0" w:color="auto"/>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r>
              <w:rPr>
                <w:vertAlign w:val="superscript"/>
              </w:rPr>
              <w:t> 4</w:t>
            </w:r>
          </w:p>
        </w:tc>
        <w:tc>
          <w:tcPr>
            <w:tcW w:w="1134" w:type="dxa"/>
            <w:tcBorders>
              <w:top w:val="single" w:sz="4" w:space="0" w:color="auto"/>
              <w:bottom w:val="single" w:sz="4" w:space="0" w:color="auto"/>
            </w:tcBorders>
            <w:shd w:val="clear" w:color="auto" w:fill="auto"/>
          </w:tcPr>
          <w:p>
            <w:pPr>
              <w:pStyle w:val="nTable"/>
              <w:spacing w:after="40"/>
            </w:pPr>
            <w:r>
              <w:t>20 of 2013</w:t>
            </w:r>
          </w:p>
        </w:tc>
        <w:tc>
          <w:tcPr>
            <w:tcW w:w="1134" w:type="dxa"/>
            <w:tcBorders>
              <w:top w:val="single" w:sz="4" w:space="0" w:color="auto"/>
              <w:bottom w:val="single" w:sz="4" w:space="0" w:color="auto"/>
            </w:tcBorders>
            <w:shd w:val="clear" w:color="auto" w:fill="auto"/>
          </w:tcPr>
          <w:p>
            <w:pPr>
              <w:pStyle w:val="nTable"/>
              <w:spacing w:after="40"/>
            </w:pPr>
            <w:r>
              <w:t>4 Nov 2013</w:t>
            </w:r>
          </w:p>
        </w:tc>
        <w:tc>
          <w:tcPr>
            <w:tcW w:w="2552" w:type="dxa"/>
            <w:tcBorders>
              <w:top w:val="single" w:sz="4" w:space="0" w:color="auto"/>
              <w:bottom w:val="single" w:sz="4" w:space="0" w:color="auto"/>
              <w:right w:val="nil"/>
            </w:tcBorders>
            <w:shd w:val="clear" w:color="auto" w:fill="auto"/>
          </w:tcPr>
          <w:p>
            <w:pPr>
              <w:pStyle w:val="nTable"/>
              <w:spacing w:after="40"/>
              <w:rPr>
                <w:snapToGrid w:val="0"/>
              </w:rPr>
            </w:pPr>
            <w:r>
              <w:rPr>
                <w:snapToGrid w:val="0"/>
              </w:rPr>
              <w:t>To be proclaimed (see s. 2(b))</w:t>
            </w:r>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spacing w:before="12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Pr>
        <w:pStyle w:val="nSubsection"/>
        <w:keepNext/>
        <w:keepLines/>
        <w:spacing w:before="120"/>
      </w:pPr>
      <w:r>
        <w:rPr>
          <w:snapToGrid w:val="0"/>
          <w:vertAlign w:val="superscript"/>
        </w:rPr>
        <w:t>4</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w:t>
      </w:r>
      <w:r>
        <w:rPr>
          <w:sz w:val="19"/>
        </w:rPr>
        <w:t>s. 108, 110</w:t>
      </w:r>
      <w:r>
        <w:rPr>
          <w:sz w:val="19"/>
        </w:rPr>
        <w:noBreakHyphen/>
        <w:t>112, 114</w:t>
      </w:r>
      <w:r>
        <w:rPr>
          <w:sz w:val="19"/>
        </w:rPr>
        <w:noBreakHyphen/>
        <w:t xml:space="preserve">117, 119 and 121 </w:t>
      </w:r>
      <w:r>
        <w:rPr>
          <w:snapToGrid w:val="0"/>
        </w:rPr>
        <w:t>had not come into operation.  They read as follows:</w:t>
      </w:r>
    </w:p>
    <w:p>
      <w:pPr>
        <w:pStyle w:val="BlankClose"/>
        <w:keepNext/>
        <w:keepLines w:val="0"/>
        <w:suppressLineNumbers/>
      </w:pP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keepNext/>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tabs>
          <w:tab w:val="clear" w:pos="1162"/>
          <w:tab w:val="clear" w:pos="1446"/>
          <w:tab w:val="right" w:pos="1701"/>
          <w:tab w:val="left" w:pos="1985"/>
        </w:tabs>
        <w:ind w:left="1985"/>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tabs>
          <w:tab w:val="clear" w:pos="1162"/>
          <w:tab w:val="clear" w:pos="1446"/>
          <w:tab w:val="right" w:pos="1701"/>
          <w:tab w:val="left" w:pos="1985"/>
        </w:tabs>
        <w:ind w:left="1985"/>
      </w:pPr>
      <w:r>
        <w:tab/>
        <w:t>(2)</w:t>
      </w:r>
      <w:r>
        <w:tab/>
        <w:t xml:space="preserve">If the registrar is satisfied that reasonable efforts have been made to serve a restraining order personally, the registrar may authorise — </w:t>
      </w:r>
    </w:p>
    <w:p>
      <w:pPr>
        <w:pStyle w:val="nzIndenta"/>
        <w:tabs>
          <w:tab w:val="clear" w:pos="1899"/>
          <w:tab w:val="clear" w:pos="2183"/>
          <w:tab w:val="right" w:pos="2268"/>
          <w:tab w:val="left" w:pos="2552"/>
        </w:tabs>
        <w:ind w:left="2552"/>
      </w:pPr>
      <w:r>
        <w:tab/>
        <w:t>(a)</w:t>
      </w:r>
      <w:r>
        <w:tab/>
        <w:t>oral service of the order; or</w:t>
      </w:r>
    </w:p>
    <w:p>
      <w:pPr>
        <w:pStyle w:val="nzIndenta"/>
        <w:tabs>
          <w:tab w:val="clear" w:pos="1899"/>
          <w:tab w:val="clear" w:pos="2183"/>
          <w:tab w:val="right" w:pos="2268"/>
          <w:tab w:val="left" w:pos="2552"/>
        </w:tabs>
        <w:ind w:left="2552"/>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keepNext/>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keepNext/>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286" w:name="_Toc486427326"/>
      <w:r>
        <w:rPr>
          <w:sz w:val="28"/>
        </w:rPr>
        <w:t>Defined terms</w:t>
      </w:r>
      <w:bookmarkEnd w:id="2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aid</w:t>
      </w:r>
      <w:r>
        <w:tab/>
        <w:t>61B(1)</w:t>
      </w:r>
    </w:p>
    <w:p>
      <w:pPr>
        <w:pStyle w:val="DefinedTerms"/>
      </w:pPr>
      <w:r>
        <w:t>application</w:t>
      </w:r>
      <w:r>
        <w:tab/>
        <w:t>3(1)</w:t>
      </w:r>
    </w:p>
    <w:p>
      <w:pPr>
        <w:pStyle w:val="DefinedTerms"/>
      </w:pPr>
      <w:r>
        <w:t>assault</w:t>
      </w:r>
      <w:r>
        <w:tab/>
        <w:t>3(1)</w:t>
      </w:r>
    </w:p>
    <w:p>
      <w:pPr>
        <w:pStyle w:val="DefinedTerms"/>
      </w:pPr>
      <w:r>
        <w:t>authorised magistrate</w:t>
      </w:r>
      <w:r>
        <w:tab/>
        <w:t>3(1)</w:t>
      </w:r>
    </w:p>
    <w:p>
      <w:pPr>
        <w:pStyle w:val="DefinedTerms"/>
      </w:pPr>
      <w:r>
        <w:t>authorised person</w:t>
      </w:r>
      <w:r>
        <w:tab/>
        <w:t>3(1)</w:t>
      </w:r>
    </w:p>
    <w:p>
      <w:pPr>
        <w:pStyle w:val="DefinedTerms"/>
      </w:pPr>
      <w:r>
        <w:t>behaviour change order</w:t>
      </w:r>
      <w:r>
        <w:tab/>
        <w:t>10I, 10M(1)</w:t>
      </w:r>
    </w:p>
    <w:p>
      <w:pPr>
        <w:pStyle w:val="DefinedTerms"/>
      </w:pPr>
      <w:r>
        <w:t>behaviour change programme</w:t>
      </w:r>
      <w:r>
        <w:tab/>
        <w:t>10I, 10P(2)</w:t>
      </w:r>
    </w:p>
    <w:p>
      <w:pPr>
        <w:pStyle w:val="DefinedTerms"/>
      </w:pPr>
      <w:r>
        <w:t>behaviour change programme provider</w:t>
      </w:r>
      <w:r>
        <w:tab/>
        <w:t>10I, 10P(3)</w:t>
      </w:r>
    </w:p>
    <w:p>
      <w:pPr>
        <w:pStyle w:val="DefinedTerms"/>
      </w:pPr>
      <w:r>
        <w:t>behaviour management order</w:t>
      </w:r>
      <w:r>
        <w:tab/>
        <w:t>10I</w:t>
      </w:r>
    </w:p>
    <w:p>
      <w:pPr>
        <w:pStyle w:val="DefinedTerms"/>
      </w:pPr>
      <w:r>
        <w:t>bound person</w:t>
      </w:r>
      <w:r>
        <w:tab/>
        <w:t>61B(1)</w:t>
      </w:r>
    </w:p>
    <w:p>
      <w:pPr>
        <w:pStyle w:val="DefinedTerms"/>
      </w:pPr>
      <w:r>
        <w:t>CEO (child welfare)</w:t>
      </w:r>
      <w:r>
        <w:tab/>
        <w:t>3(1)</w:t>
      </w:r>
    </w:p>
    <w:p>
      <w:pPr>
        <w:pStyle w:val="DefinedTerms"/>
      </w:pPr>
      <w:r>
        <w:t>child</w:t>
      </w:r>
      <w:r>
        <w:tab/>
        <w:t>3(1)</w:t>
      </w:r>
    </w:p>
    <w:p>
      <w:pPr>
        <w:pStyle w:val="DefinedTerms"/>
      </w:pPr>
      <w:r>
        <w:t>child welfare law</w:t>
      </w:r>
      <w:r>
        <w:tab/>
        <w:t>50B(4)</w:t>
      </w:r>
    </w:p>
    <w:p>
      <w:pPr>
        <w:pStyle w:val="DefinedTerms"/>
      </w:pPr>
      <w:r>
        <w:t>child welfare officer</w:t>
      </w:r>
      <w:r>
        <w:tab/>
        <w:t>3(1)</w:t>
      </w:r>
    </w:p>
    <w:p>
      <w:pPr>
        <w:pStyle w:val="DefinedTerms"/>
      </w:pPr>
      <w:r>
        <w:t>co</w:t>
      </w:r>
      <w:r>
        <w:noBreakHyphen/>
        <w:t>licensee</w:t>
      </w:r>
      <w:r>
        <w:tab/>
        <w:t>71(2)</w:t>
      </w:r>
    </w:p>
    <w:p>
      <w:pPr>
        <w:pStyle w:val="DefinedTerms"/>
      </w:pPr>
      <w:r>
        <w:t>Commissioner of Police</w:t>
      </w:r>
      <w:r>
        <w:tab/>
        <w:t>3(1)</w:t>
      </w:r>
    </w:p>
    <w:p>
      <w:pPr>
        <w:pStyle w:val="DefinedTerms"/>
      </w:pPr>
      <w:r>
        <w:t>conduct agreement</w:t>
      </w:r>
      <w:r>
        <w:tab/>
        <w:t>10H(1)</w:t>
      </w:r>
    </w:p>
    <w:p>
      <w:pPr>
        <w:pStyle w:val="DefinedTerms"/>
      </w:pPr>
      <w:r>
        <w:t>conduct agreement order</w:t>
      </w:r>
      <w:r>
        <w:tab/>
        <w:t>3(1), 10H(1)</w:t>
      </w:r>
    </w:p>
    <w:p>
      <w:pPr>
        <w:pStyle w:val="DefinedTerms"/>
      </w:pPr>
      <w:r>
        <w:t>consent order</w:t>
      </w:r>
      <w:r>
        <w:tab/>
        <w:t>3(1)</w:t>
      </w:r>
    </w:p>
    <w:p>
      <w:pPr>
        <w:pStyle w:val="DefinedTerms"/>
      </w:pPr>
      <w:r>
        <w:t>conviction</w:t>
      </w:r>
      <w:r>
        <w:tab/>
        <w:t>61A(1)</w:t>
      </w:r>
    </w:p>
    <w:p>
      <w:pPr>
        <w:pStyle w:val="DefinedTerms"/>
      </w:pPr>
      <w:r>
        <w:t>corresponding law</w:t>
      </w:r>
      <w:r>
        <w:tab/>
        <w:t>3(1)</w:t>
      </w:r>
    </w:p>
    <w:p>
      <w:pPr>
        <w:pStyle w:val="DefinedTerms"/>
      </w:pPr>
      <w:r>
        <w:t>court</w:t>
      </w:r>
      <w:r>
        <w:tab/>
        <w:t>3(1), 10I</w:t>
      </w:r>
    </w:p>
    <w:p>
      <w:pPr>
        <w:pStyle w:val="DefinedTerms"/>
      </w:pPr>
      <w:r>
        <w:t>cyber</w:t>
      </w:r>
      <w:r>
        <w:noBreakHyphen/>
        <w:t>stalking</w:t>
      </w:r>
      <w:r>
        <w:tab/>
        <w:t>3(1)</w:t>
      </w:r>
    </w:p>
    <w:p>
      <w:pPr>
        <w:pStyle w:val="DefinedTerms"/>
      </w:pPr>
      <w:r>
        <w:t>earlier order</w:t>
      </w:r>
      <w:r>
        <w:tab/>
        <w:t>32(5)</w:t>
      </w:r>
    </w:p>
    <w:p>
      <w:pPr>
        <w:pStyle w:val="DefinedTerms"/>
      </w:pPr>
      <w:r>
        <w:t>eligibility assessment interview</w:t>
      </w:r>
      <w:r>
        <w:tab/>
        <w:t>10I, 10L(1)</w:t>
      </w:r>
    </w:p>
    <w:p>
      <w:pPr>
        <w:pStyle w:val="DefinedTerms"/>
      </w:pPr>
      <w:r>
        <w:t>eligibility assessment order</w:t>
      </w:r>
      <w:r>
        <w:tab/>
        <w:t>10I</w:t>
      </w:r>
    </w:p>
    <w:p>
      <w:pPr>
        <w:pStyle w:val="DefinedTerms"/>
      </w:pPr>
      <w:r>
        <w:t>eligibility assessment report</w:t>
      </w:r>
      <w:r>
        <w:tab/>
        <w:t>10I, 10L(1)</w:t>
      </w:r>
    </w:p>
    <w:p>
      <w:pPr>
        <w:pStyle w:val="DefinedTerms"/>
      </w:pPr>
      <w:r>
        <w:t>eligibility assessor</w:t>
      </w:r>
      <w:r>
        <w:tab/>
        <w:t>10I, 10P(1)</w:t>
      </w:r>
    </w:p>
    <w:p>
      <w:pPr>
        <w:pStyle w:val="DefinedTerms"/>
      </w:pPr>
      <w:r>
        <w:t>exposed</w:t>
      </w:r>
      <w:r>
        <w:tab/>
        <w:t>3(1), 6A(1)</w:t>
      </w:r>
    </w:p>
    <w:p>
      <w:pPr>
        <w:pStyle w:val="DefinedTerms"/>
      </w:pPr>
      <w:r>
        <w:t>family member</w:t>
      </w:r>
      <w:r>
        <w:tab/>
        <w:t>3(1), 4(3)</w:t>
      </w:r>
    </w:p>
    <w:p>
      <w:pPr>
        <w:pStyle w:val="DefinedTerms"/>
      </w:pPr>
      <w:r>
        <w:t>family order</w:t>
      </w:r>
      <w:r>
        <w:tab/>
        <w:t>3(1), 5(1)</w:t>
      </w:r>
    </w:p>
    <w:p>
      <w:pPr>
        <w:pStyle w:val="DefinedTerms"/>
      </w:pPr>
      <w:r>
        <w:t>family relationship</w:t>
      </w:r>
      <w:r>
        <w:tab/>
        <w:t>4(1)</w:t>
      </w:r>
    </w:p>
    <w:p>
      <w:pPr>
        <w:pStyle w:val="DefinedTerms"/>
      </w:pPr>
      <w:r>
        <w:t>family violence</w:t>
      </w:r>
      <w:r>
        <w:tab/>
        <w:t>3(1), 5A(1)</w:t>
      </w:r>
    </w:p>
    <w:p>
      <w:pPr>
        <w:pStyle w:val="DefinedTerms"/>
      </w:pPr>
      <w:r>
        <w:t>family violence restraining order</w:t>
      </w:r>
      <w:r>
        <w:tab/>
        <w:t>3(1)</w:t>
      </w:r>
    </w:p>
    <w:p>
      <w:pPr>
        <w:pStyle w:val="DefinedTerms"/>
      </w:pPr>
      <w:r>
        <w:t>final order</w:t>
      </w:r>
      <w:r>
        <w:tab/>
        <w:t>3(1)</w:t>
      </w:r>
    </w:p>
    <w:p>
      <w:pPr>
        <w:pStyle w:val="DefinedTerms"/>
      </w:pPr>
      <w:r>
        <w:t>final order hearing</w:t>
      </w:r>
      <w:r>
        <w:tab/>
        <w:t>3(1)</w:t>
      </w:r>
    </w:p>
    <w:p>
      <w:pPr>
        <w:pStyle w:val="DefinedTerms"/>
      </w:pPr>
      <w:r>
        <w:t>firearm</w:t>
      </w:r>
      <w:r>
        <w:tab/>
        <w:t>3(1)</w:t>
      </w:r>
    </w:p>
    <w:p>
      <w:pPr>
        <w:pStyle w:val="DefinedTerms"/>
      </w:pPr>
      <w:r>
        <w:t>firearms licence</w:t>
      </w:r>
      <w:r>
        <w:tab/>
        <w:t>3(1)</w:t>
      </w:r>
    </w:p>
    <w:p>
      <w:pPr>
        <w:pStyle w:val="DefinedTerms"/>
      </w:pPr>
      <w:r>
        <w:t>firearms order</w:t>
      </w:r>
      <w:r>
        <w:tab/>
        <w:t>71(1)</w:t>
      </w:r>
    </w:p>
    <w:p>
      <w:pPr>
        <w:pStyle w:val="DefinedTerms"/>
      </w:pPr>
      <w:r>
        <w:t>fix a hearing</w:t>
      </w:r>
      <w:r>
        <w:tab/>
        <w:t>3(1)</w:t>
      </w:r>
    </w:p>
    <w:p>
      <w:pPr>
        <w:pStyle w:val="DefinedTerms"/>
      </w:pPr>
      <w:r>
        <w:t>foreign restraining order</w:t>
      </w:r>
      <w:r>
        <w:tab/>
        <w:t>3(1)</w:t>
      </w:r>
    </w:p>
    <w:p>
      <w:pPr>
        <w:pStyle w:val="DefinedTerms"/>
      </w:pPr>
      <w:r>
        <w:t>FVRO</w:t>
      </w:r>
      <w:r>
        <w:tab/>
        <w:t>3(2)</w:t>
      </w:r>
    </w:p>
    <w:p>
      <w:pPr>
        <w:pStyle w:val="DefinedTerms"/>
      </w:pPr>
      <w:r>
        <w:t>imagined personal relationship</w:t>
      </w:r>
      <w:r>
        <w:tab/>
        <w:t>3(1)</w:t>
      </w:r>
    </w:p>
    <w:p>
      <w:pPr>
        <w:pStyle w:val="DefinedTerms"/>
      </w:pPr>
      <w:r>
        <w:t>inform the court</w:t>
      </w:r>
      <w:r>
        <w:tab/>
        <w:t>66(1)</w:t>
      </w:r>
    </w:p>
    <w:p>
      <w:pPr>
        <w:pStyle w:val="DefinedTerms"/>
      </w:pPr>
      <w:r>
        <w:t>interested party</w:t>
      </w:r>
      <w:r>
        <w:tab/>
        <w:t>70A(1)</w:t>
      </w:r>
    </w:p>
    <w:p>
      <w:pPr>
        <w:pStyle w:val="DefinedTerms"/>
      </w:pPr>
      <w:r>
        <w:t>interim order</w:t>
      </w:r>
      <w:r>
        <w:tab/>
        <w:t>3(1)</w:t>
      </w:r>
    </w:p>
    <w:p>
      <w:pPr>
        <w:pStyle w:val="DefinedTerms"/>
      </w:pPr>
      <w:r>
        <w:t>interstate order</w:t>
      </w:r>
      <w:r>
        <w:tab/>
        <w:t>74</w:t>
      </w:r>
    </w:p>
    <w:p>
      <w:pPr>
        <w:pStyle w:val="DefinedTerms"/>
      </w:pPr>
      <w:r>
        <w:t>kidnapping, or depriving the liberty of</w:t>
      </w:r>
      <w:r>
        <w:tab/>
        <w:t>3(1)</w:t>
      </w:r>
    </w:p>
    <w:p>
      <w:pPr>
        <w:pStyle w:val="DefinedTerms"/>
      </w:pPr>
      <w:r>
        <w:t>legal practitioner</w:t>
      </w:r>
      <w:r>
        <w:tab/>
        <w:t>3(1)</w:t>
      </w:r>
    </w:p>
    <w:p>
      <w:pPr>
        <w:pStyle w:val="DefinedTerms"/>
      </w:pPr>
      <w:r>
        <w:t>mention hearing</w:t>
      </w:r>
      <w:r>
        <w:tab/>
        <w:t>3(1)</w:t>
      </w:r>
    </w:p>
    <w:p>
      <w:pPr>
        <w:pStyle w:val="DefinedTerms"/>
      </w:pPr>
      <w:r>
        <w:t>misconduct restraining order</w:t>
      </w:r>
      <w:r>
        <w:tab/>
        <w:t>3(1)</w:t>
      </w:r>
    </w:p>
    <w:p>
      <w:pPr>
        <w:pStyle w:val="DefinedTerms"/>
      </w:pPr>
      <w:r>
        <w:t>MRO</w:t>
      </w:r>
      <w:r>
        <w:tab/>
        <w:t>3(2)</w:t>
      </w:r>
    </w:p>
    <w:p>
      <w:pPr>
        <w:pStyle w:val="DefinedTerms"/>
      </w:pPr>
      <w:r>
        <w:t>order</w:t>
      </w:r>
      <w:r>
        <w:tab/>
        <w:t>61B(1)</w:t>
      </w:r>
    </w:p>
    <w:p>
      <w:pPr>
        <w:pStyle w:val="DefinedTerms"/>
      </w:pPr>
      <w:r>
        <w:t>other personal relationship</w:t>
      </w:r>
      <w:r>
        <w:tab/>
        <w:t>4(2)</w:t>
      </w:r>
    </w:p>
    <w:p>
      <w:pPr>
        <w:pStyle w:val="DefinedTerms"/>
      </w:pPr>
      <w:r>
        <w:t>person protected</w:t>
      </w:r>
      <w:r>
        <w:tab/>
        <w:t>3(1)</w:t>
      </w:r>
    </w:p>
    <w:p>
      <w:pPr>
        <w:pStyle w:val="DefinedTerms"/>
      </w:pPr>
      <w:r>
        <w:t>person seeking to be protected</w:t>
      </w:r>
      <w:r>
        <w:tab/>
        <w:t>3(1)</w:t>
      </w:r>
    </w:p>
    <w:p>
      <w:pPr>
        <w:pStyle w:val="DefinedTerms"/>
      </w:pPr>
      <w:r>
        <w:t>person who is bound</w:t>
      </w:r>
      <w:r>
        <w:tab/>
        <w:t>3(1)</w:t>
      </w:r>
    </w:p>
    <w:p>
      <w:pPr>
        <w:pStyle w:val="DefinedTerms"/>
      </w:pPr>
      <w:r>
        <w:t>personal violence</w:t>
      </w:r>
      <w:r>
        <w:tab/>
        <w:t>3(1), 6(2)</w:t>
      </w:r>
    </w:p>
    <w:p>
      <w:pPr>
        <w:pStyle w:val="DefinedTerms"/>
      </w:pPr>
      <w:r>
        <w:t>police order</w:t>
      </w:r>
      <w:r>
        <w:tab/>
        <w:t>3(1)</w:t>
      </w:r>
    </w:p>
    <w:p>
      <w:pPr>
        <w:pStyle w:val="DefinedTerms"/>
      </w:pPr>
      <w:r>
        <w:t>prepare and serve</w:t>
      </w:r>
      <w:r>
        <w:tab/>
        <w:t>3(1)</w:t>
      </w:r>
    </w:p>
    <w:p>
      <w:pPr>
        <w:pStyle w:val="DefinedTerms"/>
      </w:pPr>
      <w:r>
        <w:t>prescribed form</w:t>
      </w:r>
      <w:r>
        <w:tab/>
        <w:t>3(1)</w:t>
      </w:r>
    </w:p>
    <w:p>
      <w:pPr>
        <w:pStyle w:val="DefinedTerms"/>
      </w:pPr>
      <w:r>
        <w:t>prescribed information</w:t>
      </w:r>
      <w:r>
        <w:tab/>
        <w:t>70A(1)</w:t>
      </w:r>
    </w:p>
    <w:p>
      <w:pPr>
        <w:pStyle w:val="DefinedTerms"/>
      </w:pPr>
      <w:r>
        <w:t>previous offences</w:t>
      </w:r>
      <w:r>
        <w:tab/>
        <w:t>61A(2)</w:t>
      </w:r>
    </w:p>
    <w:p>
      <w:pPr>
        <w:pStyle w:val="DefinedTerms"/>
      </w:pPr>
      <w:r>
        <w:t>prisoner</w:t>
      </w:r>
      <w:r>
        <w:tab/>
        <w:t>16A(1)</w:t>
      </w:r>
    </w:p>
    <w:p>
      <w:pPr>
        <w:pStyle w:val="DefinedTerms"/>
      </w:pPr>
      <w:r>
        <w:t>proceeding</w:t>
      </w:r>
      <w:r>
        <w:tab/>
        <w:t>10I</w:t>
      </w:r>
    </w:p>
    <w:p>
      <w:pPr>
        <w:pStyle w:val="DefinedTerms"/>
      </w:pPr>
      <w:r>
        <w:t>proceedings under this Act</w:t>
      </w:r>
      <w:r>
        <w:tab/>
        <w:t>3(1)</w:t>
      </w:r>
    </w:p>
    <w:p>
      <w:pPr>
        <w:pStyle w:val="DefinedTerms"/>
      </w:pPr>
      <w:r>
        <w:t>property</w:t>
      </w:r>
      <w:r>
        <w:tab/>
        <w:t>3(1)</w:t>
      </w:r>
    </w:p>
    <w:p>
      <w:pPr>
        <w:pStyle w:val="DefinedTerms"/>
      </w:pPr>
      <w:r>
        <w:t>protected person</w:t>
      </w:r>
      <w:r>
        <w:tab/>
        <w:t>61B(1)</w:t>
      </w:r>
    </w:p>
    <w:p>
      <w:pPr>
        <w:pStyle w:val="DefinedTerms"/>
      </w:pPr>
      <w:r>
        <w:t>registered</w:t>
      </w:r>
      <w:r>
        <w:tab/>
        <w:t>3(1)</w:t>
      </w:r>
    </w:p>
    <w:p>
      <w:pPr>
        <w:pStyle w:val="DefinedTerms"/>
      </w:pPr>
      <w:r>
        <w:t>registered order</w:t>
      </w:r>
      <w:r>
        <w:tab/>
        <w:t>74</w:t>
      </w:r>
    </w:p>
    <w:p>
      <w:pPr>
        <w:pStyle w:val="DefinedTerms"/>
      </w:pPr>
      <w:r>
        <w:t>registrar</w:t>
      </w:r>
      <w:r>
        <w:tab/>
        <w:t>3(1), 74</w:t>
      </w:r>
    </w:p>
    <w:p>
      <w:pPr>
        <w:pStyle w:val="DefinedTerms"/>
      </w:pPr>
      <w:r>
        <w:t>related</w:t>
      </w:r>
      <w:r>
        <w:tab/>
        <w:t>4(2)</w:t>
      </w:r>
    </w:p>
    <w:p>
      <w:pPr>
        <w:pStyle w:val="DefinedTerms"/>
      </w:pPr>
      <w:r>
        <w:t>relevant offence</w:t>
      </w:r>
      <w:r>
        <w:tab/>
        <w:t>61A(2)</w:t>
      </w:r>
    </w:p>
    <w:p>
      <w:pPr>
        <w:pStyle w:val="DefinedTerms"/>
      </w:pPr>
      <w:r>
        <w:t>remote communication</w:t>
      </w:r>
      <w:r>
        <w:tab/>
        <w:t>62D(8)</w:t>
      </w:r>
    </w:p>
    <w:p>
      <w:pPr>
        <w:pStyle w:val="DefinedTerms"/>
      </w:pPr>
      <w:r>
        <w:t>representation</w:t>
      </w:r>
      <w:r>
        <w:tab/>
        <w:t>44A(3), 53E(4)</w:t>
      </w:r>
    </w:p>
    <w:p>
      <w:pPr>
        <w:pStyle w:val="DefinedTerms"/>
      </w:pPr>
      <w:r>
        <w:t>respondent</w:t>
      </w:r>
      <w:r>
        <w:tab/>
        <w:t>3(1), 31A, 43A(1)</w:t>
      </w:r>
    </w:p>
    <w:p>
      <w:pPr>
        <w:pStyle w:val="DefinedTerms"/>
      </w:pPr>
      <w:r>
        <w:t>responsible person</w:t>
      </w:r>
      <w:r>
        <w:tab/>
        <w:t>71(1)</w:t>
      </w:r>
    </w:p>
    <w:p>
      <w:pPr>
        <w:pStyle w:val="DefinedTerms"/>
      </w:pPr>
      <w:r>
        <w:t>restrained person</w:t>
      </w:r>
      <w:r>
        <w:tab/>
        <w:t>71(1)</w:t>
      </w:r>
    </w:p>
    <w:p>
      <w:pPr>
        <w:pStyle w:val="DefinedTerms"/>
      </w:pPr>
      <w:r>
        <w:t>restraining order</w:t>
      </w:r>
      <w:r>
        <w:tab/>
        <w:t>3(1)</w:t>
      </w:r>
    </w:p>
    <w:p>
      <w:pPr>
        <w:pStyle w:val="DefinedTerms"/>
      </w:pPr>
      <w:r>
        <w:t>review date</w:t>
      </w:r>
      <w:r>
        <w:tab/>
        <w:t>73A(1)</w:t>
      </w:r>
    </w:p>
    <w:p>
      <w:pPr>
        <w:pStyle w:val="DefinedTerms"/>
      </w:pPr>
      <w:r>
        <w:t>satisfied</w:t>
      </w:r>
      <w:r>
        <w:tab/>
        <w:t>3(1)</w:t>
      </w:r>
    </w:p>
    <w:p>
      <w:pPr>
        <w:pStyle w:val="DefinedTerms"/>
      </w:pPr>
      <w:r>
        <w:t>senior officer</w:t>
      </w:r>
      <w:r>
        <w:tab/>
        <w:t>62D(8)</w:t>
      </w:r>
    </w:p>
    <w:p>
      <w:pPr>
        <w:pStyle w:val="DefinedTerms"/>
      </w:pPr>
      <w:r>
        <w:t>sexual assault</w:t>
      </w:r>
      <w:r>
        <w:tab/>
        <w:t>3(1)</w:t>
      </w:r>
    </w:p>
    <w:p>
      <w:pPr>
        <w:pStyle w:val="DefinedTerms"/>
      </w:pPr>
      <w:r>
        <w:t>specified</w:t>
      </w:r>
      <w:r>
        <w:tab/>
        <w:t>3(1)</w:t>
      </w:r>
    </w:p>
    <w:p>
      <w:pPr>
        <w:pStyle w:val="DefinedTerms"/>
      </w:pPr>
      <w:r>
        <w:t>stalking</w:t>
      </w:r>
      <w:r>
        <w:tab/>
        <w:t>3(1)</w:t>
      </w:r>
    </w:p>
    <w:p>
      <w:pPr>
        <w:pStyle w:val="DefinedTerms"/>
      </w:pPr>
      <w:r>
        <w:t>telephone application</w:t>
      </w:r>
      <w:r>
        <w:tab/>
        <w:t>3(1)</w:t>
      </w:r>
    </w:p>
    <w:p>
      <w:pPr>
        <w:pStyle w:val="DefinedTerms"/>
      </w:pPr>
      <w:r>
        <w:t>telephone order</w:t>
      </w:r>
      <w:r>
        <w:tab/>
        <w:t>3(1)</w:t>
      </w:r>
    </w:p>
    <w:p>
      <w:pPr>
        <w:pStyle w:val="DefinedTerms"/>
      </w:pPr>
      <w:r>
        <w:t>third party</w:t>
      </w:r>
      <w:r>
        <w:tab/>
        <w:t>68(1)</w:t>
      </w:r>
    </w:p>
    <w:p>
      <w:pPr>
        <w:pStyle w:val="DefinedTerms"/>
      </w:pPr>
      <w:r>
        <w:t>under this Act</w:t>
      </w:r>
      <w:r>
        <w:tab/>
        <w:t>70(4)</w:t>
      </w:r>
    </w:p>
    <w:p>
      <w:pPr>
        <w:pStyle w:val="DefinedTerms"/>
      </w:pPr>
      <w:r>
        <w:t>variation or cancellation order</w:t>
      </w:r>
      <w:r>
        <w:tab/>
        <w:t>10I, 10T(1)</w:t>
      </w:r>
    </w:p>
    <w:p>
      <w:pPr>
        <w:pStyle w:val="DefinedTerms"/>
      </w:pPr>
      <w:r>
        <w:t>victim</w:t>
      </w:r>
      <w:r>
        <w:tab/>
        <w:t>10V(2)</w:t>
      </w:r>
    </w:p>
    <w:p>
      <w:pPr>
        <w:pStyle w:val="DefinedTerms"/>
      </w:pPr>
      <w:r>
        <w:t>video link</w:t>
      </w:r>
      <w:r>
        <w:tab/>
        <w:t>53B(4)</w:t>
      </w:r>
    </w:p>
    <w:p>
      <w:pPr>
        <w:pStyle w:val="DefinedTerms"/>
      </w:pPr>
      <w:r>
        <w:t>violence restraining order</w:t>
      </w:r>
      <w:r>
        <w:tab/>
        <w:t>3(1)</w:t>
      </w:r>
    </w:p>
    <w:p>
      <w:pPr>
        <w:pStyle w:val="DefinedTerms"/>
      </w:pPr>
      <w:r>
        <w:t>violent personal offence</w:t>
      </w:r>
      <w:r>
        <w:tab/>
        <w:t>63A(1A), 63B(1)</w:t>
      </w:r>
    </w:p>
    <w:p>
      <w:pPr>
        <w:pStyle w:val="DefinedTerms"/>
      </w:pPr>
      <w:r>
        <w:t>VRO</w:t>
      </w:r>
      <w:r>
        <w:tab/>
        <w:t>3(2)</w:t>
      </w:r>
    </w:p>
    <w:p>
      <w:pPr>
        <w:pStyle w:val="DefinedTerms"/>
      </w:pPr>
      <w:r>
        <w:t>wellbeing</w:t>
      </w:r>
      <w:r>
        <w:tab/>
        <w:t>3(1)</w:t>
      </w:r>
    </w:p>
    <w:p>
      <w:pPr>
        <w:pStyle w:val="DefinedTerms"/>
      </w:pPr>
      <w:r>
        <w:t>written reasons</w:t>
      </w:r>
      <w:r>
        <w:tab/>
        <w:t>61A(8), 67(3A)</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5" w:name="Compilation"/>
    <w:bookmarkEnd w:id="2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7" w:name="DefinedTerms"/>
    <w:bookmarkEnd w:id="2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8" w:name="Coversheet"/>
    <w:bookmarkEnd w:id="2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70B031D"/>
    <w:multiLevelType w:val="hybridMultilevel"/>
    <w:tmpl w:val="5AAA7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373806"/>
    <w:multiLevelType w:val="hybridMultilevel"/>
    <w:tmpl w:val="11FC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8"/>
  </w:num>
  <w:num w:numId="4">
    <w:abstractNumId w:val="20"/>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918"/>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158</Pages>
  <Words>38534</Words>
  <Characters>177259</Characters>
  <Application>Microsoft Office Word</Application>
  <DocSecurity>0</DocSecurity>
  <Lines>4923</Lines>
  <Paragraphs>2956</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1997 - 04-d0-00</dc:title>
  <dc:subject/>
  <dc:creator/>
  <cp:keywords/>
  <dc:description/>
  <cp:lastModifiedBy>svcMRProcess</cp:lastModifiedBy>
  <cp:revision>4</cp:revision>
  <cp:lastPrinted>2017-06-28T07:20:00Z</cp:lastPrinted>
  <dcterms:created xsi:type="dcterms:W3CDTF">2019-05-11T22:51:00Z</dcterms:created>
  <dcterms:modified xsi:type="dcterms:W3CDTF">2019-05-11T22:51:00Z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2015-03-12T16:00:00Z</vt:filetime>
  </property>
  <property fmtid="{D5CDD505-2E9C-101B-9397-08002B2CF9AE}" pid="6" name="ReprintNo">
    <vt:lpwstr>4</vt:lpwstr>
  </property>
  <property fmtid="{D5CDD505-2E9C-101B-9397-08002B2CF9AE}" pid="7" name="AsAtDate">
    <vt:lpwstr>01 Jul 2017</vt:lpwstr>
  </property>
  <property fmtid="{D5CDD505-2E9C-101B-9397-08002B2CF9AE}" pid="8" name="Suffix">
    <vt:lpwstr>04-d0-00</vt:lpwstr>
  </property>
  <property fmtid="{D5CDD505-2E9C-101B-9397-08002B2CF9AE}" pid="9" name="CommencementDate">
    <vt:lpwstr>20170701</vt:lpwstr>
  </property>
</Properties>
</file>