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(Juwurlinji Restricted Area) Regulations 2009</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_Toc486602598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_Toc486602599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Juwurlinji Aboriginal Community</w:t>
      </w:r>
      <w:r>
        <w:tab/>
      </w:r>
      <w:r>
        <w:fldChar w:fldCharType="begin"/>
      </w:r>
      <w:r>
        <w:instrText xml:space="preserve"> PAGEREF _Toc486602600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Note is not part of regulation</w:t>
      </w:r>
      <w:r>
        <w:tab/>
      </w:r>
      <w:r>
        <w:fldChar w:fldCharType="begin"/>
      </w:r>
      <w:r>
        <w:instrText xml:space="preserve"> PAGEREF _Toc486602601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Declaration of restricted area</w:t>
      </w:r>
      <w:r>
        <w:tab/>
      </w:r>
      <w:r>
        <w:fldChar w:fldCharType="begin"/>
      </w:r>
      <w:r>
        <w:instrText xml:space="preserve"> PAGEREF _Toc486602602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Notice of restricted area</w:t>
      </w:r>
      <w:r>
        <w:tab/>
      </w:r>
      <w:r>
        <w:fldChar w:fldCharType="begin"/>
      </w:r>
      <w:r>
        <w:instrText xml:space="preserve"> PAGEREF _Toc486602603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Prohibitions as to liquor in Juwurlinji Aboriginal Community</w:t>
      </w:r>
      <w:r>
        <w:tab/>
      </w:r>
      <w:r>
        <w:fldChar w:fldCharType="begin"/>
      </w:r>
      <w:r>
        <w:instrText xml:space="preserve"> PAGEREF _Toc486602604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Seizure and disposal of containers of liquor</w:t>
      </w:r>
      <w:r>
        <w:tab/>
      </w:r>
      <w:r>
        <w:fldChar w:fldCharType="begin"/>
      </w:r>
      <w:r>
        <w:instrText xml:space="preserve"> PAGEREF _Toc486602605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Period during which these regulations have effect</w:t>
      </w:r>
      <w:r>
        <w:tab/>
      </w:r>
      <w:r>
        <w:fldChar w:fldCharType="begin"/>
      </w:r>
      <w:r>
        <w:instrText xml:space="preserve"> PAGEREF _Toc486602606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_Toc486602608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(Juwurlinji Restricted Area) Regulations 2009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92769757"/>
      <w:bookmarkStart w:id="11" w:name="_Toc486602598"/>
      <w:r>
        <w:rPr>
          <w:rStyle w:val="CharSectno"/>
        </w:rPr>
        <w:t>1</w:t>
      </w:r>
      <w:r>
        <w:t>.</w:t>
      </w:r>
      <w:r>
        <w:tab/>
        <w:t>Citation</w:t>
      </w:r>
      <w:bookmarkEnd w:id="3"/>
      <w:bookmarkEnd w:id="4"/>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92769758"/>
      <w:bookmarkStart w:id="21" w:name="_Toc48660259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2" w:name="_Toc392769759"/>
      <w:bookmarkStart w:id="23" w:name="_Toc486602600"/>
      <w:r>
        <w:rPr>
          <w:rStyle w:val="CharSectno"/>
        </w:rPr>
        <w:t>3</w:t>
      </w:r>
      <w:r>
        <w:t>.</w:t>
      </w:r>
      <w:r>
        <w:tab/>
        <w:t>Term used: Juwurlinji Aboriginal Community</w:t>
      </w:r>
      <w:bookmarkEnd w:id="22"/>
      <w:bookmarkEnd w:id="23"/>
      <w:r>
        <w:t xml:space="preserve"> </w:t>
      </w:r>
    </w:p>
    <w:p>
      <w:pPr>
        <w:pStyle w:val="Subsection"/>
      </w:pPr>
      <w:r>
        <w:tab/>
      </w:r>
      <w:r>
        <w:tab/>
        <w:t xml:space="preserve">In these regulations — </w:t>
      </w:r>
    </w:p>
    <w:p>
      <w:pPr>
        <w:pStyle w:val="Defstart"/>
      </w:pPr>
      <w:r>
        <w:tab/>
      </w:r>
      <w:r>
        <w:rPr>
          <w:rStyle w:val="CharDefText"/>
        </w:rPr>
        <w:t>Juwurlinji Aboriginal Community</w:t>
      </w:r>
      <w:r>
        <w:t xml:space="preserve"> means the area of land, being part of Crown Lease 3114/958 (Lot 65), that is within 5 km of the public phone box situated at Latitude </w:t>
      </w:r>
      <w:r>
        <w:noBreakHyphen/>
        <w:t xml:space="preserve">16.87 and Longitude 128.1858333, excluding the area that is part of Pastoral Lease 3114/1001. </w:t>
      </w:r>
    </w:p>
    <w:p>
      <w:pPr>
        <w:pStyle w:val="Footnotesection"/>
      </w:pPr>
      <w:bookmarkStart w:id="24" w:name="_Toc179799915"/>
      <w:r>
        <w:tab/>
        <w:t>[Regulation 3 amended: Gazette 11 Jul 2014 p. 2439.]</w:t>
      </w:r>
    </w:p>
    <w:p>
      <w:pPr>
        <w:pStyle w:val="Heading5"/>
      </w:pPr>
      <w:bookmarkStart w:id="25" w:name="_Toc392769760"/>
      <w:bookmarkStart w:id="26" w:name="_Toc486602601"/>
      <w:r>
        <w:rPr>
          <w:rStyle w:val="CharSectno"/>
        </w:rPr>
        <w:t>4</w:t>
      </w:r>
      <w:r>
        <w:t>.</w:t>
      </w:r>
      <w:r>
        <w:tab/>
        <w:t>Note is not part of regulation</w:t>
      </w:r>
      <w:bookmarkEnd w:id="24"/>
      <w:bookmarkEnd w:id="25"/>
      <w:bookmarkEnd w:id="26"/>
    </w:p>
    <w:p>
      <w:pPr>
        <w:pStyle w:val="Subsection"/>
      </w:pPr>
      <w:r>
        <w:tab/>
      </w:r>
      <w:r>
        <w:tab/>
        <w:t>The note after regulation 9 does not form part of these regulations.</w:t>
      </w:r>
    </w:p>
    <w:p>
      <w:pPr>
        <w:pStyle w:val="Heading5"/>
      </w:pPr>
      <w:bookmarkStart w:id="27" w:name="_Toc179799916"/>
      <w:bookmarkStart w:id="28" w:name="_Toc392769761"/>
      <w:bookmarkStart w:id="29" w:name="_Toc486602602"/>
      <w:r>
        <w:rPr>
          <w:rStyle w:val="CharSectno"/>
        </w:rPr>
        <w:t>5</w:t>
      </w:r>
      <w:r>
        <w:t>.</w:t>
      </w:r>
      <w:r>
        <w:tab/>
        <w:t>Declaration of restricted area</w:t>
      </w:r>
      <w:bookmarkEnd w:id="27"/>
      <w:bookmarkEnd w:id="28"/>
      <w:bookmarkEnd w:id="29"/>
    </w:p>
    <w:p>
      <w:pPr>
        <w:pStyle w:val="Subsection"/>
      </w:pPr>
      <w:r>
        <w:tab/>
      </w:r>
      <w:r>
        <w:tab/>
        <w:t>The Juwurlinji Aboriginal Community is declared to be a restricted area for the purposes of section 175(1a) of the Act.</w:t>
      </w:r>
    </w:p>
    <w:p>
      <w:pPr>
        <w:pStyle w:val="Heading5"/>
      </w:pPr>
      <w:bookmarkStart w:id="30" w:name="_Toc179799917"/>
      <w:bookmarkStart w:id="31" w:name="_Toc392769762"/>
      <w:bookmarkStart w:id="32" w:name="_Toc486602603"/>
      <w:r>
        <w:rPr>
          <w:rStyle w:val="CharSectno"/>
        </w:rPr>
        <w:t>6</w:t>
      </w:r>
      <w:r>
        <w:t>.</w:t>
      </w:r>
      <w:r>
        <w:tab/>
        <w:t>Notice of restricted area</w:t>
      </w:r>
      <w:bookmarkEnd w:id="30"/>
      <w:bookmarkEnd w:id="31"/>
      <w:bookmarkEnd w:id="32"/>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3" w:name="_Toc179799918"/>
      <w:bookmarkStart w:id="34" w:name="_Toc392769763"/>
      <w:bookmarkStart w:id="35" w:name="_Toc486602604"/>
      <w:r>
        <w:rPr>
          <w:rStyle w:val="CharSectno"/>
        </w:rPr>
        <w:t>7</w:t>
      </w:r>
      <w:r>
        <w:t>.</w:t>
      </w:r>
      <w:r>
        <w:tab/>
        <w:t xml:space="preserve">Prohibitions as to liquor in </w:t>
      </w:r>
      <w:bookmarkEnd w:id="33"/>
      <w:r>
        <w:t>Juwurlinji Aboriginal Community</w:t>
      </w:r>
      <w:bookmarkEnd w:id="34"/>
      <w:bookmarkEnd w:id="35"/>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6" w:name="_Toc179799920"/>
      <w:bookmarkStart w:id="37" w:name="_Toc392769764"/>
      <w:bookmarkStart w:id="38" w:name="_Toc486602605"/>
      <w:r>
        <w:rPr>
          <w:rStyle w:val="CharSectno"/>
        </w:rPr>
        <w:t>8</w:t>
      </w:r>
      <w:r>
        <w:t>.</w:t>
      </w:r>
      <w:r>
        <w:tab/>
        <w:t>Seizure and disposal of containers of liquor</w:t>
      </w:r>
      <w:bookmarkEnd w:id="36"/>
      <w:bookmarkEnd w:id="37"/>
      <w:bookmarkEnd w:id="3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9" w:name="_Toc179799921"/>
      <w:bookmarkStart w:id="40" w:name="_Toc392769765"/>
      <w:bookmarkStart w:id="41" w:name="_Toc486602606"/>
      <w:r>
        <w:rPr>
          <w:rStyle w:val="CharSectno"/>
        </w:rPr>
        <w:t>9</w:t>
      </w:r>
      <w:r>
        <w:t>.</w:t>
      </w:r>
      <w:r>
        <w:tab/>
        <w:t>Period during which these regulations have effect</w:t>
      </w:r>
      <w:bookmarkEnd w:id="39"/>
      <w:bookmarkEnd w:id="40"/>
      <w:bookmarkEnd w:id="41"/>
    </w:p>
    <w:p>
      <w:pPr>
        <w:pStyle w:val="Subsection"/>
      </w:pPr>
      <w:r>
        <w:tab/>
      </w:r>
      <w:r>
        <w:tab/>
        <w:t>Unless sooner repealed, these regulations have effect for the period that ends at the close of 24 July 2020.</w:t>
      </w:r>
    </w:p>
    <w:p>
      <w:pPr>
        <w:pStyle w:val="Footnotesection"/>
      </w:pPr>
      <w:r>
        <w:tab/>
        <w:t>[Regulation 9 amended: Gazette 22 Jul 2011 p. 3027; 11 Jul 2014 p. 2439; 30 Jun 2017 p. 3593.]</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42" w:name="_Toc113695922"/>
      <w:bookmarkStart w:id="43" w:name="_Toc236124765"/>
      <w:bookmarkStart w:id="44" w:name="_Toc236124795"/>
    </w:p>
    <w:p>
      <w:pPr>
        <w:pStyle w:val="nHeading2"/>
      </w:pPr>
      <w:bookmarkStart w:id="45" w:name="_Toc236124878"/>
      <w:bookmarkStart w:id="46" w:name="_Toc236127351"/>
      <w:bookmarkStart w:id="47" w:name="_Toc392769766"/>
      <w:bookmarkStart w:id="48" w:name="_Toc421003690"/>
      <w:bookmarkStart w:id="49" w:name="_Toc421003702"/>
      <w:bookmarkStart w:id="50" w:name="_Toc486602582"/>
      <w:bookmarkStart w:id="51" w:name="_Toc486602607"/>
      <w:r>
        <w:t>Notes</w:t>
      </w:r>
      <w:bookmarkEnd w:id="42"/>
      <w:bookmarkEnd w:id="43"/>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rPr>
        <w:t xml:space="preserve">Liquor Control (Juwurlinji Restricted Area) Regulations 2009 </w:t>
      </w:r>
      <w:r>
        <w:rPr>
          <w:snapToGrid w:val="0"/>
        </w:rPr>
        <w:t>and includes the amendments made by the other written laws referred to in the following table</w:t>
      </w:r>
      <w:r>
        <w:rPr>
          <w:vertAlign w:val="superscript"/>
        </w:rPr>
        <w:t> 2</w:t>
      </w:r>
      <w:r>
        <w:t>.</w:t>
      </w:r>
    </w:p>
    <w:p>
      <w:pPr>
        <w:pStyle w:val="nHeading3"/>
      </w:pPr>
      <w:bookmarkStart w:id="52" w:name="_Toc70311430"/>
      <w:bookmarkStart w:id="53" w:name="_Toc392769767"/>
      <w:bookmarkStart w:id="54" w:name="_Toc486602608"/>
      <w:r>
        <w:t>Compilation table</w:t>
      </w:r>
      <w:bookmarkEnd w:id="52"/>
      <w:bookmarkEnd w:id="53"/>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lang w:val="en-US"/>
              </w:rPr>
              <w:t xml:space="preserve">r. 1 and 2: </w:t>
            </w:r>
            <w:r>
              <w:t>24 Jul 2009</w:t>
            </w:r>
            <w:r>
              <w:rPr>
                <w:snapToGrid w:val="0"/>
                <w:spacing w:val="-2"/>
                <w:lang w:val="en-US"/>
              </w:rPr>
              <w:t xml:space="preserve"> (see r. 2(a));</w:t>
            </w:r>
            <w:r>
              <w:rPr>
                <w:snapToGrid w:val="0"/>
                <w:spacing w:val="-2"/>
                <w:lang w:val="en-US"/>
              </w:rPr>
              <w:br/>
              <w:t xml:space="preserve">Regulations other than r. 1 and 2: </w:t>
            </w:r>
            <w:r>
              <w:t>25 Jul 2009</w:t>
            </w:r>
            <w:r>
              <w:rPr>
                <w:snapToGrid w:val="0"/>
                <w:spacing w:val="-2"/>
                <w:lang w:val="en-US"/>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22 Jul 2011 (see r. 2(a));</w:t>
            </w:r>
            <w:r>
              <w:rPr>
                <w:snapToGrid w:val="0"/>
                <w:spacing w:val="-2"/>
                <w:lang w:val="en-US"/>
              </w:rPr>
              <w:br/>
              <w:t>Regulations other than r. 1 and 2: 23 Jul 2011 (see r. 2(b))</w:t>
            </w:r>
          </w:p>
        </w:tc>
      </w:tr>
      <w:tr>
        <w:tc>
          <w:tcPr>
            <w:tcW w:w="3118" w:type="dxa"/>
            <w:tcBorders>
              <w:top w:val="nil"/>
              <w:bottom w:val="nil"/>
            </w:tcBorders>
          </w:tcPr>
          <w:p>
            <w:pPr>
              <w:pStyle w:val="nTable"/>
              <w:spacing w:after="40"/>
              <w:rPr>
                <w:i/>
                <w:iCs/>
              </w:rPr>
            </w:pPr>
            <w:r>
              <w:rPr>
                <w:i/>
                <w:iCs/>
              </w:rPr>
              <w:t>Liquor Control (Juwurlinji Restricted Area) Amendment Regulations 2014</w:t>
            </w:r>
          </w:p>
        </w:tc>
        <w:tc>
          <w:tcPr>
            <w:tcW w:w="1276" w:type="dxa"/>
            <w:tcBorders>
              <w:top w:val="nil"/>
              <w:bottom w:val="nil"/>
            </w:tcBorders>
          </w:tcPr>
          <w:p>
            <w:pPr>
              <w:pStyle w:val="nTable"/>
              <w:spacing w:after="40"/>
            </w:pPr>
            <w:r>
              <w:t>11 Jul 2014 p. 2438</w:t>
            </w:r>
            <w:r>
              <w:noBreakHyphen/>
              <w:t>9</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11 Jul 2014 (see r. 2(a));</w:t>
            </w:r>
            <w:r>
              <w:rPr>
                <w:snapToGrid w:val="0"/>
                <w:spacing w:val="-2"/>
                <w:lang w:val="en-US"/>
              </w:rPr>
              <w:br/>
              <w:t>Regulations other than r. 1 and 2: 12 Jul 2014 (see r. 2(b))</w:t>
            </w:r>
          </w:p>
        </w:tc>
      </w:tr>
      <w:tr>
        <w:tc>
          <w:tcPr>
            <w:tcW w:w="3118" w:type="dxa"/>
            <w:tcBorders>
              <w:top w:val="nil"/>
              <w:bottom w:val="single" w:sz="4" w:space="0" w:color="auto"/>
            </w:tcBorders>
          </w:tcPr>
          <w:p>
            <w:pPr>
              <w:pStyle w:val="nTable"/>
              <w:spacing w:after="40"/>
              <w:rPr>
                <w:i/>
                <w:iCs/>
              </w:rPr>
            </w:pPr>
            <w:r>
              <w:rPr>
                <w:i/>
              </w:rPr>
              <w:t>Liquor Control (Juwurlinji Restricted Area) Amendment Regulations 2017</w:t>
            </w:r>
          </w:p>
        </w:tc>
        <w:tc>
          <w:tcPr>
            <w:tcW w:w="1276" w:type="dxa"/>
            <w:tcBorders>
              <w:top w:val="nil"/>
              <w:bottom w:val="single" w:sz="4" w:space="0" w:color="auto"/>
            </w:tcBorders>
          </w:tcPr>
          <w:p>
            <w:pPr>
              <w:pStyle w:val="nTable"/>
              <w:spacing w:after="40"/>
            </w:pPr>
            <w:r>
              <w:t>30 Jun 2017 p. 3593</w:t>
            </w:r>
          </w:p>
        </w:tc>
        <w:tc>
          <w:tcPr>
            <w:tcW w:w="2693" w:type="dxa"/>
            <w:tcBorders>
              <w:top w:val="nil"/>
              <w:bottom w:val="single" w:sz="4" w:space="0" w:color="auto"/>
            </w:tcBorders>
          </w:tcPr>
          <w:p>
            <w:pPr>
              <w:pStyle w:val="nTable"/>
              <w:spacing w:after="40"/>
              <w:rPr>
                <w:snapToGrid w:val="0"/>
                <w:spacing w:val="-2"/>
                <w:lang w:val="en-US"/>
              </w:rPr>
            </w:pPr>
            <w:r>
              <w:rPr>
                <w:rFonts w:ascii="Times" w:hAnsi="Times"/>
                <w:bCs/>
                <w:snapToGrid w:val="0"/>
                <w:spacing w:val="-2"/>
                <w:lang w:val="en-US"/>
              </w:rPr>
              <w:t xml:space="preserve">r. 1 and 2: </w:t>
            </w:r>
            <w:r>
              <w:rPr>
                <w:bCs/>
                <w:snapToGrid w:val="0"/>
                <w:spacing w:val="-2"/>
                <w:lang w:val="en-US"/>
              </w:rPr>
              <w:t>30 Jun 2017</w:t>
            </w:r>
            <w:r>
              <w:rPr>
                <w:rFonts w:ascii="Times" w:hAnsi="Times"/>
                <w:bCs/>
                <w:snapToGrid w:val="0"/>
                <w:spacing w:val="-2"/>
                <w:lang w:val="en-US"/>
              </w:rPr>
              <w:t xml:space="preserve"> (see r. 2(a));</w:t>
            </w:r>
            <w:r>
              <w:rPr>
                <w:rFonts w:ascii="Times" w:hAnsi="Times"/>
                <w:bCs/>
                <w:snapToGrid w:val="0"/>
                <w:spacing w:val="-2"/>
                <w:lang w:val="en-US"/>
              </w:rPr>
              <w:br/>
              <w:t xml:space="preserve">Regulations other than r. 1 and 2: </w:t>
            </w:r>
            <w:r>
              <w:rPr>
                <w:bCs/>
                <w:snapToGrid w:val="0"/>
                <w:spacing w:val="-2"/>
                <w:lang w:val="en-US"/>
              </w:rPr>
              <w:t>1 Jul 2017</w:t>
            </w:r>
            <w:r>
              <w:rPr>
                <w:rFonts w:ascii="Times" w:hAnsi="Times"/>
                <w:bCs/>
                <w:snapToGrid w:val="0"/>
                <w:spacing w:val="-2"/>
                <w:lang w:val="en-US"/>
              </w:rPr>
              <w:t xml:space="preserve"> (see r. 2(b))</w:t>
            </w:r>
          </w:p>
        </w:tc>
      </w:tr>
    </w:tbl>
    <w:p>
      <w:pPr>
        <w:pStyle w:val="nSubsection"/>
      </w:pPr>
      <w:r>
        <w:rPr>
          <w:vertAlign w:val="superscript"/>
        </w:rPr>
        <w:t>2</w:t>
      </w:r>
      <w:r>
        <w:tab/>
        <w:t>These regulations expire 24 July 2020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6" w:name="_Toc486602609"/>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Juwurlinji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2433"/>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924</Words>
  <Characters>4574</Characters>
  <Application>Microsoft Office Word</Application>
  <DocSecurity>0</DocSecurity>
  <Lines>169</Lines>
  <Paragraphs>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2009 - 00-d0-01</dc:title>
  <dc:subject/>
  <dc:creator/>
  <cp:keywords/>
  <dc:description/>
  <cp:lastModifiedBy>svcMRProcess</cp:lastModifiedBy>
  <cp:revision>4</cp:revision>
  <cp:lastPrinted>2009-03-16T03:32:00Z</cp:lastPrinted>
  <dcterms:created xsi:type="dcterms:W3CDTF">2019-01-17T06:33:00Z</dcterms:created>
  <dcterms:modified xsi:type="dcterms:W3CDTF">2019-01-17T06:33:00Z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OwlsUID">
    <vt:i4>41417</vt:i4>
  </property>
  <property fmtid="{D5CDD505-2E9C-101B-9397-08002B2CF9AE}" pid="4" name="DocumentType">
    <vt:lpwstr>Reg</vt:lpwstr>
  </property>
  <property fmtid="{D5CDD505-2E9C-101B-9397-08002B2CF9AE}" pid="5" name="CommencementDate">
    <vt:lpwstr>20170701</vt:lpwstr>
  </property>
  <property fmtid="{D5CDD505-2E9C-101B-9397-08002B2CF9AE}" pid="6" name="AsAtDate">
    <vt:lpwstr>01 Jul 2017</vt:lpwstr>
  </property>
  <property fmtid="{D5CDD505-2E9C-101B-9397-08002B2CF9AE}" pid="7" name="Suffix">
    <vt:lpwstr>00-d0-01</vt:lpwstr>
  </property>
</Properties>
</file>