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Fremantle Harbour Trust Act, 1902-1960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Fremantle Harbour Trust (Debentures and Inscribed Stock) Regulations 1962</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Harbour Trust (Debentures and Inscribed Stock) Regulations 1962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_Toc426549394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_Toc426549395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debenture</w:t>
      </w:r>
      <w:r>
        <w:tab/>
      </w:r>
      <w:r>
        <w:fldChar w:fldCharType="begin"/>
      </w:r>
      <w:r>
        <w:instrText xml:space="preserve"> PAGEREF _Toc426549396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stock or debentures</w:t>
      </w:r>
      <w:r>
        <w:tab/>
      </w:r>
      <w:r>
        <w:fldChar w:fldCharType="begin"/>
      </w:r>
      <w:r>
        <w:instrText xml:space="preserve"> PAGEREF _Toc426549397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Inscription and issue of stock</w:t>
      </w:r>
    </w:p>
    <w:p>
      <w:pPr>
        <w:pStyle w:val="TOC8"/>
        <w:rPr>
          <w:rFonts w:asciiTheme="minorHAnsi" w:eastAsiaTheme="minorEastAsia" w:hAnsiTheme="minorHAnsi" w:cstheme="minorBidi"/>
          <w:szCs w:val="22"/>
        </w:rPr>
      </w:pPr>
      <w:r>
        <w:t>5</w:t>
      </w:r>
      <w:r>
        <w:rPr>
          <w:snapToGrid w:val="0"/>
        </w:rPr>
        <w:t>.</w:t>
      </w:r>
      <w:r>
        <w:rPr>
          <w:snapToGrid w:val="0"/>
        </w:rPr>
        <w:tab/>
        <w:t>Stock ledger</w:t>
      </w:r>
      <w:r>
        <w:tab/>
      </w:r>
      <w:r>
        <w:fldChar w:fldCharType="begin"/>
      </w:r>
      <w:r>
        <w:instrText xml:space="preserve"> PAGEREF _Toc426549399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Inscription of stock</w:t>
      </w:r>
      <w:r>
        <w:tab/>
      </w:r>
      <w:r>
        <w:fldChar w:fldCharType="begin"/>
      </w:r>
      <w:r>
        <w:instrText xml:space="preserve"> PAGEREF _Toc426549400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Companies, firms and corporations</w:t>
      </w:r>
      <w:r>
        <w:tab/>
      </w:r>
      <w:r>
        <w:fldChar w:fldCharType="begin"/>
      </w:r>
      <w:r>
        <w:instrText xml:space="preserve"> PAGEREF _Toc426549401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Friendly societies, industrial unions, industrial organizations or incorporated associations</w:t>
      </w:r>
      <w:r>
        <w:tab/>
      </w:r>
      <w:r>
        <w:fldChar w:fldCharType="begin"/>
      </w:r>
      <w:r>
        <w:instrText xml:space="preserve"> PAGEREF _Toc426549402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Trusts not recognised</w:t>
      </w:r>
      <w:r>
        <w:tab/>
      </w:r>
      <w:r>
        <w:fldChar w:fldCharType="begin"/>
      </w:r>
      <w:r>
        <w:instrText xml:space="preserve"> PAGEREF _Toc426549403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address</w:t>
      </w:r>
      <w:r>
        <w:tab/>
      </w:r>
      <w:r>
        <w:fldChar w:fldCharType="begin"/>
      </w:r>
      <w:r>
        <w:instrText xml:space="preserve"> PAGEREF _Toc426549404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Marriage of female stockholder</w:t>
      </w:r>
      <w:r>
        <w:tab/>
      </w:r>
      <w:r>
        <w:fldChar w:fldCharType="begin"/>
      </w:r>
      <w:r>
        <w:instrText xml:space="preserve"> PAGEREF _Toc426549405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Correction of mistake in stock ledger</w:t>
      </w:r>
      <w:r>
        <w:tab/>
      </w:r>
      <w:r>
        <w:fldChar w:fldCharType="begin"/>
      </w:r>
      <w:r>
        <w:instrText xml:space="preserve"> PAGEREF _Toc426549406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Signatures of stockholders</w:t>
      </w:r>
      <w:r>
        <w:tab/>
      </w:r>
      <w:r>
        <w:fldChar w:fldCharType="begin"/>
      </w:r>
      <w:r>
        <w:instrText xml:space="preserve"> PAGEREF _Toc426549407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stock ledger</w:t>
      </w:r>
      <w:r>
        <w:tab/>
      </w:r>
      <w:r>
        <w:fldChar w:fldCharType="begin"/>
      </w:r>
      <w:r>
        <w:instrText xml:space="preserve"> PAGEREF _Toc426549408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Certificate of inscription of stock</w:t>
      </w:r>
      <w:r>
        <w:tab/>
      </w:r>
      <w:r>
        <w:fldChar w:fldCharType="begin"/>
      </w:r>
      <w:r>
        <w:instrText xml:space="preserve"> PAGEREF _Toc426549409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Transfers and transmissions of stock</w:t>
      </w:r>
    </w:p>
    <w:p>
      <w:pPr>
        <w:pStyle w:val="TOC8"/>
        <w:rPr>
          <w:rFonts w:asciiTheme="minorHAnsi" w:eastAsiaTheme="minorEastAsia" w:hAnsiTheme="minorHAnsi" w:cstheme="minorBidi"/>
          <w:szCs w:val="22"/>
        </w:rPr>
      </w:pPr>
      <w:r>
        <w:t>16</w:t>
      </w:r>
      <w:r>
        <w:rPr>
          <w:snapToGrid w:val="0"/>
        </w:rPr>
        <w:t>.</w:t>
      </w:r>
      <w:r>
        <w:rPr>
          <w:snapToGrid w:val="0"/>
        </w:rPr>
        <w:tab/>
        <w:t>Transfers</w:t>
      </w:r>
      <w:r>
        <w:tab/>
      </w:r>
      <w:r>
        <w:fldChar w:fldCharType="begin"/>
      </w:r>
      <w:r>
        <w:instrText xml:space="preserve"> PAGEREF _Toc426549411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Marking of form of transfer of stock</w:t>
      </w:r>
      <w:r>
        <w:tab/>
      </w:r>
      <w:r>
        <w:fldChar w:fldCharType="begin"/>
      </w:r>
      <w:r>
        <w:instrText xml:space="preserve"> PAGEREF _Toc426549412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dealing</w:t>
      </w:r>
      <w:r>
        <w:tab/>
      </w:r>
      <w:r>
        <w:fldChar w:fldCharType="begin"/>
      </w:r>
      <w:r>
        <w:instrText xml:space="preserve"> PAGEREF _Toc426549413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Transfers to be lodged on a transfer day</w:t>
      </w:r>
      <w:r>
        <w:tab/>
      </w:r>
      <w:r>
        <w:fldChar w:fldCharType="begin"/>
      </w:r>
      <w:r>
        <w:instrText xml:space="preserve"> PAGEREF _Toc426549414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Entries in stock ledger</w:t>
      </w:r>
      <w:r>
        <w:tab/>
      </w:r>
      <w:r>
        <w:fldChar w:fldCharType="begin"/>
      </w:r>
      <w:r>
        <w:instrText xml:space="preserve"> PAGEREF _Toc426549415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Deceased stockholders</w:t>
      </w:r>
      <w:r>
        <w:tab/>
      </w:r>
      <w:r>
        <w:fldChar w:fldCharType="begin"/>
      </w:r>
      <w:r>
        <w:instrText xml:space="preserve"> PAGEREF _Toc426549416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Transmission of stock</w:t>
      </w:r>
      <w:r>
        <w:tab/>
      </w:r>
      <w:r>
        <w:fldChar w:fldCharType="begin"/>
      </w:r>
      <w:r>
        <w:instrText xml:space="preserve"> PAGEREF _Toc426549417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Registrar to dispense with production or re</w:t>
      </w:r>
      <w:r>
        <w:rPr>
          <w:snapToGrid w:val="0"/>
        </w:rPr>
        <w:noBreakHyphen/>
        <w:t>sealing of probate</w:t>
      </w:r>
      <w:r>
        <w:tab/>
      </w:r>
      <w:r>
        <w:fldChar w:fldCharType="begin"/>
      </w:r>
      <w:r>
        <w:instrText xml:space="preserve"> PAGEREF _Toc426549418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Persons entitled to be registered on transmission</w:t>
      </w:r>
      <w:r>
        <w:tab/>
      </w:r>
      <w:r>
        <w:fldChar w:fldCharType="begin"/>
      </w:r>
      <w:r>
        <w:instrText xml:space="preserve"> PAGEREF _Toc426549419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Issue of debentures</w:t>
      </w:r>
    </w:p>
    <w:p>
      <w:pPr>
        <w:pStyle w:val="TOC8"/>
        <w:rPr>
          <w:rFonts w:asciiTheme="minorHAnsi" w:eastAsiaTheme="minorEastAsia" w:hAnsiTheme="minorHAnsi" w:cstheme="minorBidi"/>
          <w:szCs w:val="22"/>
        </w:rPr>
      </w:pPr>
      <w:r>
        <w:t>25</w:t>
      </w:r>
      <w:r>
        <w:rPr>
          <w:snapToGrid w:val="0"/>
        </w:rPr>
        <w:t>.</w:t>
      </w:r>
      <w:r>
        <w:rPr>
          <w:snapToGrid w:val="0"/>
        </w:rPr>
        <w:tab/>
        <w:t>Issue of debentures</w:t>
      </w:r>
      <w:r>
        <w:tab/>
      </w:r>
      <w:r>
        <w:fldChar w:fldCharType="begin"/>
      </w:r>
      <w:r>
        <w:instrText xml:space="preserve"> PAGEREF _Toc426549421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Delivery of debentures not exceeding $400 on behalf of deceased persons</w:t>
      </w:r>
      <w:r>
        <w:tab/>
      </w:r>
      <w:r>
        <w:fldChar w:fldCharType="begin"/>
      </w:r>
      <w:r>
        <w:instrText xml:space="preserve"> PAGEREF _Toc426549422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Issue of debentures in exchange for stock</w:t>
      </w:r>
      <w:r>
        <w:tab/>
      </w:r>
      <w:r>
        <w:fldChar w:fldCharType="begin"/>
      </w:r>
      <w:r>
        <w:instrText xml:space="preserve"> PAGEREF _Toc426549423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Issue of debentures in exchange for other debentures</w:t>
      </w:r>
      <w:r>
        <w:tab/>
      </w:r>
      <w:r>
        <w:fldChar w:fldCharType="begin"/>
      </w:r>
      <w:r>
        <w:instrText xml:space="preserve"> PAGEREF _Toc426549424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Inscription of stock in exchange for debentures</w:t>
      </w:r>
      <w:r>
        <w:tab/>
      </w:r>
      <w:r>
        <w:fldChar w:fldCharType="begin"/>
      </w:r>
      <w:r>
        <w:instrText xml:space="preserve"> PAGEREF _Toc426549425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interest</w:t>
      </w:r>
    </w:p>
    <w:p>
      <w:pPr>
        <w:pStyle w:val="TOC8"/>
        <w:rPr>
          <w:rFonts w:asciiTheme="minorHAnsi" w:eastAsiaTheme="minorEastAsia" w:hAnsiTheme="minorHAnsi" w:cstheme="minorBidi"/>
          <w:szCs w:val="22"/>
        </w:rPr>
      </w:pPr>
      <w:r>
        <w:t>30</w:t>
      </w:r>
      <w:r>
        <w:rPr>
          <w:snapToGrid w:val="0"/>
        </w:rPr>
        <w:t>.</w:t>
      </w:r>
      <w:r>
        <w:rPr>
          <w:snapToGrid w:val="0"/>
        </w:rPr>
        <w:tab/>
        <w:t>Stock ledger to be closed</w:t>
      </w:r>
      <w:r>
        <w:tab/>
      </w:r>
      <w:r>
        <w:fldChar w:fldCharType="begin"/>
      </w:r>
      <w:r>
        <w:instrText xml:space="preserve"> PAGEREF _Toc426549427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on debentures</w:t>
      </w:r>
      <w:r>
        <w:tab/>
      </w:r>
      <w:r>
        <w:fldChar w:fldCharType="begin"/>
      </w:r>
      <w:r>
        <w:instrText xml:space="preserve"> PAGEREF _Toc426549428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 of interest on inscribed stock</w:t>
      </w:r>
      <w:r>
        <w:tab/>
      </w:r>
      <w:r>
        <w:fldChar w:fldCharType="begin"/>
      </w:r>
      <w:r>
        <w:instrText xml:space="preserve"> PAGEREF _Toc426549429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Receipts of joint stockholders</w:t>
      </w:r>
      <w:r>
        <w:tab/>
      </w:r>
      <w:r>
        <w:fldChar w:fldCharType="begin"/>
      </w:r>
      <w:r>
        <w:instrText xml:space="preserve"> PAGEREF _Toc426549430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Powers of attorney</w:t>
      </w:r>
      <w:r>
        <w:tab/>
      </w:r>
      <w:r>
        <w:fldChar w:fldCharType="begin"/>
      </w:r>
      <w:r>
        <w:instrText xml:space="preserve"> PAGEREF _Toc426549432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Repayment of principal</w:t>
      </w:r>
      <w:r>
        <w:tab/>
      </w:r>
      <w:r>
        <w:fldChar w:fldCharType="begin"/>
      </w:r>
      <w:r>
        <w:instrText xml:space="preserve"> PAGEREF _Toc426549433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provisions</w:t>
      </w:r>
      <w:r>
        <w:tab/>
      </w:r>
      <w:r>
        <w:fldChar w:fldCharType="begin"/>
      </w:r>
      <w:r>
        <w:instrText xml:space="preserve"> PAGEREF _Toc426549434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Secrecy</w:t>
      </w:r>
      <w:r>
        <w:tab/>
      </w:r>
      <w:r>
        <w:fldChar w:fldCharType="begin"/>
      </w:r>
      <w:r>
        <w:instrText xml:space="preserve"> PAGEREF _Toc426549435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rPr>
          <w:b w:val="0"/>
        </w:rPr>
        <w:t>Form No.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_Toc426549438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Fremantle Harbour Trust Act, 1902</w:t>
      </w:r>
      <w:r>
        <w:rPr>
          <w:snapToGrid w:val="0"/>
        </w:rPr>
        <w:noBreakHyphen/>
        <w:t>1960</w:t>
      </w:r>
    </w:p>
    <w:p>
      <w:pPr>
        <w:pStyle w:val="NameofActReg"/>
      </w:pPr>
      <w:r>
        <w:t>Fremantle Harbour Trust (Debentures and Inscribed Stock) Regulations 1962</w:t>
      </w:r>
    </w:p>
    <w:p>
      <w:pPr>
        <w:pStyle w:val="Heading2"/>
      </w:pPr>
      <w:bookmarkStart w:id="4" w:name="_Toc378254182"/>
      <w:bookmarkStart w:id="5" w:name="_Toc381870555"/>
      <w:bookmarkStart w:id="6" w:name="_Toc381954476"/>
      <w:bookmarkStart w:id="7" w:name="_Toc426549301"/>
      <w:bookmarkStart w:id="8" w:name="_Toc426549347"/>
      <w:bookmarkStart w:id="9" w:name="_Toc426549393"/>
      <w:r>
        <w:t xml:space="preserve">Part </w:t>
      </w:r>
      <w:r>
        <w:rPr>
          <w:rStyle w:val="CharPartNo"/>
        </w:rPr>
        <w:t>I</w:t>
      </w:r>
      <w:r>
        <w:rPr>
          <w:rStyle w:val="CharDivNo"/>
        </w:rPr>
        <w:t> </w:t>
      </w:r>
      <w:r>
        <w:t>—</w:t>
      </w:r>
      <w:r>
        <w:rPr>
          <w:rStyle w:val="CharDivText"/>
        </w:rPr>
        <w:t> </w:t>
      </w:r>
      <w:r>
        <w:t>Preliminary</w:t>
      </w:r>
      <w:bookmarkEnd w:id="4"/>
      <w:bookmarkEnd w:id="5"/>
      <w:bookmarkEnd w:id="6"/>
      <w:bookmarkEnd w:id="7"/>
      <w:bookmarkEnd w:id="8"/>
      <w:bookmarkEnd w:id="9"/>
    </w:p>
    <w:p>
      <w:pPr>
        <w:pStyle w:val="Heading5"/>
        <w:rPr>
          <w:snapToGrid w:val="0"/>
        </w:rPr>
      </w:pPr>
      <w:bookmarkStart w:id="10" w:name="_Toc381954477"/>
      <w:bookmarkStart w:id="11" w:name="_Toc426549394"/>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Fremantle Harbour Trust (Debentures and Inscribed Stock) Regulations 1962</w:t>
      </w:r>
      <w:r>
        <w:rPr>
          <w:snapToGrid w:val="0"/>
        </w:rPr>
        <w:t>.</w:t>
      </w:r>
    </w:p>
    <w:p>
      <w:pPr>
        <w:pStyle w:val="Heading5"/>
        <w:rPr>
          <w:snapToGrid w:val="0"/>
        </w:rPr>
      </w:pPr>
      <w:bookmarkStart w:id="12" w:name="_Toc381954478"/>
      <w:bookmarkStart w:id="13" w:name="_Toc426549395"/>
      <w:r>
        <w:rPr>
          <w:rStyle w:val="CharSectno"/>
        </w:rPr>
        <w:t>2</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“debentures”</w:t>
      </w:r>
      <w:r>
        <w:t xml:space="preserve"> means debentures created and issued by the Trust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Trust under the provisions of the Act;</w:t>
      </w:r>
    </w:p>
    <w:p>
      <w:pPr>
        <w:pStyle w:val="Defstart"/>
      </w:pPr>
      <w:r>
        <w:rPr>
          <w:b/>
        </w:rPr>
        <w:tab/>
        <w:t>“stockholder”</w:t>
      </w:r>
      <w:r>
        <w:t xml:space="preserve"> means a person whose name is inscribed in the stock ledger of the Trust in respect of any stock;</w:t>
      </w:r>
    </w:p>
    <w:p>
      <w:pPr>
        <w:pStyle w:val="Defstart"/>
      </w:pPr>
      <w:r>
        <w:rPr>
          <w:b/>
        </w:rPr>
        <w:tab/>
        <w:t>“stock ledger”</w:t>
      </w:r>
      <w:r>
        <w:t xml:space="preserve"> means the ledger of the Trust in which the stock held is recorded or inscribed;</w:t>
      </w:r>
    </w:p>
    <w:p>
      <w:pPr>
        <w:pStyle w:val="Defstart"/>
      </w:pPr>
      <w:r>
        <w:rPr>
          <w:b/>
        </w:rPr>
        <w:tab/>
        <w:t>“the Act”</w:t>
      </w:r>
      <w:r>
        <w:t xml:space="preserve"> means the </w:t>
      </w:r>
      <w:r>
        <w:rPr>
          <w:i/>
        </w:rPr>
        <w:t>Fremantle Harbour Trust Act 1902</w:t>
      </w:r>
      <w:r>
        <w:t xml:space="preserve"> (as amended);</w:t>
      </w:r>
    </w:p>
    <w:p>
      <w:pPr>
        <w:pStyle w:val="Defstart"/>
      </w:pPr>
      <w:r>
        <w:rPr>
          <w:b/>
        </w:rPr>
        <w:tab/>
        <w:t>“the office”</w:t>
      </w:r>
      <w:r>
        <w:t xml:space="preserve"> means the principal administrative offices of the Trust at Fremantle;</w:t>
      </w:r>
    </w:p>
    <w:p>
      <w:pPr>
        <w:pStyle w:val="Defstart"/>
      </w:pPr>
      <w:r>
        <w:rPr>
          <w:b/>
        </w:rPr>
        <w:tab/>
        <w:t>“the Trust”</w:t>
      </w:r>
      <w:r>
        <w:t xml:space="preserve"> means the body corporate constituted under the Act by the name of the Fremantle Harbour Trust Commissioners.</w:t>
      </w:r>
    </w:p>
    <w:p>
      <w:pPr>
        <w:pStyle w:val="Heading5"/>
        <w:rPr>
          <w:snapToGrid w:val="0"/>
        </w:rPr>
      </w:pPr>
      <w:bookmarkStart w:id="14" w:name="_Toc381954479"/>
      <w:bookmarkStart w:id="15" w:name="_Toc426549396"/>
      <w:r>
        <w:rPr>
          <w:rStyle w:val="CharSectno"/>
        </w:rPr>
        <w:t>3</w:t>
      </w:r>
      <w:r>
        <w:rPr>
          <w:snapToGrid w:val="0"/>
        </w:rPr>
        <w:t>.</w:t>
      </w:r>
      <w:r>
        <w:rPr>
          <w:snapToGrid w:val="0"/>
        </w:rPr>
        <w:tab/>
        <w:t>Form of debenture</w:t>
      </w:r>
      <w:bookmarkEnd w:id="14"/>
      <w:bookmarkEnd w:id="15"/>
      <w:r>
        <w:rPr>
          <w:snapToGrid w:val="0"/>
        </w:rPr>
        <w:t xml:space="preserve"> </w:t>
      </w:r>
    </w:p>
    <w:p>
      <w:pPr>
        <w:pStyle w:val="Subsection"/>
        <w:rPr>
          <w:snapToGrid w:val="0"/>
        </w:rPr>
      </w:pPr>
      <w:r>
        <w:rPr>
          <w:snapToGrid w:val="0"/>
        </w:rPr>
        <w:tab/>
      </w:r>
      <w:r>
        <w:rPr>
          <w:snapToGrid w:val="0"/>
        </w:rPr>
        <w:tab/>
        <w:t>A debenture shall be in accordance with Form No. 1 of the schedule.</w:t>
      </w:r>
    </w:p>
    <w:p>
      <w:pPr>
        <w:pStyle w:val="Heading5"/>
        <w:rPr>
          <w:snapToGrid w:val="0"/>
        </w:rPr>
      </w:pPr>
      <w:bookmarkStart w:id="16" w:name="_Toc381954480"/>
      <w:bookmarkStart w:id="17" w:name="_Toc426549397"/>
      <w:r>
        <w:rPr>
          <w:rStyle w:val="CharSectno"/>
        </w:rPr>
        <w:t>4</w:t>
      </w:r>
      <w:r>
        <w:rPr>
          <w:snapToGrid w:val="0"/>
        </w:rPr>
        <w:t>.</w:t>
      </w:r>
      <w:r>
        <w:rPr>
          <w:snapToGrid w:val="0"/>
        </w:rPr>
        <w:tab/>
        <w:t>Application for stock or debentures</w:t>
      </w:r>
      <w:bookmarkEnd w:id="16"/>
      <w:bookmarkEnd w:id="17"/>
      <w:r>
        <w:rPr>
          <w:snapToGrid w:val="0"/>
        </w:rPr>
        <w:t xml:space="preserve"> </w:t>
      </w:r>
    </w:p>
    <w:p>
      <w:pPr>
        <w:pStyle w:val="Subsection"/>
        <w:rPr>
          <w:snapToGrid w:val="0"/>
        </w:rPr>
      </w:pPr>
      <w:r>
        <w:rPr>
          <w:snapToGrid w:val="0"/>
        </w:rPr>
        <w:tab/>
        <w:t>(1)</w:t>
      </w:r>
      <w:r>
        <w:rPr>
          <w:snapToGrid w:val="0"/>
        </w:rPr>
        <w:tab/>
        <w:t>An application to purchase stock or debentures may be made on the form accompanying the prospectus and in accordance with the conditions contained in the prospectus, or where no prospectus is issued, then in a form approved by the Trust.</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debentures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debentures or stock the Trust shall, where the applicant has applied for debentures, issue the same to the applicant and, where the applicant has applied for stock, proceed to allot the same.</w:t>
      </w:r>
    </w:p>
    <w:p>
      <w:pPr>
        <w:pStyle w:val="Heading2"/>
      </w:pPr>
      <w:bookmarkStart w:id="18" w:name="_Toc378254187"/>
      <w:bookmarkStart w:id="19" w:name="_Toc381870560"/>
      <w:bookmarkStart w:id="20" w:name="_Toc381954481"/>
      <w:bookmarkStart w:id="21" w:name="_Toc426549306"/>
      <w:bookmarkStart w:id="22" w:name="_Toc426549352"/>
      <w:bookmarkStart w:id="23" w:name="_Toc426549398"/>
      <w:r>
        <w:rPr>
          <w:rStyle w:val="CharPartNo"/>
        </w:rPr>
        <w:t>Part II</w:t>
      </w:r>
      <w:r>
        <w:rPr>
          <w:rStyle w:val="CharDivNo"/>
        </w:rPr>
        <w:t> </w:t>
      </w:r>
      <w:r>
        <w:t>—</w:t>
      </w:r>
      <w:r>
        <w:rPr>
          <w:rStyle w:val="CharDivText"/>
        </w:rPr>
        <w:t> </w:t>
      </w:r>
      <w:r>
        <w:rPr>
          <w:rStyle w:val="CharPartText"/>
        </w:rPr>
        <w:t>Inscription and issue of stock</w:t>
      </w:r>
      <w:bookmarkEnd w:id="18"/>
      <w:bookmarkEnd w:id="19"/>
      <w:bookmarkEnd w:id="20"/>
      <w:bookmarkEnd w:id="21"/>
      <w:bookmarkEnd w:id="22"/>
      <w:bookmarkEnd w:id="23"/>
      <w:r>
        <w:rPr>
          <w:rStyle w:val="CharPartText"/>
        </w:rPr>
        <w:t xml:space="preserve"> </w:t>
      </w:r>
    </w:p>
    <w:p>
      <w:pPr>
        <w:pStyle w:val="Heading5"/>
        <w:rPr>
          <w:snapToGrid w:val="0"/>
        </w:rPr>
      </w:pPr>
      <w:bookmarkStart w:id="24" w:name="_Toc381954482"/>
      <w:bookmarkStart w:id="25" w:name="_Toc426549399"/>
      <w:r>
        <w:rPr>
          <w:rStyle w:val="CharSectno"/>
        </w:rPr>
        <w:t>5</w:t>
      </w:r>
      <w:r>
        <w:rPr>
          <w:snapToGrid w:val="0"/>
        </w:rPr>
        <w:t>.</w:t>
      </w:r>
      <w:r>
        <w:rPr>
          <w:snapToGrid w:val="0"/>
        </w:rPr>
        <w:tab/>
        <w:t>Stock ledger</w:t>
      </w:r>
      <w:bookmarkEnd w:id="24"/>
      <w:bookmarkEnd w:id="25"/>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Trust.</w:t>
      </w:r>
    </w:p>
    <w:p>
      <w:pPr>
        <w:pStyle w:val="Subsection"/>
        <w:rPr>
          <w:snapToGrid w:val="0"/>
        </w:rPr>
      </w:pPr>
      <w:r>
        <w:rPr>
          <w:snapToGrid w:val="0"/>
        </w:rPr>
        <w:tab/>
        <w:t>(3)</w:t>
      </w:r>
      <w:r>
        <w:rPr>
          <w:snapToGrid w:val="0"/>
        </w:rPr>
        <w:tab/>
        <w:t>Every entry in the stock ledger shall be initialled by the Registrar or such other officer of the Trust as the Trust may from time to time appoint, and the ledger shall be audited from time to time by an officer appointed for that purpose by the Auditor General of the State.</w:t>
      </w:r>
    </w:p>
    <w:p>
      <w:pPr>
        <w:pStyle w:val="Heading5"/>
        <w:rPr>
          <w:snapToGrid w:val="0"/>
        </w:rPr>
      </w:pPr>
      <w:bookmarkStart w:id="26" w:name="_Toc381954483"/>
      <w:bookmarkStart w:id="27" w:name="_Toc426549400"/>
      <w:r>
        <w:rPr>
          <w:rStyle w:val="CharSectno"/>
        </w:rPr>
        <w:t>6</w:t>
      </w:r>
      <w:r>
        <w:rPr>
          <w:snapToGrid w:val="0"/>
        </w:rPr>
        <w:t>.</w:t>
      </w:r>
      <w:r>
        <w:rPr>
          <w:snapToGrid w:val="0"/>
        </w:rPr>
        <w:tab/>
        <w:t>Inscription of stock</w:t>
      </w:r>
      <w:bookmarkEnd w:id="26"/>
      <w:bookmarkEnd w:id="27"/>
      <w:r>
        <w:rPr>
          <w:snapToGrid w:val="0"/>
        </w:rPr>
        <w:t xml:space="preserve"> </w:t>
      </w:r>
    </w:p>
    <w:p>
      <w:pPr>
        <w:pStyle w:val="Subsection"/>
        <w:rPr>
          <w:snapToGrid w:val="0"/>
        </w:rPr>
      </w:pPr>
      <w:r>
        <w:rPr>
          <w:snapToGrid w:val="0"/>
        </w:rPr>
        <w:tab/>
        <w:t>(1)</w:t>
      </w:r>
      <w:r>
        <w:rPr>
          <w:snapToGrid w:val="0"/>
        </w:rPr>
        <w:tab/>
        <w:t>Unless the Trust otherwise directs, stock shall be inscribed or remain inscribed only in amounts of £10 or some multiple of £10.</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Trust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8" w:name="_Toc381954484"/>
      <w:bookmarkStart w:id="29" w:name="_Toc426549401"/>
      <w:r>
        <w:rPr>
          <w:rStyle w:val="CharSectno"/>
        </w:rPr>
        <w:t>7</w:t>
      </w:r>
      <w:r>
        <w:rPr>
          <w:snapToGrid w:val="0"/>
        </w:rPr>
        <w:t>.</w:t>
      </w:r>
      <w:r>
        <w:rPr>
          <w:snapToGrid w:val="0"/>
        </w:rPr>
        <w:tab/>
        <w:t>Companies, firms and corporations</w:t>
      </w:r>
      <w:bookmarkEnd w:id="28"/>
      <w:bookmarkEnd w:id="29"/>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authorized to sign forms in connection therewith.</w:t>
      </w:r>
    </w:p>
    <w:p>
      <w:pPr>
        <w:pStyle w:val="Subsection"/>
        <w:rPr>
          <w:snapToGrid w:val="0"/>
        </w:rPr>
      </w:pPr>
      <w:r>
        <w:rPr>
          <w:snapToGrid w:val="0"/>
        </w:rPr>
        <w:tab/>
        <w:t>(3)</w:t>
      </w:r>
      <w:r>
        <w:rPr>
          <w:snapToGrid w:val="0"/>
        </w:rPr>
        <w:tab/>
        <w:t>The Registrar shall cause such documents to be affixed in the signature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30" w:name="_Toc381954485"/>
      <w:bookmarkStart w:id="31" w:name="_Toc426549402"/>
      <w:r>
        <w:rPr>
          <w:rStyle w:val="CharSectno"/>
        </w:rPr>
        <w:t>8</w:t>
      </w:r>
      <w:r>
        <w:rPr>
          <w:snapToGrid w:val="0"/>
        </w:rPr>
        <w:t>.</w:t>
      </w:r>
      <w:r>
        <w:rPr>
          <w:snapToGrid w:val="0"/>
        </w:rPr>
        <w:tab/>
        <w:t>Friendly societies, industrial unions, industrial organizations or incorporated associations</w:t>
      </w:r>
      <w:bookmarkEnd w:id="30"/>
      <w:bookmarkEnd w:id="31"/>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Trust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Trust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the union, organisation, society or body shall furnish the Registrar with a fresh certificate in accordance with this regulation.</w:t>
      </w:r>
    </w:p>
    <w:p>
      <w:pPr>
        <w:pStyle w:val="Heading5"/>
        <w:rPr>
          <w:snapToGrid w:val="0"/>
        </w:rPr>
      </w:pPr>
      <w:bookmarkStart w:id="32" w:name="_Toc381954486"/>
      <w:bookmarkStart w:id="33" w:name="_Toc426549403"/>
      <w:r>
        <w:rPr>
          <w:rStyle w:val="CharSectno"/>
        </w:rPr>
        <w:t>9</w:t>
      </w:r>
      <w:r>
        <w:rPr>
          <w:snapToGrid w:val="0"/>
        </w:rPr>
        <w:t>.</w:t>
      </w:r>
      <w:r>
        <w:rPr>
          <w:snapToGrid w:val="0"/>
        </w:rPr>
        <w:tab/>
        <w:t>Trusts not recognised</w:t>
      </w:r>
      <w:bookmarkEnd w:id="32"/>
      <w:bookmarkEnd w:id="33"/>
      <w:r>
        <w:rPr>
          <w:snapToGrid w:val="0"/>
        </w:rPr>
        <w:t xml:space="preserve"> </w:t>
      </w:r>
    </w:p>
    <w:p>
      <w:pPr>
        <w:pStyle w:val="Subsection"/>
        <w:rPr>
          <w:snapToGrid w:val="0"/>
        </w:rPr>
      </w:pPr>
      <w:r>
        <w:rPr>
          <w:snapToGrid w:val="0"/>
        </w:rPr>
        <w:tab/>
        <w:t>(1)</w:t>
      </w:r>
      <w:r>
        <w:rPr>
          <w:snapToGrid w:val="0"/>
        </w:rPr>
        <w:tab/>
        <w:t>No entry of any trust shall be made in the stock ledger and the Trust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34" w:name="_Toc381954487"/>
      <w:bookmarkStart w:id="35" w:name="_Toc426549404"/>
      <w:r>
        <w:rPr>
          <w:rStyle w:val="CharSectno"/>
        </w:rPr>
        <w:t>10</w:t>
      </w:r>
      <w:r>
        <w:rPr>
          <w:snapToGrid w:val="0"/>
        </w:rPr>
        <w:t>.</w:t>
      </w:r>
      <w:r>
        <w:rPr>
          <w:snapToGrid w:val="0"/>
        </w:rPr>
        <w:tab/>
        <w:t>Change of address</w:t>
      </w:r>
      <w:bookmarkEnd w:id="34"/>
      <w:bookmarkEnd w:id="35"/>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36" w:name="_Toc381954488"/>
      <w:bookmarkStart w:id="37" w:name="_Toc426549405"/>
      <w:r>
        <w:rPr>
          <w:rStyle w:val="CharSectno"/>
        </w:rPr>
        <w:t>11</w:t>
      </w:r>
      <w:r>
        <w:rPr>
          <w:snapToGrid w:val="0"/>
        </w:rPr>
        <w:t>.</w:t>
      </w:r>
      <w:r>
        <w:rPr>
          <w:snapToGrid w:val="0"/>
        </w:rPr>
        <w:tab/>
        <w:t>Marriage of female stockholder</w:t>
      </w:r>
      <w:bookmarkEnd w:id="36"/>
      <w:bookmarkEnd w:id="37"/>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Trust,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38" w:name="_Toc381954489"/>
      <w:bookmarkStart w:id="39" w:name="_Toc426549406"/>
      <w:r>
        <w:rPr>
          <w:rStyle w:val="CharSectno"/>
        </w:rPr>
        <w:t>12</w:t>
      </w:r>
      <w:r>
        <w:rPr>
          <w:snapToGrid w:val="0"/>
        </w:rPr>
        <w:t>.</w:t>
      </w:r>
      <w:r>
        <w:rPr>
          <w:snapToGrid w:val="0"/>
        </w:rPr>
        <w:tab/>
        <w:t>Correction of mistake in stock ledger</w:t>
      </w:r>
      <w:bookmarkEnd w:id="38"/>
      <w:bookmarkEnd w:id="39"/>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 holder shall furnish a statutory declaration of the circumstances to support the request to amend the mistake.</w:t>
      </w:r>
    </w:p>
    <w:p>
      <w:pPr>
        <w:pStyle w:val="Heading5"/>
        <w:rPr>
          <w:snapToGrid w:val="0"/>
        </w:rPr>
      </w:pPr>
      <w:bookmarkStart w:id="40" w:name="_Toc381954490"/>
      <w:bookmarkStart w:id="41" w:name="_Toc426549407"/>
      <w:r>
        <w:rPr>
          <w:rStyle w:val="CharSectno"/>
        </w:rPr>
        <w:t>13</w:t>
      </w:r>
      <w:r>
        <w:rPr>
          <w:snapToGrid w:val="0"/>
        </w:rPr>
        <w:t>.</w:t>
      </w:r>
      <w:r>
        <w:rPr>
          <w:snapToGrid w:val="0"/>
        </w:rPr>
        <w:tab/>
        <w:t>Signatures of stockholders</w:t>
      </w:r>
      <w:bookmarkEnd w:id="40"/>
      <w:bookmarkEnd w:id="41"/>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at the registry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42" w:name="_Toc381954491"/>
      <w:bookmarkStart w:id="43" w:name="_Toc426549408"/>
      <w:r>
        <w:rPr>
          <w:rStyle w:val="CharSectno"/>
        </w:rPr>
        <w:t>14</w:t>
      </w:r>
      <w:r>
        <w:rPr>
          <w:snapToGrid w:val="0"/>
        </w:rPr>
        <w:t>.</w:t>
      </w:r>
      <w:r>
        <w:rPr>
          <w:snapToGrid w:val="0"/>
        </w:rPr>
        <w:tab/>
        <w:t>Inspection of stock ledger</w:t>
      </w:r>
      <w:bookmarkEnd w:id="42"/>
      <w:bookmarkEnd w:id="43"/>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44" w:name="_Toc381954492"/>
      <w:bookmarkStart w:id="45" w:name="_Toc426549409"/>
      <w:r>
        <w:rPr>
          <w:rStyle w:val="CharSectno"/>
        </w:rPr>
        <w:t>15</w:t>
      </w:r>
      <w:r>
        <w:rPr>
          <w:snapToGrid w:val="0"/>
        </w:rPr>
        <w:t>.</w:t>
      </w:r>
      <w:r>
        <w:rPr>
          <w:snapToGrid w:val="0"/>
        </w:rPr>
        <w:tab/>
        <w:t>Certificate of inscription of stock</w:t>
      </w:r>
      <w:bookmarkEnd w:id="44"/>
      <w:bookmarkEnd w:id="45"/>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Trust,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46" w:name="_Toc378254199"/>
      <w:bookmarkStart w:id="47" w:name="_Toc381870572"/>
      <w:bookmarkStart w:id="48" w:name="_Toc381954493"/>
      <w:bookmarkStart w:id="49" w:name="_Toc426549318"/>
      <w:bookmarkStart w:id="50" w:name="_Toc426549364"/>
      <w:bookmarkStart w:id="51" w:name="_Toc426549410"/>
      <w:r>
        <w:rPr>
          <w:rStyle w:val="CharPartNo"/>
        </w:rPr>
        <w:t>Part III</w:t>
      </w:r>
      <w:r>
        <w:rPr>
          <w:rStyle w:val="CharDivNo"/>
        </w:rPr>
        <w:t> </w:t>
      </w:r>
      <w:r>
        <w:t>—</w:t>
      </w:r>
      <w:r>
        <w:rPr>
          <w:rStyle w:val="CharDivText"/>
        </w:rPr>
        <w:t> </w:t>
      </w:r>
      <w:r>
        <w:rPr>
          <w:rStyle w:val="CharPartText"/>
        </w:rPr>
        <w:t>Transfers and transmissions of stock</w:t>
      </w:r>
      <w:bookmarkEnd w:id="46"/>
      <w:bookmarkEnd w:id="47"/>
      <w:bookmarkEnd w:id="48"/>
      <w:bookmarkEnd w:id="49"/>
      <w:bookmarkEnd w:id="50"/>
      <w:bookmarkEnd w:id="51"/>
      <w:r>
        <w:rPr>
          <w:rStyle w:val="CharPartText"/>
        </w:rPr>
        <w:t xml:space="preserve"> </w:t>
      </w:r>
    </w:p>
    <w:p>
      <w:pPr>
        <w:pStyle w:val="Heading5"/>
        <w:rPr>
          <w:snapToGrid w:val="0"/>
        </w:rPr>
      </w:pPr>
      <w:bookmarkStart w:id="52" w:name="_Toc381954494"/>
      <w:bookmarkStart w:id="53" w:name="_Toc426549411"/>
      <w:r>
        <w:rPr>
          <w:rStyle w:val="CharSectno"/>
        </w:rPr>
        <w:t>16</w:t>
      </w:r>
      <w:r>
        <w:rPr>
          <w:snapToGrid w:val="0"/>
        </w:rPr>
        <w:t>.</w:t>
      </w:r>
      <w:r>
        <w:rPr>
          <w:snapToGrid w:val="0"/>
        </w:rPr>
        <w:tab/>
        <w:t>Transfers</w:t>
      </w:r>
      <w:bookmarkEnd w:id="52"/>
      <w:bookmarkEnd w:id="53"/>
      <w:r>
        <w:rPr>
          <w:snapToGrid w:val="0"/>
        </w:rPr>
        <w:t xml:space="preserve"> </w:t>
      </w:r>
    </w:p>
    <w:p>
      <w:pPr>
        <w:pStyle w:val="Subsection"/>
        <w:rPr>
          <w:snapToGrid w:val="0"/>
        </w:rPr>
      </w:pPr>
      <w:r>
        <w:rPr>
          <w:snapToGrid w:val="0"/>
        </w:rPr>
        <w:tab/>
        <w:t>(1)</w:t>
      </w:r>
      <w:r>
        <w:rPr>
          <w:snapToGrid w:val="0"/>
        </w:rPr>
        <w:tab/>
        <w:t>The Registrar shall keep at the office books to be called “Transfer Books” wherein all transfers of stock or any part thereof shall be entered and registered, which entries shall be numbered in such manner as the Trust shall determine.</w:t>
      </w:r>
    </w:p>
    <w:p>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Registry)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Trust shall not be under any necessity to apportion any such interest as between the transferor and the transferee.</w:t>
      </w:r>
    </w:p>
    <w:p>
      <w:pPr>
        <w:pStyle w:val="Heading5"/>
        <w:rPr>
          <w:snapToGrid w:val="0"/>
        </w:rPr>
      </w:pPr>
      <w:bookmarkStart w:id="54" w:name="_Toc381954495"/>
      <w:bookmarkStart w:id="55" w:name="_Toc426549412"/>
      <w:r>
        <w:rPr>
          <w:rStyle w:val="CharSectno"/>
        </w:rPr>
        <w:t>17</w:t>
      </w:r>
      <w:r>
        <w:rPr>
          <w:snapToGrid w:val="0"/>
        </w:rPr>
        <w:t>.</w:t>
      </w:r>
      <w:r>
        <w:rPr>
          <w:snapToGrid w:val="0"/>
        </w:rPr>
        <w:tab/>
        <w:t>Marking of form of transfer of stock</w:t>
      </w:r>
      <w:bookmarkEnd w:id="54"/>
      <w:bookmarkEnd w:id="55"/>
      <w:r>
        <w:rPr>
          <w:snapToGrid w:val="0"/>
        </w:rPr>
        <w:t xml:space="preserve"> </w:t>
      </w:r>
    </w:p>
    <w:p>
      <w:pPr>
        <w:pStyle w:val="Subsection"/>
        <w:rPr>
          <w:snapToGrid w:val="0"/>
        </w:rPr>
      </w:pPr>
      <w:r>
        <w:rPr>
          <w:snapToGrid w:val="0"/>
        </w:rPr>
        <w:tab/>
      </w:r>
      <w:r>
        <w:rPr>
          <w:snapToGrid w:val="0"/>
        </w:rPr>
        <w:tab/>
        <w:t>The Registrar may at the request of any owner or his agent mark a form of transfer of stock, that has been properly executed by the owner, with the words “Stock held against this transfer for £ . . . . . . . . . . . . . . . . . . . . . . for a period fourteen days from</w:t>
      </w:r>
    </w:p>
    <w:p>
      <w:pPr>
        <w:pStyle w:val="Subsection"/>
        <w:spacing w:before="0"/>
        <w:rPr>
          <w:snapToGrid w:val="0"/>
        </w:rPr>
      </w:pPr>
      <w:r>
        <w:rPr>
          <w:snapToGrid w:val="0"/>
        </w:rPr>
        <w:tab/>
      </w:r>
      <w:r>
        <w:rPr>
          <w:snapToGrid w:val="0"/>
        </w:rPr>
        <w:tab/>
        <w:t xml:space="preserve"> . . . . . . . . . . . . . . . . . . . ”. Where a form of transfer of stock </w:t>
      </w:r>
      <w:r>
        <w:t>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 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56" w:name="_Toc381954496"/>
      <w:bookmarkStart w:id="57" w:name="_Toc426549413"/>
      <w:r>
        <w:rPr>
          <w:rStyle w:val="CharSectno"/>
        </w:rPr>
        <w:t>18</w:t>
      </w:r>
      <w:r>
        <w:rPr>
          <w:snapToGrid w:val="0"/>
        </w:rPr>
        <w:t>.</w:t>
      </w:r>
      <w:r>
        <w:rPr>
          <w:snapToGrid w:val="0"/>
        </w:rPr>
        <w:tab/>
        <w:t>Notice of dealing</w:t>
      </w:r>
      <w:bookmarkEnd w:id="56"/>
      <w:bookmarkEnd w:id="57"/>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Trust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58" w:name="_Toc381954497"/>
      <w:bookmarkStart w:id="59" w:name="_Toc426549414"/>
      <w:r>
        <w:rPr>
          <w:rStyle w:val="CharSectno"/>
        </w:rPr>
        <w:t>19</w:t>
      </w:r>
      <w:r>
        <w:rPr>
          <w:snapToGrid w:val="0"/>
        </w:rPr>
        <w:t>.</w:t>
      </w:r>
      <w:r>
        <w:rPr>
          <w:snapToGrid w:val="0"/>
        </w:rPr>
        <w:tab/>
        <w:t>Transfers to be lodged on a transfer day</w:t>
      </w:r>
      <w:bookmarkEnd w:id="58"/>
      <w:bookmarkEnd w:id="59"/>
      <w:r>
        <w:rPr>
          <w:snapToGrid w:val="0"/>
        </w:rPr>
        <w:t xml:space="preserve"> </w:t>
      </w:r>
    </w:p>
    <w:p>
      <w:pPr>
        <w:pStyle w:val="Subsection"/>
        <w:rPr>
          <w:snapToGrid w:val="0"/>
        </w:rPr>
      </w:pPr>
      <w:r>
        <w:rPr>
          <w:snapToGrid w:val="0"/>
        </w:rPr>
        <w:tab/>
      </w:r>
      <w:r>
        <w:rPr>
          <w:snapToGrid w:val="0"/>
        </w:rPr>
        <w:tab/>
        <w:t>Every transfer of stock shall be lodged at the office on a transfer day; the transfer days will be Monday to Friday inclusive in each week between the hours of 10 a.m. and noon, and 1 p.m. and 3 p.m. of each day, except when any of those days falls on a bank holiday.</w:t>
      </w:r>
    </w:p>
    <w:p>
      <w:pPr>
        <w:pStyle w:val="Heading5"/>
        <w:rPr>
          <w:snapToGrid w:val="0"/>
        </w:rPr>
      </w:pPr>
      <w:bookmarkStart w:id="60" w:name="_Toc381954498"/>
      <w:bookmarkStart w:id="61" w:name="_Toc426549415"/>
      <w:r>
        <w:rPr>
          <w:rStyle w:val="CharSectno"/>
        </w:rPr>
        <w:t>20</w:t>
      </w:r>
      <w:r>
        <w:rPr>
          <w:snapToGrid w:val="0"/>
        </w:rPr>
        <w:t>.</w:t>
      </w:r>
      <w:r>
        <w:rPr>
          <w:snapToGrid w:val="0"/>
        </w:rPr>
        <w:tab/>
        <w:t>Entries in stock ledger</w:t>
      </w:r>
      <w:bookmarkEnd w:id="60"/>
      <w:bookmarkEnd w:id="61"/>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62" w:name="_Toc381954499"/>
      <w:bookmarkStart w:id="63" w:name="_Toc426549416"/>
      <w:r>
        <w:rPr>
          <w:rStyle w:val="CharSectno"/>
        </w:rPr>
        <w:t>21</w:t>
      </w:r>
      <w:r>
        <w:rPr>
          <w:snapToGrid w:val="0"/>
        </w:rPr>
        <w:t>.</w:t>
      </w:r>
      <w:r>
        <w:rPr>
          <w:snapToGrid w:val="0"/>
        </w:rPr>
        <w:tab/>
        <w:t>Deceased stockholders</w:t>
      </w:r>
      <w:bookmarkEnd w:id="62"/>
      <w:bookmarkEnd w:id="63"/>
      <w:r>
        <w:rPr>
          <w:snapToGrid w:val="0"/>
        </w:rPr>
        <w:t xml:space="preserve"> </w:t>
      </w:r>
    </w:p>
    <w:p>
      <w:pPr>
        <w:pStyle w:val="Subsection"/>
        <w:rPr>
          <w:snapToGrid w:val="0"/>
        </w:rPr>
      </w:pPr>
      <w:r>
        <w:rPr>
          <w:snapToGrid w:val="0"/>
        </w:rPr>
        <w:tab/>
        <w:t>(1) (a)</w:t>
      </w:r>
      <w:r>
        <w:rPr>
          <w:snapToGrid w:val="0"/>
        </w:rPr>
        <w:tab/>
        <w:t>The executor, administrator or trustee of the estate of a deceased stockholder (not being one of several joint stockholders) shall be the only person recognised by the Trust as having any title to the stock inscribed in the name of the deceased stockholder.</w:t>
      </w:r>
    </w:p>
    <w:p>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pPr>
        <w:pStyle w:val="Subsection"/>
        <w:rPr>
          <w:snapToGrid w:val="0"/>
        </w:rPr>
      </w:pPr>
      <w:r>
        <w:rPr>
          <w:snapToGrid w:val="0"/>
        </w:rPr>
        <w:tab/>
        <w:t>(2) (a) On the death of one of the holders in a joint account relating to stock, the survivor or survivors in the joint account shall be the only person or persons recognised by the Trust as having any title to or interest in the stock.</w:t>
      </w:r>
    </w:p>
    <w:p>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64" w:name="_Toc381954500"/>
      <w:bookmarkStart w:id="65" w:name="_Toc426549417"/>
      <w:r>
        <w:rPr>
          <w:rStyle w:val="CharSectno"/>
        </w:rPr>
        <w:t>22</w:t>
      </w:r>
      <w:r>
        <w:rPr>
          <w:snapToGrid w:val="0"/>
        </w:rPr>
        <w:t>.</w:t>
      </w:r>
      <w:r>
        <w:rPr>
          <w:snapToGrid w:val="0"/>
        </w:rPr>
        <w:tab/>
        <w:t>Transmission of stock</w:t>
      </w:r>
      <w:bookmarkEnd w:id="64"/>
      <w:bookmarkEnd w:id="65"/>
      <w:r>
        <w:rPr>
          <w:snapToGrid w:val="0"/>
        </w:rPr>
        <w:t xml:space="preserve"> </w:t>
      </w:r>
    </w:p>
    <w:p>
      <w:pPr>
        <w:pStyle w:val="Subsection"/>
        <w:rPr>
          <w:snapToGrid w:val="0"/>
        </w:rPr>
      </w:pPr>
      <w:r>
        <w:rPr>
          <w:snapToGrid w:val="0"/>
        </w:rPr>
        <w:tab/>
        <w:t>(1) (a) 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Subsection"/>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66" w:name="_Toc381954501"/>
      <w:bookmarkStart w:id="67" w:name="_Toc426549418"/>
      <w:r>
        <w:rPr>
          <w:rStyle w:val="CharSectno"/>
        </w:rPr>
        <w:t>23</w:t>
      </w:r>
      <w:r>
        <w:rPr>
          <w:snapToGrid w:val="0"/>
        </w:rPr>
        <w:t>.</w:t>
      </w:r>
      <w:r>
        <w:rPr>
          <w:snapToGrid w:val="0"/>
        </w:rPr>
        <w:tab/>
        <w:t>Power of Registrar to dispense with production or re</w:t>
      </w:r>
      <w:r>
        <w:rPr>
          <w:snapToGrid w:val="0"/>
        </w:rPr>
        <w:noBreakHyphen/>
        <w:t>sealing of probate</w:t>
      </w:r>
      <w:bookmarkEnd w:id="66"/>
      <w:bookmarkEnd w:id="67"/>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two hundred pounds the Trust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Trust to be lawfully entitled thereto.</w:t>
      </w:r>
    </w:p>
    <w:p>
      <w:pPr>
        <w:pStyle w:val="Subsection"/>
        <w:rPr>
          <w:snapToGrid w:val="0"/>
        </w:rPr>
      </w:pPr>
      <w:r>
        <w:rPr>
          <w:snapToGrid w:val="0"/>
        </w:rPr>
        <w:tab/>
        <w:t>(2)</w:t>
      </w:r>
      <w:r>
        <w:rPr>
          <w:snapToGrid w:val="0"/>
        </w:rPr>
        <w:tab/>
        <w:t>No person shall have any claim against the Trust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68" w:name="_Toc381954502"/>
      <w:bookmarkStart w:id="69" w:name="_Toc426549419"/>
      <w:r>
        <w:rPr>
          <w:rStyle w:val="CharSectno"/>
        </w:rPr>
        <w:t>24</w:t>
      </w:r>
      <w:r>
        <w:rPr>
          <w:snapToGrid w:val="0"/>
        </w:rPr>
        <w:t>.</w:t>
      </w:r>
      <w:r>
        <w:rPr>
          <w:snapToGrid w:val="0"/>
        </w:rPr>
        <w:tab/>
        <w:t>Persons entitled to be registered on transmission</w:t>
      </w:r>
      <w:bookmarkEnd w:id="68"/>
      <w:bookmarkEnd w:id="69"/>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any such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authorize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Heading2"/>
      </w:pPr>
      <w:bookmarkStart w:id="70" w:name="_Toc378254209"/>
      <w:bookmarkStart w:id="71" w:name="_Toc381870582"/>
      <w:bookmarkStart w:id="72" w:name="_Toc381954503"/>
      <w:bookmarkStart w:id="73" w:name="_Toc426549328"/>
      <w:bookmarkStart w:id="74" w:name="_Toc426549374"/>
      <w:bookmarkStart w:id="75" w:name="_Toc426549420"/>
      <w:r>
        <w:rPr>
          <w:rStyle w:val="CharPartNo"/>
        </w:rPr>
        <w:t>Part IV</w:t>
      </w:r>
      <w:r>
        <w:rPr>
          <w:rStyle w:val="CharDivNo"/>
        </w:rPr>
        <w:t> </w:t>
      </w:r>
      <w:r>
        <w:t>—</w:t>
      </w:r>
      <w:r>
        <w:rPr>
          <w:rStyle w:val="CharDivText"/>
        </w:rPr>
        <w:t> </w:t>
      </w:r>
      <w:r>
        <w:rPr>
          <w:rStyle w:val="CharPartText"/>
        </w:rPr>
        <w:t>Issue of debentures</w:t>
      </w:r>
      <w:bookmarkEnd w:id="70"/>
      <w:bookmarkEnd w:id="71"/>
      <w:bookmarkEnd w:id="72"/>
      <w:bookmarkEnd w:id="73"/>
      <w:bookmarkEnd w:id="74"/>
      <w:bookmarkEnd w:id="75"/>
      <w:r>
        <w:rPr>
          <w:rStyle w:val="CharPartText"/>
        </w:rPr>
        <w:t xml:space="preserve"> </w:t>
      </w:r>
    </w:p>
    <w:p>
      <w:pPr>
        <w:pStyle w:val="Heading5"/>
        <w:rPr>
          <w:snapToGrid w:val="0"/>
        </w:rPr>
      </w:pPr>
      <w:bookmarkStart w:id="76" w:name="_Toc381954504"/>
      <w:bookmarkStart w:id="77" w:name="_Toc426549421"/>
      <w:r>
        <w:rPr>
          <w:rStyle w:val="CharSectno"/>
        </w:rPr>
        <w:t>25</w:t>
      </w:r>
      <w:r>
        <w:rPr>
          <w:snapToGrid w:val="0"/>
        </w:rPr>
        <w:t>.</w:t>
      </w:r>
      <w:r>
        <w:rPr>
          <w:snapToGrid w:val="0"/>
        </w:rPr>
        <w:tab/>
        <w:t>Issue of debentures</w:t>
      </w:r>
      <w:bookmarkEnd w:id="76"/>
      <w:bookmarkEnd w:id="77"/>
      <w:r>
        <w:rPr>
          <w:snapToGrid w:val="0"/>
        </w:rPr>
        <w:t xml:space="preserve"> </w:t>
      </w:r>
    </w:p>
    <w:p>
      <w:pPr>
        <w:pStyle w:val="Subsection"/>
        <w:rPr>
          <w:snapToGrid w:val="0"/>
        </w:rPr>
      </w:pPr>
      <w:r>
        <w:rPr>
          <w:snapToGrid w:val="0"/>
        </w:rPr>
        <w:tab/>
        <w:t>(1)</w:t>
      </w:r>
      <w:r>
        <w:rPr>
          <w:snapToGrid w:val="0"/>
        </w:rPr>
        <w:tab/>
        <w:t>All signatures on the face of debentures shall be made in writing.</w:t>
      </w:r>
    </w:p>
    <w:p>
      <w:pPr>
        <w:pStyle w:val="Subsection"/>
        <w:rPr>
          <w:snapToGrid w:val="0"/>
        </w:rPr>
      </w:pPr>
      <w:r>
        <w:rPr>
          <w:snapToGrid w:val="0"/>
        </w:rPr>
        <w:tab/>
        <w:t>(2)</w:t>
      </w:r>
      <w:r>
        <w:rPr>
          <w:snapToGrid w:val="0"/>
        </w:rPr>
        <w:tab/>
        <w:t>Where a loan is issued wholly or partly in the form of debentures the transactions relating to the debentures and the coupons attached thereto shall be recorded at the office in a general register of debentures.</w:t>
      </w:r>
    </w:p>
    <w:p>
      <w:pPr>
        <w:pStyle w:val="Subsection"/>
        <w:rPr>
          <w:snapToGrid w:val="0"/>
        </w:rPr>
      </w:pPr>
      <w:r>
        <w:rPr>
          <w:snapToGrid w:val="0"/>
        </w:rPr>
        <w:tab/>
        <w:t>(3)</w:t>
      </w:r>
      <w:r>
        <w:rPr>
          <w:snapToGrid w:val="0"/>
        </w:rPr>
        <w:tab/>
        <w:t>There shall be kept at the office, in a form approved by the Trust, records showing particulars of the debentures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Trust from all actions, suits, claims and demands in respect of the debentures so delivered.</w:t>
      </w:r>
    </w:p>
    <w:p>
      <w:pPr>
        <w:pStyle w:val="Subsection"/>
        <w:rPr>
          <w:snapToGrid w:val="0"/>
        </w:rPr>
      </w:pPr>
      <w:r>
        <w:rPr>
          <w:snapToGrid w:val="0"/>
        </w:rPr>
        <w:tab/>
        <w:t>(5)</w:t>
      </w:r>
      <w:r>
        <w:rPr>
          <w:snapToGrid w:val="0"/>
        </w:rPr>
        <w:tab/>
        <w:t>Before any debentures are issued to a purchaser, any overdue interest coupons shall be detached therefrom and cancelled.</w:t>
      </w:r>
    </w:p>
    <w:p>
      <w:pPr>
        <w:pStyle w:val="Subsection"/>
        <w:rPr>
          <w:snapToGrid w:val="0"/>
        </w:rPr>
      </w:pPr>
      <w:r>
        <w:rPr>
          <w:snapToGrid w:val="0"/>
        </w:rPr>
        <w:tab/>
        <w:t>(6)</w:t>
      </w:r>
      <w:r>
        <w:rPr>
          <w:snapToGrid w:val="0"/>
        </w:rPr>
        <w:tab/>
        <w:t>Where in any case debentures cannot be handed personally to the owner at the office the Registrar may arrange or cause to be arranged delivery of the debentures through a bank or other agency, and a receipt shall be obtained by the Registrar in exchange for all debentures delivered.</w:t>
      </w:r>
    </w:p>
    <w:p>
      <w:pPr>
        <w:pStyle w:val="Heading5"/>
        <w:rPr>
          <w:snapToGrid w:val="0"/>
        </w:rPr>
      </w:pPr>
      <w:bookmarkStart w:id="78" w:name="_Toc381954505"/>
      <w:bookmarkStart w:id="79" w:name="_Toc426549422"/>
      <w:r>
        <w:rPr>
          <w:rStyle w:val="CharSectno"/>
        </w:rPr>
        <w:t>26</w:t>
      </w:r>
      <w:r>
        <w:rPr>
          <w:snapToGrid w:val="0"/>
        </w:rPr>
        <w:t>.</w:t>
      </w:r>
      <w:r>
        <w:rPr>
          <w:snapToGrid w:val="0"/>
        </w:rPr>
        <w:tab/>
        <w:t>Delivery of debentures not exceeding $400 on behalf of deceased persons</w:t>
      </w:r>
      <w:bookmarkEnd w:id="78"/>
      <w:bookmarkEnd w:id="79"/>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debentures not exceeding a face value of $400 the Registrar may authorise the delivery of the debentures to such person as he thinks fit.</w:t>
      </w:r>
    </w:p>
    <w:p>
      <w:pPr>
        <w:pStyle w:val="Subsection"/>
        <w:rPr>
          <w:snapToGrid w:val="0"/>
        </w:rPr>
      </w:pPr>
      <w:r>
        <w:rPr>
          <w:snapToGrid w:val="0"/>
        </w:rPr>
        <w:tab/>
        <w:t>(2)</w:t>
      </w:r>
      <w:r>
        <w:rPr>
          <w:snapToGrid w:val="0"/>
        </w:rPr>
        <w:tab/>
        <w:t>No person shall have any claim against the Trust in respect of any debentures delivered under this regulation but nothing in this regulation shall relieve the person to whom the debentures are delivered from accounting for or dealing with the debentures as required by law.</w:t>
      </w:r>
    </w:p>
    <w:p>
      <w:pPr>
        <w:pStyle w:val="Heading5"/>
        <w:rPr>
          <w:snapToGrid w:val="0"/>
        </w:rPr>
      </w:pPr>
      <w:bookmarkStart w:id="80" w:name="_Toc381954506"/>
      <w:bookmarkStart w:id="81" w:name="_Toc426549423"/>
      <w:r>
        <w:rPr>
          <w:rStyle w:val="CharSectno"/>
        </w:rPr>
        <w:t>27</w:t>
      </w:r>
      <w:r>
        <w:rPr>
          <w:snapToGrid w:val="0"/>
        </w:rPr>
        <w:t>.</w:t>
      </w:r>
      <w:r>
        <w:rPr>
          <w:snapToGrid w:val="0"/>
        </w:rPr>
        <w:tab/>
        <w:t>Issue of debentures in exchange for stock</w:t>
      </w:r>
      <w:bookmarkEnd w:id="80"/>
      <w:bookmarkEnd w:id="81"/>
      <w:r>
        <w:rPr>
          <w:snapToGrid w:val="0"/>
        </w:rPr>
        <w:t xml:space="preserve"> </w:t>
      </w:r>
    </w:p>
    <w:p>
      <w:pPr>
        <w:pStyle w:val="Subsection"/>
        <w:rPr>
          <w:snapToGrid w:val="0"/>
        </w:rPr>
      </w:pPr>
      <w:r>
        <w:rPr>
          <w:snapToGrid w:val="0"/>
        </w:rPr>
        <w:tab/>
        <w:t>(1)</w:t>
      </w:r>
      <w:r>
        <w:rPr>
          <w:snapToGrid w:val="0"/>
        </w:rPr>
        <w:tab/>
        <w:t>Upon application in a form approved by the Trust for the issue of debentures in exchange for stock and if the Trust accedes to such application, the Registrar shall debit the applicant's account in the stock ledger and issue to him or his order debentures of the same currency and rate of interest for the amount of the stock debited.</w:t>
      </w:r>
    </w:p>
    <w:p>
      <w:pPr>
        <w:pStyle w:val="Subsection"/>
        <w:rPr>
          <w:snapToGrid w:val="0"/>
        </w:rPr>
      </w:pPr>
      <w:r>
        <w:rPr>
          <w:snapToGrid w:val="0"/>
        </w:rPr>
        <w:tab/>
        <w:t>(2)</w:t>
      </w:r>
      <w:r>
        <w:rPr>
          <w:snapToGrid w:val="0"/>
        </w:rPr>
        <w:tab/>
        <w:t>Where debentures are issued in exchange for stock, the Registrar may demand the surrender of stock certificates or other relevant registry documents in exchange for those debentures.</w:t>
      </w:r>
    </w:p>
    <w:p>
      <w:pPr>
        <w:pStyle w:val="Subsection"/>
        <w:rPr>
          <w:snapToGrid w:val="0"/>
        </w:rPr>
      </w:pPr>
      <w:r>
        <w:rPr>
          <w:snapToGrid w:val="0"/>
        </w:rPr>
        <w:tab/>
        <w:t>(3)</w:t>
      </w:r>
      <w:r>
        <w:rPr>
          <w:snapToGrid w:val="0"/>
        </w:rPr>
        <w:tab/>
        <w:t>A receipt for debentures delivered shall be given to the Registrar by the applicant or his attorney or agent.</w:t>
      </w:r>
    </w:p>
    <w:p>
      <w:pPr>
        <w:pStyle w:val="Subsection"/>
        <w:rPr>
          <w:snapToGrid w:val="0"/>
        </w:rPr>
      </w:pPr>
      <w:r>
        <w:rPr>
          <w:snapToGrid w:val="0"/>
        </w:rPr>
        <w:tab/>
        <w:t>(4)</w:t>
      </w:r>
      <w:r>
        <w:rPr>
          <w:snapToGrid w:val="0"/>
        </w:rPr>
        <w:tab/>
        <w:t>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Debentures may be issued in exchange for stock inscribed in the name of a person of unsound mind jointly with other persons not under legal disability, upon receipt of an application in a form approved by the Trust, signed by the Master in Lunacy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Trust for the issue of debentures in exchange for that stock to be signed by or on behalf of that person of unsound mind.</w:t>
      </w:r>
    </w:p>
    <w:p>
      <w:pPr>
        <w:pStyle w:val="Heading5"/>
        <w:rPr>
          <w:snapToGrid w:val="0"/>
        </w:rPr>
      </w:pPr>
      <w:bookmarkStart w:id="82" w:name="_Toc381954507"/>
      <w:bookmarkStart w:id="83" w:name="_Toc426549424"/>
      <w:r>
        <w:rPr>
          <w:rStyle w:val="CharSectno"/>
        </w:rPr>
        <w:t>28</w:t>
      </w:r>
      <w:r>
        <w:rPr>
          <w:snapToGrid w:val="0"/>
        </w:rPr>
        <w:t>.</w:t>
      </w:r>
      <w:r>
        <w:rPr>
          <w:snapToGrid w:val="0"/>
        </w:rPr>
        <w:tab/>
        <w:t>Issue of debentures in exchange for other debentures</w:t>
      </w:r>
      <w:bookmarkEnd w:id="82"/>
      <w:bookmarkEnd w:id="83"/>
      <w:r>
        <w:rPr>
          <w:snapToGrid w:val="0"/>
        </w:rPr>
        <w:t xml:space="preserve"> </w:t>
      </w:r>
    </w:p>
    <w:p>
      <w:pPr>
        <w:pStyle w:val="Subsection"/>
        <w:rPr>
          <w:snapToGrid w:val="0"/>
        </w:rPr>
      </w:pPr>
      <w:r>
        <w:rPr>
          <w:snapToGrid w:val="0"/>
        </w:rPr>
        <w:tab/>
      </w:r>
      <w:r>
        <w:rPr>
          <w:snapToGrid w:val="0"/>
        </w:rPr>
        <w:tab/>
        <w:t>Upon application in a form approved by the Trust, debentures may if the Trust accedes to such application be surrendered at the office in exchange for other debentures of a like amount, of the same currency and bearing the same rate of interest.</w:t>
      </w:r>
    </w:p>
    <w:p>
      <w:pPr>
        <w:pStyle w:val="Heading5"/>
        <w:rPr>
          <w:snapToGrid w:val="0"/>
        </w:rPr>
      </w:pPr>
      <w:bookmarkStart w:id="84" w:name="_Toc381954508"/>
      <w:bookmarkStart w:id="85" w:name="_Toc426549425"/>
      <w:r>
        <w:rPr>
          <w:rStyle w:val="CharSectno"/>
        </w:rPr>
        <w:t>29</w:t>
      </w:r>
      <w:r>
        <w:rPr>
          <w:snapToGrid w:val="0"/>
        </w:rPr>
        <w:t>.</w:t>
      </w:r>
      <w:r>
        <w:rPr>
          <w:snapToGrid w:val="0"/>
        </w:rPr>
        <w:tab/>
        <w:t>Inscription of stock in exchange for debentures</w:t>
      </w:r>
      <w:bookmarkEnd w:id="84"/>
      <w:bookmarkEnd w:id="85"/>
      <w:r>
        <w:rPr>
          <w:snapToGrid w:val="0"/>
        </w:rPr>
        <w:t xml:space="preserve"> </w:t>
      </w:r>
    </w:p>
    <w:p>
      <w:pPr>
        <w:pStyle w:val="Subsection"/>
        <w:rPr>
          <w:snapToGrid w:val="0"/>
        </w:rPr>
      </w:pPr>
      <w:r>
        <w:rPr>
          <w:snapToGrid w:val="0"/>
        </w:rPr>
        <w:tab/>
      </w:r>
      <w:r>
        <w:rPr>
          <w:snapToGrid w:val="0"/>
        </w:rPr>
        <w:tab/>
        <w:t>Upon application in a form approved by the Trust for the inscription of stock in exchange for debentures, and if the Trust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pPr>
        <w:pStyle w:val="Heading2"/>
      </w:pPr>
      <w:bookmarkStart w:id="86" w:name="_Toc378254215"/>
      <w:bookmarkStart w:id="87" w:name="_Toc381870588"/>
      <w:bookmarkStart w:id="88" w:name="_Toc381954509"/>
      <w:bookmarkStart w:id="89" w:name="_Toc426549334"/>
      <w:bookmarkStart w:id="90" w:name="_Toc426549380"/>
      <w:bookmarkStart w:id="91" w:name="_Toc426549426"/>
      <w:r>
        <w:rPr>
          <w:rStyle w:val="CharPartNo"/>
        </w:rPr>
        <w:t>Part V</w:t>
      </w:r>
      <w:r>
        <w:rPr>
          <w:rStyle w:val="CharDivNo"/>
        </w:rPr>
        <w:t> </w:t>
      </w:r>
      <w:r>
        <w:t>—</w:t>
      </w:r>
      <w:r>
        <w:rPr>
          <w:rStyle w:val="CharDivText"/>
        </w:rPr>
        <w:t> </w:t>
      </w:r>
      <w:r>
        <w:rPr>
          <w:rStyle w:val="CharPartText"/>
        </w:rPr>
        <w:t>Payment of interest</w:t>
      </w:r>
      <w:bookmarkEnd w:id="86"/>
      <w:bookmarkEnd w:id="87"/>
      <w:bookmarkEnd w:id="88"/>
      <w:bookmarkEnd w:id="89"/>
      <w:bookmarkEnd w:id="90"/>
      <w:bookmarkEnd w:id="91"/>
      <w:r>
        <w:rPr>
          <w:rStyle w:val="CharPartText"/>
        </w:rPr>
        <w:t xml:space="preserve"> </w:t>
      </w:r>
    </w:p>
    <w:p>
      <w:pPr>
        <w:pStyle w:val="Heading5"/>
        <w:rPr>
          <w:snapToGrid w:val="0"/>
        </w:rPr>
      </w:pPr>
      <w:bookmarkStart w:id="92" w:name="_Toc381954510"/>
      <w:bookmarkStart w:id="93" w:name="_Toc426549427"/>
      <w:r>
        <w:rPr>
          <w:rStyle w:val="CharSectno"/>
        </w:rPr>
        <w:t>30</w:t>
      </w:r>
      <w:r>
        <w:rPr>
          <w:snapToGrid w:val="0"/>
        </w:rPr>
        <w:t>.</w:t>
      </w:r>
      <w:r>
        <w:rPr>
          <w:snapToGrid w:val="0"/>
        </w:rPr>
        <w:tab/>
        <w:t>Stock ledger to be closed</w:t>
      </w:r>
      <w:bookmarkEnd w:id="92"/>
      <w:bookmarkEnd w:id="93"/>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94" w:name="_Toc381954511"/>
      <w:bookmarkStart w:id="95" w:name="_Toc426549428"/>
      <w:r>
        <w:rPr>
          <w:rStyle w:val="CharSectno"/>
        </w:rPr>
        <w:t>31</w:t>
      </w:r>
      <w:r>
        <w:rPr>
          <w:snapToGrid w:val="0"/>
        </w:rPr>
        <w:t>.</w:t>
      </w:r>
      <w:r>
        <w:rPr>
          <w:snapToGrid w:val="0"/>
        </w:rPr>
        <w:tab/>
        <w:t>Interest on debentures</w:t>
      </w:r>
      <w:bookmarkEnd w:id="94"/>
      <w:bookmarkEnd w:id="95"/>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debentures may be paid in accordance with the conditions of the prospectus.</w:t>
      </w:r>
    </w:p>
    <w:p>
      <w:pPr>
        <w:pStyle w:val="Heading5"/>
        <w:rPr>
          <w:snapToGrid w:val="0"/>
        </w:rPr>
      </w:pPr>
      <w:bookmarkStart w:id="96" w:name="_Toc381954512"/>
      <w:bookmarkStart w:id="97" w:name="_Toc426549429"/>
      <w:r>
        <w:rPr>
          <w:rStyle w:val="CharSectno"/>
        </w:rPr>
        <w:t>32</w:t>
      </w:r>
      <w:r>
        <w:rPr>
          <w:snapToGrid w:val="0"/>
        </w:rPr>
        <w:t>.</w:t>
      </w:r>
      <w:r>
        <w:rPr>
          <w:snapToGrid w:val="0"/>
        </w:rPr>
        <w:tab/>
        <w:t>Payment of interest on inscribed stock</w:t>
      </w:r>
      <w:bookmarkEnd w:id="96"/>
      <w:bookmarkEnd w:id="97"/>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(1)</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(2)</w:t>
      </w:r>
      <w:r>
        <w:rPr>
          <w:snapToGrid w:val="0"/>
        </w:rPr>
        <w:tab/>
        <w:t>With the approval of the Trust and at the risk of the stockholder, by payment into an account in a bank within the Commonwealth.</w:t>
      </w:r>
    </w:p>
    <w:p>
      <w:pPr>
        <w:pStyle w:val="Indenta"/>
        <w:rPr>
          <w:snapToGrid w:val="0"/>
        </w:rPr>
      </w:pPr>
      <w:r>
        <w:rPr>
          <w:snapToGrid w:val="0"/>
        </w:rPr>
        <w:tab/>
        <w:t>(3)</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(4)</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(5)</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(6)</w:t>
      </w:r>
      <w:r>
        <w:rPr>
          <w:snapToGrid w:val="0"/>
        </w:rPr>
        <w:tab/>
        <w:t>Where, under the conditions of the issue of any loan, the Trust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98" w:name="_Toc381954513"/>
      <w:bookmarkStart w:id="99" w:name="_Toc426549430"/>
      <w:r>
        <w:rPr>
          <w:rStyle w:val="CharSectno"/>
        </w:rPr>
        <w:t>33</w:t>
      </w:r>
      <w:r>
        <w:rPr>
          <w:snapToGrid w:val="0"/>
        </w:rPr>
        <w:t>.</w:t>
      </w:r>
      <w:r>
        <w:rPr>
          <w:snapToGrid w:val="0"/>
        </w:rPr>
        <w:tab/>
        <w:t>Receipts of joint stockholders</w:t>
      </w:r>
      <w:bookmarkEnd w:id="98"/>
      <w:bookmarkEnd w:id="99"/>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Trust in respect thereof but with regard to the payment of principal a discharge shall be given by all stockholders in a joint account.</w:t>
      </w:r>
    </w:p>
    <w:p>
      <w:pPr>
        <w:pStyle w:val="Heading2"/>
      </w:pPr>
      <w:bookmarkStart w:id="100" w:name="_Toc378254220"/>
      <w:bookmarkStart w:id="101" w:name="_Toc381870593"/>
      <w:bookmarkStart w:id="102" w:name="_Toc381954514"/>
      <w:bookmarkStart w:id="103" w:name="_Toc426549339"/>
      <w:bookmarkStart w:id="104" w:name="_Toc426549385"/>
      <w:bookmarkStart w:id="105" w:name="_Toc426549431"/>
      <w:r>
        <w:rPr>
          <w:rStyle w:val="CharPartNo"/>
        </w:rPr>
        <w:t>Part VI</w:t>
      </w:r>
      <w:r>
        <w:rPr>
          <w:rStyle w:val="CharDivNo"/>
        </w:rPr>
        <w:t> </w:t>
      </w:r>
      <w:r>
        <w:t>—</w:t>
      </w:r>
      <w:r>
        <w:rPr>
          <w:rStyle w:val="CharDivText"/>
        </w:rPr>
        <w:t> </w:t>
      </w:r>
      <w:r>
        <w:rPr>
          <w:rStyle w:val="CharPartText"/>
        </w:rPr>
        <w:t>General</w:t>
      </w:r>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381954515"/>
      <w:bookmarkStart w:id="107" w:name="_Toc426549432"/>
      <w:r>
        <w:rPr>
          <w:rStyle w:val="CharSectno"/>
        </w:rPr>
        <w:t>34</w:t>
      </w:r>
      <w:r>
        <w:rPr>
          <w:snapToGrid w:val="0"/>
        </w:rPr>
        <w:t>.</w:t>
      </w:r>
      <w:r>
        <w:rPr>
          <w:snapToGrid w:val="0"/>
        </w:rPr>
        <w:tab/>
        <w:t>Powers of attorney</w:t>
      </w:r>
      <w:bookmarkEnd w:id="106"/>
      <w:bookmarkEnd w:id="107"/>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Heading5"/>
        <w:rPr>
          <w:snapToGrid w:val="0"/>
        </w:rPr>
      </w:pPr>
      <w:bookmarkStart w:id="108" w:name="_Toc381954516"/>
      <w:bookmarkStart w:id="109" w:name="_Toc426549433"/>
      <w:r>
        <w:rPr>
          <w:rStyle w:val="CharSectno"/>
        </w:rPr>
        <w:t>35</w:t>
      </w:r>
      <w:r>
        <w:rPr>
          <w:snapToGrid w:val="0"/>
        </w:rPr>
        <w:t>.</w:t>
      </w:r>
      <w:r>
        <w:rPr>
          <w:snapToGrid w:val="0"/>
        </w:rPr>
        <w:tab/>
        <w:t>Repayment of principal</w:t>
      </w:r>
      <w:bookmarkEnd w:id="108"/>
      <w:bookmarkEnd w:id="109"/>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10" w:name="_Toc381954517"/>
      <w:bookmarkStart w:id="111" w:name="_Toc426549434"/>
      <w:r>
        <w:rPr>
          <w:rStyle w:val="CharSectno"/>
        </w:rPr>
        <w:t>36</w:t>
      </w:r>
      <w:r>
        <w:rPr>
          <w:snapToGrid w:val="0"/>
        </w:rPr>
        <w:t>.</w:t>
      </w:r>
      <w:r>
        <w:rPr>
          <w:snapToGrid w:val="0"/>
        </w:rPr>
        <w:tab/>
        <w:t>General provisions</w:t>
      </w:r>
      <w:bookmarkEnd w:id="110"/>
      <w:bookmarkEnd w:id="111"/>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No erasures shall be made in the stock ledger, and errors shall be ruled through and correct entries made.</w:t>
      </w:r>
    </w:p>
    <w:p>
      <w:pPr>
        <w:pStyle w:val="Heading5"/>
        <w:rPr>
          <w:snapToGrid w:val="0"/>
        </w:rPr>
      </w:pPr>
      <w:bookmarkStart w:id="112" w:name="_Toc381954518"/>
      <w:bookmarkStart w:id="113" w:name="_Toc426549435"/>
      <w:r>
        <w:rPr>
          <w:rStyle w:val="CharSectno"/>
        </w:rPr>
        <w:t>37</w:t>
      </w:r>
      <w:r>
        <w:rPr>
          <w:snapToGrid w:val="0"/>
        </w:rPr>
        <w:t>.</w:t>
      </w:r>
      <w:r>
        <w:rPr>
          <w:snapToGrid w:val="0"/>
        </w:rPr>
        <w:tab/>
        <w:t>Secrecy</w:t>
      </w:r>
      <w:bookmarkEnd w:id="112"/>
      <w:bookmarkEnd w:id="113"/>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Trust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pStyle w:val="yScheduleHeading"/>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9"/>
        <w:rPr>
          <w:b w:val="0"/>
          <w:sz w:val="24"/>
        </w:rPr>
      </w:pPr>
      <w:bookmarkStart w:id="115" w:name="_Toc378254225"/>
      <w:bookmarkStart w:id="116" w:name="_Toc381870599"/>
      <w:bookmarkStart w:id="117" w:name="_Toc381954519"/>
      <w:bookmarkStart w:id="118" w:name="_Toc426549344"/>
      <w:bookmarkStart w:id="119" w:name="_Toc426549390"/>
      <w:bookmarkStart w:id="120" w:name="_Toc426549436"/>
      <w:r>
        <w:rPr>
          <w:b w:val="0"/>
          <w:sz w:val="24"/>
        </w:rPr>
        <w:t>Form No. 1</w:t>
      </w:r>
      <w:bookmarkEnd w:id="115"/>
      <w:bookmarkEnd w:id="116"/>
      <w:bookmarkEnd w:id="117"/>
      <w:bookmarkEnd w:id="118"/>
      <w:bookmarkEnd w:id="119"/>
      <w:bookmarkEnd w:id="120"/>
    </w:p>
    <w:p>
      <w:pPr>
        <w:pStyle w:val="MiscellaneousHeading"/>
        <w:rPr>
          <w:snapToGrid w:val="0"/>
        </w:rPr>
      </w:pPr>
      <w:r>
        <w:rPr>
          <w:snapToGrid w:val="0"/>
        </w:rPr>
        <w:t>Fremantle Harbour Trust</w:t>
      </w:r>
    </w:p>
    <w:p>
      <w:pPr>
        <w:pStyle w:val="MiscellaneousHeading"/>
        <w:rPr>
          <w:snapToGrid w:val="0"/>
        </w:rPr>
      </w:pPr>
      <w:r>
        <w:rPr>
          <w:snapToGrid w:val="0"/>
        </w:rPr>
        <w:t>DEBENTURE</w:t>
      </w:r>
    </w:p>
    <w:p>
      <w:pPr>
        <w:pStyle w:val="MiscellaneousBody"/>
        <w:rPr>
          <w:snapToGrid w:val="0"/>
        </w:rPr>
      </w:pPr>
      <w:r>
        <w:rPr>
          <w:snapToGrid w:val="0"/>
        </w:rPr>
        <w:t xml:space="preserve">(Issued under the </w:t>
      </w:r>
      <w:r>
        <w:rPr>
          <w:i/>
          <w:snapToGrid w:val="0"/>
        </w:rPr>
        <w:t>Fremantle Harbour Trust Act 1902</w:t>
      </w:r>
      <w:r>
        <w:rPr>
          <w:snapToGrid w:val="0"/>
        </w:rPr>
        <w:t xml:space="preserve"> (as amended.)</w:t>
      </w:r>
    </w:p>
    <w:p>
      <w:pPr>
        <w:pStyle w:val="MiscellaneousBody"/>
        <w:rPr>
          <w:snapToGrid w:val="0"/>
        </w:rPr>
      </w:pPr>
      <w:r>
        <w:rPr>
          <w:snapToGrid w:val="0"/>
        </w:rPr>
        <w:t xml:space="preserve">No. . . . . . . . . . . . . . . </w:t>
      </w:r>
      <w:r>
        <w:rPr>
          <w:snapToGrid w:val="0"/>
        </w:rPr>
        <w:tab/>
      </w:r>
      <w:r>
        <w:rPr>
          <w:snapToGrid w:val="0"/>
        </w:rPr>
        <w:tab/>
      </w:r>
      <w:r>
        <w:rPr>
          <w:snapToGrid w:val="0"/>
        </w:rPr>
        <w:tab/>
      </w:r>
      <w:r>
        <w:rPr>
          <w:snapToGrid w:val="0"/>
        </w:rPr>
        <w:tab/>
      </w:r>
      <w:r>
        <w:rPr>
          <w:snapToGrid w:val="0"/>
        </w:rPr>
        <w:tab/>
        <w:t>£. . . . . . . . . . . . . .</w:t>
      </w:r>
    </w:p>
    <w:p>
      <w:pPr>
        <w:pStyle w:val="MiscellaneousBody"/>
        <w:jc w:val="center"/>
        <w:rPr>
          <w:snapToGrid w:val="0"/>
        </w:rPr>
      </w:pPr>
      <w:r>
        <w:rPr>
          <w:snapToGrid w:val="0"/>
        </w:rPr>
        <w:t>Transferable by Delivery</w:t>
      </w:r>
    </w:p>
    <w:p>
      <w:pPr>
        <w:pStyle w:val="MiscellaneousBody"/>
        <w:rPr>
          <w:snapToGrid w:val="0"/>
        </w:rPr>
      </w:pPr>
      <w:r>
        <w:rPr>
          <w:snapToGrid w:val="0"/>
        </w:rPr>
        <w:t xml:space="preserve">This Debenture entitles the bearer to payment free of exchange at the Principal Office of the Commonwealth Trading Bank of Australia at Canberra, Sydney, Melbourne, Adelaide, Brisbane, Perth and Hobart, or at the Head Office of the Fremantle Harbour Trust at Fremantle of £. . . together with interest at the rate for the time being payable thereon as provided in the </w:t>
      </w:r>
      <w:r>
        <w:rPr>
          <w:i/>
          <w:snapToGrid w:val="0"/>
        </w:rPr>
        <w:t>Fremantle Harbour Trust Act 1902</w:t>
      </w:r>
      <w:r>
        <w:rPr>
          <w:snapToGrid w:val="0"/>
        </w:rPr>
        <w:t xml:space="preserve"> (as amended), and in accordance with the attached coupons. Such sums are hereby charged and secured upon the income (within the meaning of the said Act) of the Fremantle Harbour Trust.</w:t>
      </w:r>
    </w:p>
    <w:p>
      <w:pPr>
        <w:pStyle w:val="MiscellaneousBody"/>
        <w:rPr>
          <w:snapToGrid w:val="0"/>
        </w:rPr>
      </w:pPr>
      <w:r>
        <w:rPr>
          <w:snapToGrid w:val="0"/>
        </w:rPr>
        <w:t>The principal is repayable on the . . . . . . . . . . day of . . . . . . . . . . 19 . . . .</w:t>
      </w:r>
    </w:p>
    <w:p>
      <w:pPr>
        <w:pStyle w:val="MiscellaneousBody"/>
        <w:rPr>
          <w:snapToGrid w:val="0"/>
        </w:rPr>
      </w:pPr>
      <w:r>
        <w:rPr>
          <w:snapToGrid w:val="0"/>
        </w:rPr>
        <w:t xml:space="preserve">The Official Seal of the Fremantle Harbour Trust was affixed hereto on the . . . . . . . . . . . . . . day of . . . . . . . . . . . . . . 19 . . . . . . in the presence of. . . . . . . . . . . . . . . . . . . . . . . . . . </w:t>
      </w:r>
    </w:p>
    <w:p>
      <w:pPr>
        <w:pStyle w:val="MiscellaneousBody"/>
        <w:jc w:val="right"/>
        <w:rPr>
          <w:snapToGrid w:val="0"/>
        </w:rPr>
      </w:pPr>
      <w:r>
        <w:rPr>
          <w:snapToGrid w:val="0"/>
        </w:rPr>
        <w:t>Chairman (or his Deputy)</w:t>
      </w:r>
    </w:p>
    <w:p>
      <w:pPr>
        <w:pStyle w:val="MiscellaneousBody"/>
        <w:jc w:val="right"/>
        <w:rPr>
          <w:snapToGrid w:val="0"/>
        </w:rPr>
      </w:pPr>
      <w:r>
        <w:rPr>
          <w:snapToGrid w:val="0"/>
        </w:rPr>
        <w:t>. . . . . . . . . . . . . . . . . . . .</w:t>
      </w:r>
    </w:p>
    <w:p>
      <w:pPr>
        <w:pStyle w:val="MiscellaneousBody"/>
        <w:jc w:val="right"/>
        <w:rPr>
          <w:snapToGrid w:val="0"/>
        </w:rPr>
      </w:pPr>
      <w:r>
        <w:rPr>
          <w:snapToGrid w:val="0"/>
        </w:rPr>
        <w:t>Secretary</w:t>
      </w:r>
    </w:p>
    <w:p>
      <w:pPr>
        <w:pStyle w:val="MiscellaneousHeading"/>
        <w:rPr>
          <w:snapToGrid w:val="0"/>
        </w:rPr>
      </w:pPr>
      <w:r>
        <w:rPr>
          <w:snapToGrid w:val="0"/>
        </w:rPr>
        <w:t>COUPON</w:t>
      </w:r>
    </w:p>
    <w:p>
      <w:pPr>
        <w:pStyle w:val="MiscellaneousHeading"/>
        <w:rPr>
          <w:snapToGrid w:val="0"/>
        </w:rPr>
      </w:pPr>
      <w:r>
        <w:rPr>
          <w:snapToGrid w:val="0"/>
        </w:rPr>
        <w:t>Fremantle Harbour Trust</w:t>
      </w:r>
    </w:p>
    <w:p>
      <w:pPr>
        <w:pStyle w:val="MiscellaneousBody"/>
        <w:rPr>
          <w:snapToGrid w:val="0"/>
        </w:rPr>
      </w:pPr>
      <w:r>
        <w:rPr>
          <w:snapToGrid w:val="0"/>
        </w:rPr>
        <w:t xml:space="preserve">Debenture No. . . . . . . . . . . securing a principal sum of £. . . . . . . . . . . . . . </w:t>
      </w:r>
    </w:p>
    <w:p>
      <w:pPr>
        <w:pStyle w:val="MiscellaneousBody"/>
        <w:jc w:val="right"/>
        <w:rPr>
          <w:snapToGrid w:val="0"/>
        </w:rPr>
      </w:pPr>
      <w:r>
        <w:rPr>
          <w:snapToGrid w:val="0"/>
        </w:rPr>
        <w:t>Interest Coupon No. . . . . . . . . . .</w:t>
      </w:r>
    </w:p>
    <w:p>
      <w:pPr>
        <w:pStyle w:val="MiscellaneousBody"/>
        <w:rPr>
          <w:snapToGrid w:val="0"/>
        </w:rPr>
      </w:pPr>
      <w:r>
        <w:rPr>
          <w:snapToGrid w:val="0"/>
        </w:rPr>
        <w:t xml:space="preserve">For half year's interest at the rate prescribed by the </w:t>
      </w:r>
      <w:r>
        <w:rPr>
          <w:i/>
          <w:snapToGrid w:val="0"/>
        </w:rPr>
        <w:t>Fremantle Harbour Trust Act 1902</w:t>
      </w:r>
      <w:r>
        <w:rPr>
          <w:snapToGrid w:val="0"/>
        </w:rPr>
        <w:t xml:space="preserve"> (as amended), due the . . . . . . . . . day of . . . . . . . . . 19 . . . calculated on the face value of the debenture and payable free of exchange upon the delivery of the coupon at the Principal Office of the Commonwealth Trading Bank of Australia at Canberra, Sydney, Melbourne, Adelaide, Brisbane, Perth and Hobart, or at the Head Office of the Fremantle Harbour Trust at Fremantle.</w:t>
      </w:r>
    </w:p>
    <w:p>
      <w:pPr>
        <w:pStyle w:val="MiscellaneousBody"/>
        <w:jc w:val="right"/>
        <w:rPr>
          <w:snapToGrid w:val="0"/>
        </w:rPr>
      </w:pPr>
      <w:r>
        <w:rPr>
          <w:snapToGrid w:val="0"/>
        </w:rPr>
        <w:t>. . . . . . . . . . . . . . . . . . . .</w:t>
      </w:r>
    </w:p>
    <w:p>
      <w:pPr>
        <w:pStyle w:val="MiscellaneousBody"/>
        <w:jc w:val="right"/>
        <w:rPr>
          <w:snapToGrid w:val="0"/>
        </w:rPr>
      </w:pPr>
      <w:r>
        <w:rPr>
          <w:snapToGrid w:val="0"/>
        </w:rPr>
        <w:t xml:space="preserve">Secretary </w:t>
      </w:r>
    </w:p>
    <w:p>
      <w:pPr>
        <w:pStyle w:val="MiscellaneousHeading"/>
        <w:keepLines/>
        <w:rPr>
          <w:snapToGrid w:val="0"/>
          <w:sz w:val="22"/>
        </w:rPr>
      </w:pPr>
      <w:r>
        <w:rPr>
          <w:snapToGrid w:val="0"/>
          <w:sz w:val="22"/>
        </w:rPr>
        <w:t>Form No. 2</w:t>
      </w:r>
    </w:p>
    <w:p>
      <w:pPr>
        <w:pStyle w:val="MiscellaneousHeading"/>
        <w:keepLines/>
        <w:rPr>
          <w:snapToGrid w:val="0"/>
          <w:sz w:val="22"/>
        </w:rPr>
      </w:pPr>
      <w:r>
        <w:rPr>
          <w:snapToGrid w:val="0"/>
          <w:sz w:val="22"/>
        </w:rPr>
        <w:t>Fremantle Harbour Trust</w:t>
      </w:r>
    </w:p>
    <w:p>
      <w:pPr>
        <w:pStyle w:val="MiscellaneousHeading"/>
        <w:keepLines/>
        <w:rPr>
          <w:snapToGrid w:val="0"/>
          <w:sz w:val="22"/>
        </w:rPr>
      </w:pPr>
      <w:r>
        <w:rPr>
          <w:snapToGrid w:val="0"/>
          <w:sz w:val="22"/>
        </w:rPr>
        <w:t>Inscribed Stock</w:t>
      </w:r>
    </w:p>
    <w:p>
      <w:pPr>
        <w:pStyle w:val="MiscellaneousHeading"/>
        <w:keepLines/>
        <w:rPr>
          <w:snapToGrid w:val="0"/>
          <w:sz w:val="22"/>
        </w:rPr>
      </w:pPr>
      <w:r>
        <w:rPr>
          <w:snapToGrid w:val="0"/>
          <w:sz w:val="22"/>
        </w:rPr>
        <w:t>TRANSFER OF STOCK</w:t>
      </w:r>
    </w:p>
    <w:p>
      <w:pPr>
        <w:pStyle w:val="MiscellaneousBody"/>
        <w:keepNext/>
        <w:keepLines/>
        <w:ind w:left="142"/>
        <w:rPr>
          <w:snapToGrid w:val="0"/>
          <w:sz w:val="22"/>
        </w:rPr>
      </w:pPr>
      <w:r>
        <w:rPr>
          <w:snapToGrid w:val="0"/>
          <w:sz w:val="22"/>
        </w:rPr>
        <w:t>Note. — Before executing this Transfer, read carefully the instructional notes</w:t>
      </w:r>
    </w:p>
    <w:tbl>
      <w:tblPr>
        <w:tblW w:w="0" w:type="auto"/>
        <w:tblInd w:w="142" w:type="dxa"/>
        <w:tblLayout w:type="fixed"/>
        <w:tblCellMar>
          <w:left w:w="142" w:type="dxa"/>
          <w:right w:w="142" w:type="dxa"/>
        </w:tblCellMar>
        <w:tblLook w:val="0000" w:firstRow="0" w:lastRow="0" w:firstColumn="0" w:lastColumn="0" w:noHBand="0" w:noVBand="0"/>
      </w:tblPr>
      <w:tblGrid>
        <w:gridCol w:w="2976"/>
        <w:gridCol w:w="4112"/>
      </w:tblGrid>
      <w:tr>
        <w:trPr>
          <w:trHeight w:val="779"/>
        </w:trPr>
        <w:tc>
          <w:tcPr>
            <w:tcW w:w="2976" w:type="dxa"/>
          </w:tcPr>
          <w:p>
            <w:pPr>
              <w:pStyle w:val="Table"/>
              <w:keepNext/>
              <w:keepLines/>
            </w:pPr>
            <w:r>
              <w:t>Office Use Only.</w:t>
            </w:r>
          </w:p>
          <w:p>
            <w:pPr>
              <w:pStyle w:val="Table"/>
              <w:keepNext/>
              <w:keepLines/>
            </w:pPr>
          </w:p>
          <w:p>
            <w:pPr>
              <w:pStyle w:val="Table"/>
              <w:keepNext/>
              <w:keepLines/>
            </w:pPr>
          </w:p>
          <w:p>
            <w:pPr>
              <w:pStyle w:val="Table"/>
              <w:keepNext/>
              <w:keepLines/>
            </w:pPr>
            <w:r>
              <w:t xml:space="preserve">Entered . . . . . . . . . . . . . . . . </w:t>
            </w:r>
          </w:p>
          <w:p>
            <w:pPr>
              <w:pStyle w:val="Table"/>
              <w:keepNext/>
              <w:keepLines/>
            </w:pPr>
            <w:r>
              <w:t>Dr. Stock Register  . . . . . . .</w:t>
            </w:r>
          </w:p>
          <w:p>
            <w:pPr>
              <w:pStyle w:val="Table"/>
              <w:keepNext/>
              <w:keepLines/>
            </w:pPr>
            <w:r>
              <w:t xml:space="preserve">Cr. Stock Register  . . . . . . . </w:t>
            </w:r>
          </w:p>
        </w:tc>
        <w:tc>
          <w:tcPr>
            <w:tcW w:w="4112" w:type="dxa"/>
          </w:tcPr>
          <w:p>
            <w:pPr>
              <w:pStyle w:val="Table"/>
              <w:keepNext/>
              <w:keepLines/>
            </w:pPr>
            <w:r>
              <w:t xml:space="preserve">I/We </w:t>
            </w:r>
            <w:r>
              <w:tab/>
            </w:r>
          </w:p>
          <w:p>
            <w:pPr>
              <w:pStyle w:val="Table"/>
              <w:keepNext/>
              <w:keepLines/>
            </w:pPr>
            <w:r>
              <w:fldChar w:fldCharType="begin"/>
            </w:r>
            <w:r>
              <w:instrText>ADVANCE \R 14.15</w:instrText>
            </w:r>
            <w:r>
              <w:fldChar w:fldCharType="end"/>
            </w:r>
            <w:r>
              <w:t>(Transferor's full name(s), address and occupation)</w:t>
            </w:r>
          </w:p>
          <w:p>
            <w:pPr>
              <w:pStyle w:val="Table"/>
              <w:keepNext/>
              <w:keepLines/>
            </w:pPr>
            <w:r>
              <w:t xml:space="preserve"> . . . . . . . . . . . . . . . . . . . . . . . . . . . . . . . . . . </w:t>
            </w:r>
          </w:p>
          <w:p>
            <w:pPr>
              <w:pStyle w:val="Table"/>
              <w:keepNext/>
              <w:keepLines/>
            </w:pPr>
            <w:r>
              <w:t>. . . . . . . . . . . . . . . . . . . . . . . . . . . . . . . . . . .</w:t>
            </w:r>
          </w:p>
          <w:p>
            <w:pPr>
              <w:pStyle w:val="Table"/>
              <w:keepNext/>
              <w:keepLines/>
            </w:pPr>
            <w:r>
              <w:t>in consideration of the sum of £ . . . . . . . . .</w:t>
            </w:r>
          </w:p>
          <w:p>
            <w:pPr>
              <w:pStyle w:val="Table"/>
              <w:keepNext/>
              <w:keepLines/>
            </w:pPr>
            <w:r>
              <w:t xml:space="preserve">paid to me by . . . . . . . . . . . . . . . . . . . . . . . </w:t>
            </w:r>
          </w:p>
        </w:tc>
      </w:tr>
      <w:tr>
        <w:tc>
          <w:tcPr>
            <w:tcW w:w="2976" w:type="dxa"/>
          </w:tcPr>
          <w:p>
            <w:pPr>
              <w:pStyle w:val="Table"/>
              <w:keepNext/>
              <w:keepLines/>
              <w:ind w:left="425" w:hanging="425"/>
            </w:pPr>
            <w:r>
              <w:t xml:space="preserve">Registered at the Office of </w:t>
            </w:r>
            <w:r>
              <w:fldChar w:fldCharType="begin"/>
            </w:r>
            <w:r>
              <w:instrText>ADVANCE \R 14.15</w:instrText>
            </w:r>
            <w:r>
              <w:fldChar w:fldCharType="end"/>
            </w:r>
            <w:r>
              <w:t>the Fremantle Harbour Trust.</w:t>
            </w:r>
          </w:p>
        </w:tc>
        <w:tc>
          <w:tcPr>
            <w:tcW w:w="4112" w:type="dxa"/>
          </w:tcPr>
          <w:p>
            <w:pPr>
              <w:pStyle w:val="Table"/>
              <w:keepNext/>
              <w:keepLines/>
            </w:pPr>
            <w:r>
              <w:t xml:space="preserve">hereby assign and transfer unto . . . . . . . . . </w:t>
            </w:r>
          </w:p>
          <w:p>
            <w:pPr>
              <w:pStyle w:val="Table"/>
              <w:keepNext/>
              <w:keepLines/>
            </w:pPr>
            <w:r>
              <w:t xml:space="preserve"> . . . . . . . . . . . . . . . . . . . . . . . . . . . . . . . . . . </w:t>
            </w:r>
          </w:p>
          <w:p>
            <w:pPr>
              <w:pStyle w:val="Table"/>
              <w:keepNext/>
              <w:keepLines/>
            </w:pPr>
            <w:r>
              <w:t>(Transferee's full name(s), address and occupation)</w:t>
            </w:r>
          </w:p>
          <w:p>
            <w:pPr>
              <w:pStyle w:val="Table"/>
              <w:keepNext/>
              <w:keepLines/>
            </w:pPr>
            <w:r>
              <w:t xml:space="preserve">. . . . . . . . . . . . . . . . . . . . . . . . . . . . . . . . . . . </w:t>
            </w:r>
          </w:p>
          <w:p>
            <w:pPr>
              <w:pStyle w:val="Table"/>
              <w:keepNext/>
              <w:keepLines/>
            </w:pPr>
            <w:r>
              <w:t xml:space="preserve">. . . . . . . . . . . . . . . . . . . . . . . . . . . . . . . . . . . </w:t>
            </w:r>
          </w:p>
        </w:tc>
      </w:tr>
      <w:tr>
        <w:tc>
          <w:tcPr>
            <w:tcW w:w="2976" w:type="dxa"/>
          </w:tcPr>
          <w:p>
            <w:pPr>
              <w:pStyle w:val="Table"/>
              <w:keepNext/>
              <w:keepLines/>
            </w:pPr>
            <w:r>
              <w:t xml:space="preserve">Examined . . . . . . . . . . . . . . </w:t>
            </w:r>
          </w:p>
        </w:tc>
        <w:tc>
          <w:tcPr>
            <w:tcW w:w="4112" w:type="dxa"/>
          </w:tcPr>
          <w:p>
            <w:pPr>
              <w:pStyle w:val="Table"/>
              <w:keepNext/>
              <w:keepLines/>
            </w:pPr>
            <w:r>
              <w:t>H . . . ./their executors, administrators, successors or assigns, the sum of £. . . . . . (. . . . . . . . . . . . . . . . . . . . . . . . . . . pounds).</w:t>
            </w:r>
          </w:p>
        </w:tc>
      </w:tr>
      <w:tr>
        <w:tc>
          <w:tcPr>
            <w:tcW w:w="2976" w:type="dxa"/>
          </w:tcPr>
          <w:p>
            <w:pPr>
              <w:pStyle w:val="Table"/>
              <w:keepNext/>
              <w:keepLines/>
            </w:pPr>
            <w:r>
              <w:t>Notices sent: — </w:t>
            </w:r>
          </w:p>
          <w:p>
            <w:pPr>
              <w:pStyle w:val="Table"/>
              <w:keepNext/>
              <w:keepLines/>
              <w:tabs>
                <w:tab w:val="left" w:pos="425"/>
              </w:tabs>
            </w:pPr>
            <w:r>
              <w:tab/>
              <w:t xml:space="preserve">Transferor . . . . . . . . . . . </w:t>
            </w:r>
          </w:p>
          <w:p>
            <w:pPr>
              <w:pStyle w:val="Table"/>
              <w:keepNext/>
              <w:keepLines/>
              <w:tabs>
                <w:tab w:val="left" w:pos="425"/>
              </w:tabs>
            </w:pPr>
            <w:r>
              <w:tab/>
              <w:t xml:space="preserve">Transferee . . . . . . . . . . . . </w:t>
            </w:r>
          </w:p>
        </w:tc>
        <w:tc>
          <w:tcPr>
            <w:tcW w:w="4112" w:type="dxa"/>
          </w:tcPr>
          <w:p>
            <w:pPr>
              <w:pStyle w:val="Table"/>
              <w:keepNext/>
              <w:keepLines/>
            </w:pPr>
            <w:r>
              <w:t xml:space="preserve">Fremantle Harbour Trust inscribed stock maturing . . . . . . . . . . . . . . . . . . . . . . . . . . . </w:t>
            </w:r>
          </w:p>
          <w:p>
            <w:pPr>
              <w:pStyle w:val="Table"/>
              <w:keepNext/>
              <w:keepLines/>
            </w:pPr>
            <w:r>
              <w:t>and all my/our property and interest in and right to the same and to the interest accrued thereon.</w:t>
            </w:r>
          </w:p>
        </w:tc>
      </w:tr>
    </w:tbl>
    <w:p>
      <w:pPr>
        <w:pStyle w:val="MiscellaneousBody"/>
        <w:rPr>
          <w:snapToGrid w:val="0"/>
          <w:sz w:val="22"/>
        </w:rPr>
      </w:pPr>
      <w:r>
        <w:rPr>
          <w:snapToGrid w:val="0"/>
          <w:sz w:val="22"/>
        </w:rPr>
        <w:t xml:space="preserve">As witness . . . . . . . . . . . . . . . . . hand this . . . . . . . . . . day of . . . . . . . . . . 19 . . </w:t>
      </w:r>
    </w:p>
    <w:p>
      <w:pPr>
        <w:pStyle w:val="MiscellaneousBody"/>
        <w:rPr>
          <w:snapToGrid w:val="0"/>
          <w:sz w:val="22"/>
        </w:rPr>
      </w:pPr>
      <w:r>
        <w:rPr>
          <w:snapToGrid w:val="0"/>
          <w:sz w:val="22"/>
        </w:rPr>
        <w:t xml:space="preserve">Signature of Transferor . . . . . . . . . . . . . . . . . . . . . . . . . . . . . . . . . . . . . . . . . . . . </w:t>
      </w:r>
    </w:p>
    <w:p>
      <w:pPr>
        <w:pStyle w:val="MiscellaneousBody"/>
        <w:rPr>
          <w:snapToGrid w:val="0"/>
          <w:sz w:val="22"/>
        </w:rPr>
      </w:pPr>
      <w:r>
        <w:rPr>
          <w:snapToGrid w:val="0"/>
          <w:sz w:val="22"/>
        </w:rPr>
        <w:t xml:space="preserve">Witness . . . . . . . . . . . . . . . . . . . . . . . . . . . . . . . . . . . . . . . . . . . . . . . . . . . . . . . . </w:t>
      </w:r>
    </w:p>
    <w:p>
      <w:pPr>
        <w:pStyle w:val="MiscellaneousBody"/>
        <w:ind w:left="720"/>
        <w:rPr>
          <w:snapToGrid w:val="0"/>
          <w:sz w:val="22"/>
        </w:rPr>
      </w:pPr>
      <w:r>
        <w:rPr>
          <w:snapToGrid w:val="0"/>
          <w:sz w:val="22"/>
        </w:rPr>
        <w:t>(To whom — unless an Officer of the Registry — the person signing this document is personally known. Also see footnotes.)</w:t>
      </w:r>
    </w:p>
    <w:p>
      <w:pPr>
        <w:pStyle w:val="MiscellaneousBody"/>
        <w:ind w:firstLine="720"/>
        <w:rPr>
          <w:snapToGrid w:val="0"/>
          <w:sz w:val="22"/>
        </w:rPr>
      </w:pPr>
      <w:r>
        <w:rPr>
          <w:snapToGrid w:val="0"/>
          <w:sz w:val="22"/>
        </w:rPr>
        <w:t xml:space="preserve">Occupation . . . . . . . . . . . . . . . . . . . . . . . . . . . . . . . . . . . . . . . . . . . . . . . </w:t>
      </w:r>
    </w:p>
    <w:p>
      <w:pPr>
        <w:pStyle w:val="MiscellaneousBody"/>
        <w:ind w:firstLine="720"/>
        <w:rPr>
          <w:snapToGrid w:val="0"/>
          <w:sz w:val="22"/>
        </w:rPr>
      </w:pPr>
      <w:r>
        <w:rPr>
          <w:snapToGrid w:val="0"/>
          <w:sz w:val="22"/>
        </w:rPr>
        <w:t xml:space="preserve">Address . . . . . . . . . . . . . . . . . . . . . . . . . . . . . . . . . . . . . . . . . . . . . . . . . . </w:t>
      </w:r>
    </w:p>
    <w:p>
      <w:pPr>
        <w:pStyle w:val="MiscellaneousBody"/>
        <w:rPr>
          <w:snapToGrid w:val="0"/>
          <w:sz w:val="22"/>
        </w:rPr>
      </w:pPr>
      <w:r>
        <w:rPr>
          <w:snapToGrid w:val="0"/>
          <w:sz w:val="22"/>
        </w:rPr>
        <w:t>_______________________________________________________________</w:t>
      </w:r>
    </w:p>
    <w:p>
      <w:pPr>
        <w:pStyle w:val="MiscellaneousBody"/>
        <w:ind w:left="426" w:hanging="426"/>
        <w:rPr>
          <w:snapToGrid w:val="0"/>
          <w:sz w:val="22"/>
        </w:rPr>
      </w:pPr>
      <w:r>
        <w:rPr>
          <w:snapToGrid w:val="0"/>
          <w:sz w:val="22"/>
        </w:rPr>
        <w:t xml:space="preserve">I/We hereby accept the Stock abovementioned transferred into my/our name(s) this . . . . . . . . . . . . . . . . . . . .day of . . . . . . . . . . . . . . . . . . . 19 . . . . . . </w:t>
      </w:r>
    </w:p>
    <w:p>
      <w:pPr>
        <w:pStyle w:val="MiscellaneousBody"/>
        <w:rPr>
          <w:snapToGrid w:val="0"/>
          <w:sz w:val="22"/>
        </w:rPr>
      </w:pPr>
      <w:r>
        <w:rPr>
          <w:snapToGrid w:val="0"/>
          <w:sz w:val="22"/>
        </w:rPr>
        <w:t xml:space="preserve">Signature(s) of Transferee . . . . . . . . . . . . . . . . . . . . . . . . . . . . . . . . . . . . . . . . . . </w:t>
      </w:r>
    </w:p>
    <w:p>
      <w:pPr>
        <w:pStyle w:val="MiscellaneousBody"/>
        <w:rPr>
          <w:snapToGrid w:val="0"/>
          <w:sz w:val="22"/>
        </w:rPr>
      </w:pPr>
      <w:r>
        <w:rPr>
          <w:snapToGrid w:val="0"/>
          <w:sz w:val="22"/>
        </w:rPr>
        <w:t xml:space="preserve">Witness . . . . . . . . . . . . . . . . . . . . . . . . . . . . . . . . . . . . . . . . . . . . . . . . . . . . . . . . </w:t>
      </w:r>
    </w:p>
    <w:p>
      <w:pPr>
        <w:pStyle w:val="MiscellaneousBody"/>
        <w:ind w:left="720"/>
        <w:rPr>
          <w:snapToGrid w:val="0"/>
          <w:sz w:val="22"/>
        </w:rPr>
      </w:pPr>
      <w:r>
        <w:rPr>
          <w:snapToGrid w:val="0"/>
          <w:sz w:val="22"/>
        </w:rPr>
        <w:t>(To whom — unless an officer of the Registry — the person signing this document is personally known. Also see footnotes)</w:t>
      </w:r>
    </w:p>
    <w:p>
      <w:pPr>
        <w:pStyle w:val="MiscellaneousBody"/>
        <w:ind w:firstLine="709"/>
        <w:rPr>
          <w:snapToGrid w:val="0"/>
          <w:sz w:val="22"/>
        </w:rPr>
      </w:pPr>
      <w:r>
        <w:rPr>
          <w:snapToGrid w:val="0"/>
          <w:sz w:val="22"/>
        </w:rPr>
        <w:t xml:space="preserve">Occupation . . . . . . . . . . . . . . . . . . . . . . . . . . . . . . . . . . . . . . . . . . . . . . . . </w:t>
      </w:r>
    </w:p>
    <w:p>
      <w:pPr>
        <w:pStyle w:val="MiscellaneousBody"/>
        <w:ind w:firstLine="709"/>
        <w:rPr>
          <w:snapToGrid w:val="0"/>
          <w:sz w:val="22"/>
        </w:rPr>
      </w:pPr>
      <w:r>
        <w:rPr>
          <w:snapToGrid w:val="0"/>
          <w:sz w:val="22"/>
        </w:rPr>
        <w:t xml:space="preserve">Address . . . . . . . . . . . . . . . . . . . . . . . . . . . . . . . . . . . . . . . . . . . . . . . . . . . </w:t>
      </w:r>
    </w:p>
    <w:p>
      <w:pPr>
        <w:pStyle w:val="MiscellaneousBody"/>
        <w:spacing w:before="0"/>
        <w:rPr>
          <w:snapToGrid w:val="0"/>
          <w:sz w:val="22"/>
        </w:rPr>
      </w:pPr>
      <w:r>
        <w:rPr>
          <w:snapToGrid w:val="0"/>
          <w:sz w:val="22"/>
        </w:rPr>
        <w:t>_______________________________________________________________</w:t>
      </w:r>
    </w:p>
    <w:p>
      <w:pPr>
        <w:pStyle w:val="MiscellaneousBody"/>
        <w:spacing w:before="120"/>
        <w:rPr>
          <w:snapToGrid w:val="0"/>
          <w:sz w:val="22"/>
        </w:rPr>
      </w:pPr>
      <w:r>
        <w:rPr>
          <w:snapToGrid w:val="0"/>
          <w:sz w:val="22"/>
        </w:rPr>
        <w:t>Notes:</w:t>
      </w:r>
    </w:p>
    <w:p>
      <w:pPr>
        <w:pStyle w:val="MiscellaneousBody"/>
        <w:spacing w:before="0"/>
        <w:ind w:left="1418" w:hanging="698"/>
        <w:rPr>
          <w:snapToGrid w:val="0"/>
          <w:sz w:val="22"/>
        </w:rPr>
      </w:pPr>
      <w:r>
        <w:rPr>
          <w:snapToGrid w:val="0"/>
          <w:sz w:val="22"/>
        </w:rPr>
        <w:t>(1)</w:t>
      </w:r>
      <w:r>
        <w:rPr>
          <w:snapToGrid w:val="0"/>
          <w:sz w:val="22"/>
        </w:rPr>
        <w:tab/>
        <w:t>Where a person signs as a witness to more than one signature, such must be stated beneath the signature of the witness.</w:t>
      </w:r>
    </w:p>
    <w:p>
      <w:pPr>
        <w:pStyle w:val="MiscellaneousBody"/>
        <w:ind w:left="1418" w:hanging="698"/>
        <w:rPr>
          <w:snapToGrid w:val="0"/>
          <w:sz w:val="22"/>
        </w:rPr>
      </w:pPr>
      <w:r>
        <w:rPr>
          <w:snapToGrid w:val="0"/>
          <w:sz w:val="22"/>
        </w:rPr>
        <w:t>(2)</w:t>
      </w:r>
      <w:r>
        <w:rPr>
          <w:snapToGrid w:val="0"/>
          <w:sz w:val="22"/>
        </w:rPr>
        <w:tab/>
        <w:t>The witness must be a Justice of the Peace, Commissioner for Affidavits, Commissioner for Declarations (Commonwealth or State) Notary Public, Solicitor, member of a recognised Stock Exchange, a Bank Manager (who shall sign as such and add the Bank stamp), an Officer of the Registry or such other person as the Registrar approves.</w:t>
      </w:r>
    </w:p>
    <w:p>
      <w:pPr>
        <w:pStyle w:val="MiscellaneousBody"/>
        <w:rPr>
          <w:snapToGrid w:val="0"/>
          <w:sz w:val="22"/>
        </w:rPr>
      </w:pPr>
      <w:r>
        <w:rPr>
          <w:snapToGrid w:val="0"/>
          <w:sz w:val="22"/>
        </w:rPr>
        <w:t xml:space="preserve">Important. — Transferee's specimen signature . . . . . . . . . . . . . . . . . . . . . . . </w:t>
      </w:r>
    </w:p>
    <w:p>
      <w:pPr>
        <w:pStyle w:val="MiscellaneousBody"/>
        <w:ind w:left="3600" w:firstLine="720"/>
        <w:rPr>
          <w:snapToGrid w:val="0"/>
          <w:sz w:val="22"/>
        </w:rPr>
      </w:pPr>
      <w:r>
        <w:rPr>
          <w:snapToGrid w:val="0"/>
          <w:sz w:val="22"/>
        </w:rPr>
        <w:t xml:space="preserve">. . . . . . . . . . . . . . . . . . . . . . </w:t>
      </w:r>
    </w:p>
    <w:p>
      <w:pPr>
        <w:pStyle w:val="MiscellaneousHeading"/>
        <w:pageBreakBefore/>
        <w:widowControl w:val="0"/>
        <w:rPr>
          <w:snapToGrid w:val="0"/>
        </w:rPr>
      </w:pPr>
      <w:r>
        <w:rPr>
          <w:snapToGrid w:val="0"/>
        </w:rPr>
        <w:t>Form No. 3</w:t>
      </w:r>
    </w:p>
    <w:p>
      <w:pPr>
        <w:pStyle w:val="MiscellaneousHeading"/>
        <w:widowControl w:val="0"/>
        <w:spacing w:before="0"/>
        <w:rPr>
          <w:snapToGrid w:val="0"/>
        </w:rPr>
      </w:pPr>
      <w:r>
        <w:rPr>
          <w:snapToGrid w:val="0"/>
        </w:rPr>
        <w:t>Fremantle Harbour Trust</w:t>
      </w:r>
    </w:p>
    <w:p>
      <w:pPr>
        <w:pStyle w:val="MiscellaneousHeading"/>
        <w:widowControl w:val="0"/>
        <w:spacing w:before="0"/>
        <w:rPr>
          <w:snapToGrid w:val="0"/>
        </w:rPr>
      </w:pPr>
      <w:r>
        <w:rPr>
          <w:snapToGrid w:val="0"/>
        </w:rPr>
        <w:t>Inscribed Stock</w:t>
      </w:r>
    </w:p>
    <w:p>
      <w:pPr>
        <w:pStyle w:val="MiscellaneousHeading"/>
        <w:widowControl w:val="0"/>
        <w:spacing w:before="0"/>
        <w:rPr>
          <w:snapToGrid w:val="0"/>
        </w:rPr>
      </w:pPr>
      <w:r>
        <w:rPr>
          <w:snapToGrid w:val="0"/>
        </w:rPr>
        <w:t>MANDATE FOR TRANSMISSION</w:t>
      </w:r>
    </w:p>
    <w:p>
      <w:pPr>
        <w:pStyle w:val="MiscellaneousBody"/>
        <w:rPr>
          <w:snapToGrid w:val="0"/>
        </w:rPr>
      </w:pPr>
      <w:r>
        <w:rPr>
          <w:snapToGrid w:val="0"/>
        </w:rPr>
        <w:t>To the Registrar,</w:t>
      </w:r>
    </w:p>
    <w:p>
      <w:pPr>
        <w:pStyle w:val="MiscellaneousBody"/>
        <w:rPr>
          <w:snapToGrid w:val="0"/>
        </w:rPr>
      </w:pPr>
      <w:r>
        <w:rPr>
          <w:snapToGrid w:val="0"/>
        </w:rPr>
        <w:t>Fremantle Harbour Trust.</w:t>
      </w:r>
    </w:p>
    <w:p>
      <w:pPr>
        <w:pStyle w:val="MiscellaneousBody"/>
        <w:ind w:firstLine="567"/>
        <w:rPr>
          <w:snapToGrid w:val="0"/>
        </w:rPr>
      </w:pPr>
      <w:r>
        <w:rPr>
          <w:snapToGrid w:val="0"/>
        </w:rPr>
        <w:t>Please have the undermentioned transfer by transmission effected.</w:t>
      </w:r>
    </w:p>
    <w:p>
      <w:pPr>
        <w:pStyle w:val="MiscellaneousBody"/>
        <w:rPr>
          <w:snapToGrid w:val="0"/>
        </w:rPr>
      </w:pPr>
      <w:r>
        <w:rPr>
          <w:snapToGrid w:val="0"/>
        </w:rPr>
        <w:t xml:space="preserve">From . . . . . . . . . . . . . . . . who lately resided at . . . . . . . . . . . . . . . . . . . . </w:t>
      </w:r>
    </w:p>
    <w:p>
      <w:pPr>
        <w:pStyle w:val="MiscellaneousBody"/>
        <w:jc w:val="center"/>
        <w:rPr>
          <w:snapToGrid w:val="0"/>
        </w:rPr>
      </w:pPr>
      <w:r>
        <w:rPr>
          <w:snapToGrid w:val="0"/>
        </w:rPr>
        <w:t>but who is now . . . . . . . . . . . . . . . . . . . . . . . . . . . . . . . . . . the Fremantle</w:t>
      </w:r>
    </w:p>
    <w:p>
      <w:pPr>
        <w:pStyle w:val="MiscellaneousBody"/>
        <w:spacing w:before="0"/>
        <w:jc w:val="center"/>
        <w:rPr>
          <w:snapToGrid w:val="0"/>
        </w:rPr>
      </w:pPr>
      <w:r>
        <w:rPr>
          <w:snapToGrid w:val="0"/>
        </w:rPr>
        <w:t>deceased, bankrupt or insolvent</w:t>
      </w:r>
    </w:p>
    <w:p>
      <w:pPr>
        <w:pStyle w:val="MiscellaneousBody"/>
        <w:rPr>
          <w:snapToGrid w:val="0"/>
        </w:rPr>
      </w:pPr>
      <w:r>
        <w:rPr>
          <w:snapToGrid w:val="0"/>
        </w:rPr>
        <w:t>Harbour Trust Inscribed Stock as under: — </w:t>
      </w:r>
    </w:p>
    <w:tbl>
      <w:tblPr>
        <w:tblW w:w="0" w:type="auto"/>
        <w:tblInd w:w="141" w:type="dxa"/>
        <w:tblLayout w:type="fixed"/>
        <w:tblCellMar>
          <w:left w:w="141" w:type="dxa"/>
          <w:right w:w="141" w:type="dxa"/>
        </w:tblCellMar>
        <w:tblLook w:val="0000" w:firstRow="0" w:lastRow="0" w:firstColumn="0" w:lastColumn="0" w:noHBand="0" w:noVBand="0"/>
      </w:tblPr>
      <w:tblGrid>
        <w:gridCol w:w="1911"/>
        <w:gridCol w:w="1913"/>
        <w:gridCol w:w="1138"/>
        <w:gridCol w:w="566"/>
        <w:gridCol w:w="1418"/>
      </w:tblGrid>
      <w:tr>
        <w:tc>
          <w:tcPr>
            <w:tcW w:w="1911" w:type="dxa"/>
            <w:tcBorders>
              <w:top w:val="single" w:sz="4" w:space="0" w:color="auto"/>
              <w:bottom w:val="single" w:sz="4" w:space="0" w:color="auto"/>
            </w:tcBorders>
          </w:tcPr>
          <w:p>
            <w:pPr>
              <w:pStyle w:val="Table"/>
              <w:jc w:val="center"/>
            </w:pPr>
            <w:r>
              <w:t xml:space="preserve">Amount of Stock </w:t>
            </w:r>
            <w:r>
              <w:rPr>
                <w:spacing w:val="-2"/>
              </w:rPr>
              <w:t>(in words)</w:t>
            </w:r>
          </w:p>
        </w:tc>
        <w:tc>
          <w:tcPr>
            <w:tcW w:w="1913" w:type="dxa"/>
            <w:tcBorders>
              <w:top w:val="single" w:sz="4" w:space="0" w:color="auto"/>
              <w:bottom w:val="single" w:sz="4" w:space="0" w:color="auto"/>
            </w:tcBorders>
          </w:tcPr>
          <w:p>
            <w:pPr>
              <w:pStyle w:val="Table"/>
              <w:jc w:val="center"/>
              <w:rPr>
                <w:spacing w:val="-2"/>
              </w:rPr>
            </w:pPr>
            <w:r>
              <w:rPr>
                <w:spacing w:val="-2"/>
              </w:rPr>
              <w:t>Amount of Stock (in figures)</w:t>
            </w:r>
          </w:p>
        </w:tc>
        <w:tc>
          <w:tcPr>
            <w:tcW w:w="1138" w:type="dxa"/>
            <w:tcBorders>
              <w:top w:val="single" w:sz="4" w:space="0" w:color="auto"/>
              <w:bottom w:val="single" w:sz="4" w:space="0" w:color="auto"/>
            </w:tcBorders>
          </w:tcPr>
          <w:p>
            <w:pPr>
              <w:pStyle w:val="Table"/>
              <w:jc w:val="center"/>
              <w:rPr>
                <w:spacing w:val="-2"/>
              </w:rPr>
            </w:pPr>
            <w:r>
              <w:rPr>
                <w:spacing w:val="-2"/>
              </w:rPr>
              <w:t>Rate %</w:t>
            </w:r>
          </w:p>
        </w:tc>
        <w:tc>
          <w:tcPr>
            <w:tcW w:w="1984" w:type="dxa"/>
            <w:gridSpan w:val="2"/>
            <w:tcBorders>
              <w:top w:val="single" w:sz="4" w:space="0" w:color="auto"/>
              <w:bottom w:val="single" w:sz="4" w:space="0" w:color="auto"/>
            </w:tcBorders>
          </w:tcPr>
          <w:p>
            <w:pPr>
              <w:pStyle w:val="Table"/>
              <w:jc w:val="center"/>
              <w:rPr>
                <w:spacing w:val="-2"/>
              </w:rPr>
            </w:pPr>
            <w:r>
              <w:rPr>
                <w:spacing w:val="-2"/>
              </w:rPr>
              <w:t>Date of Maturity</w:t>
            </w:r>
          </w:p>
        </w:tc>
      </w:tr>
      <w:tr>
        <w:trPr>
          <w:cantSplit/>
        </w:trPr>
        <w:tc>
          <w:tcPr>
            <w:tcW w:w="6946" w:type="dxa"/>
            <w:gridSpan w:val="5"/>
          </w:tcPr>
          <w:p>
            <w:pPr>
              <w:pStyle w:val="Table"/>
              <w:rPr>
                <w:spacing w:val="-2"/>
              </w:rPr>
            </w:pPr>
          </w:p>
        </w:tc>
      </w:tr>
      <w:tr>
        <w:trPr>
          <w:cantSplit/>
        </w:trPr>
        <w:tc>
          <w:tcPr>
            <w:tcW w:w="6946" w:type="dxa"/>
            <w:gridSpan w:val="5"/>
            <w:tcBorders>
              <w:top w:val="single" w:sz="4" w:space="0" w:color="auto"/>
              <w:bottom w:val="single" w:sz="4" w:space="0" w:color="auto"/>
            </w:tcBorders>
          </w:tcPr>
          <w:p>
            <w:pPr>
              <w:pStyle w:val="Table"/>
              <w:rPr>
                <w:snapToGrid w:val="0"/>
              </w:rPr>
            </w:pPr>
            <w:r>
              <w:rPr>
                <w:snapToGrid w:val="0"/>
              </w:rPr>
              <w:t xml:space="preserve">To the undermentioned person(s) who is/are . . . . . . . . . . . . . . . . . . . . . . . . </w:t>
            </w:r>
          </w:p>
          <w:p>
            <w:pPr>
              <w:pStyle w:val="Table"/>
              <w:jc w:val="right"/>
              <w:rPr>
                <w:snapToGrid w:val="0"/>
              </w:rPr>
            </w:pPr>
            <w:r>
              <w:rPr>
                <w:snapToGrid w:val="0"/>
              </w:rPr>
              <w:t>Executor, Administrator,</w:t>
            </w:r>
          </w:p>
          <w:p>
            <w:pPr>
              <w:pStyle w:val="Table"/>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Trustee.</w:t>
            </w:r>
          </w:p>
          <w:p>
            <w:pPr>
              <w:pStyle w:val="Table"/>
              <w:rPr>
                <w:spacing w:val="-2"/>
              </w:rPr>
            </w:pPr>
            <w:r>
              <w:rPr>
                <w:snapToGrid w:val="0"/>
              </w:rPr>
              <w:t>and who claim(s) by transmission.</w:t>
            </w:r>
          </w:p>
        </w:tc>
      </w:tr>
      <w:tr>
        <w:tc>
          <w:tcPr>
            <w:tcW w:w="1911" w:type="dxa"/>
          </w:tcPr>
          <w:p>
            <w:pPr>
              <w:pStyle w:val="Table"/>
              <w:jc w:val="center"/>
              <w:rPr>
                <w:spacing w:val="-2"/>
              </w:rPr>
            </w:pPr>
            <w:r>
              <w:rPr>
                <w:spacing w:val="-2"/>
              </w:rPr>
              <w:t>Surname(s)</w:t>
            </w:r>
          </w:p>
          <w:p>
            <w:pPr>
              <w:pStyle w:val="Table"/>
              <w:spacing w:before="0"/>
              <w:jc w:val="center"/>
            </w:pPr>
            <w:r>
              <w:t>(block letters)</w:t>
            </w:r>
          </w:p>
        </w:tc>
        <w:tc>
          <w:tcPr>
            <w:tcW w:w="1913" w:type="dxa"/>
          </w:tcPr>
          <w:p>
            <w:pPr>
              <w:pStyle w:val="Table"/>
              <w:jc w:val="center"/>
              <w:rPr>
                <w:spacing w:val="-2"/>
              </w:rPr>
            </w:pPr>
            <w:r>
              <w:rPr>
                <w:spacing w:val="-2"/>
              </w:rPr>
              <w:t>Christian Names</w:t>
            </w:r>
          </w:p>
          <w:p>
            <w:pPr>
              <w:pStyle w:val="Table"/>
              <w:spacing w:before="0"/>
              <w:jc w:val="center"/>
              <w:rPr>
                <w:spacing w:val="-2"/>
              </w:rPr>
            </w:pPr>
            <w:r>
              <w:rPr>
                <w:spacing w:val="-2"/>
              </w:rPr>
              <w:t xml:space="preserve"> (block letters)</w:t>
            </w:r>
          </w:p>
        </w:tc>
        <w:tc>
          <w:tcPr>
            <w:tcW w:w="1704" w:type="dxa"/>
            <w:gridSpan w:val="2"/>
          </w:tcPr>
          <w:p>
            <w:pPr>
              <w:pStyle w:val="Table"/>
              <w:jc w:val="center"/>
              <w:rPr>
                <w:spacing w:val="-2"/>
              </w:rPr>
            </w:pPr>
            <w:r>
              <w:rPr>
                <w:spacing w:val="-2"/>
              </w:rPr>
              <w:t>Address</w:t>
            </w:r>
          </w:p>
          <w:p>
            <w:pPr>
              <w:pStyle w:val="Table"/>
              <w:spacing w:before="0"/>
              <w:jc w:val="center"/>
              <w:rPr>
                <w:spacing w:val="-2"/>
              </w:rPr>
            </w:pPr>
            <w:r>
              <w:rPr>
                <w:spacing w:val="-2"/>
              </w:rPr>
              <w:t>(block letters)</w:t>
            </w:r>
          </w:p>
        </w:tc>
        <w:tc>
          <w:tcPr>
            <w:tcW w:w="1418" w:type="dxa"/>
          </w:tcPr>
          <w:p>
            <w:pPr>
              <w:pStyle w:val="Table"/>
              <w:jc w:val="center"/>
              <w:rPr>
                <w:spacing w:val="-2"/>
              </w:rPr>
            </w:pPr>
            <w:r>
              <w:rPr>
                <w:spacing w:val="-2"/>
              </w:rPr>
              <w:t>Occupation</w:t>
            </w:r>
          </w:p>
        </w:tc>
      </w:tr>
      <w:tr>
        <w:trPr>
          <w:cantSplit/>
        </w:trPr>
        <w:tc>
          <w:tcPr>
            <w:tcW w:w="6946" w:type="dxa"/>
            <w:gridSpan w:val="5"/>
            <w:tcBorders>
              <w:top w:val="single" w:sz="4" w:space="0" w:color="auto"/>
              <w:bottom w:val="single" w:sz="4" w:space="0" w:color="auto"/>
            </w:tcBorders>
          </w:tcPr>
          <w:p>
            <w:pPr>
              <w:pStyle w:val="Table"/>
              <w:rPr>
                <w:spacing w:val="-2"/>
              </w:rPr>
            </w:pPr>
          </w:p>
        </w:tc>
      </w:tr>
    </w:tbl>
    <w:p>
      <w:pPr>
        <w:pStyle w:val="MiscellaneousBody"/>
        <w:keepLines/>
        <w:rPr>
          <w:snapToGrid w:val="0"/>
        </w:rPr>
      </w:pPr>
      <w:r>
        <w:rPr>
          <w:snapToGrid w:val="0"/>
        </w:rPr>
        <w:t>I/We submit herewith the following documents in support of this claim in accordance with the requirements of the regulations.</w:t>
      </w:r>
    </w:p>
    <w:p>
      <w:pPr>
        <w:pStyle w:val="MiscellaneousBody"/>
        <w:keepLines/>
        <w:rPr>
          <w:snapToGrid w:val="0"/>
        </w:rPr>
      </w:pPr>
      <w:r>
        <w:rPr>
          <w:snapToGrid w:val="0"/>
        </w:rPr>
        <w:t xml:space="preserve">Documents . . . . . . . . . . .     . . . . . . . . . .     . . . . . . . . . .     . . . . . . . . . . . </w:t>
      </w:r>
    </w:p>
    <w:p>
      <w:pPr>
        <w:pStyle w:val="MiscellaneousBody"/>
        <w:keepLines/>
        <w:rPr>
          <w:snapToGrid w:val="0"/>
        </w:rPr>
      </w:pPr>
      <w:r>
        <w:rPr>
          <w:snapToGrid w:val="0"/>
        </w:rPr>
        <w:t xml:space="preserve">Signature of Transmittee . . . . . . . . . . . . . . . . . . . . . . . . . . . . . . . . . . . . . . </w:t>
      </w:r>
    </w:p>
    <w:p>
      <w:pPr>
        <w:pStyle w:val="MiscellaneousBody"/>
        <w:keepLines/>
        <w:rPr>
          <w:snapToGrid w:val="0"/>
        </w:rPr>
      </w:pPr>
      <w:r>
        <w:rPr>
          <w:snapToGrid w:val="0"/>
        </w:rPr>
        <w:t xml:space="preserve">Witness . . . . . . . . . . . . . . . . . . . . . . . . . . . . . . . . . . . . . . . . . . . . . . . . . . . </w:t>
      </w:r>
    </w:p>
    <w:p>
      <w:pPr>
        <w:pStyle w:val="MiscellaneousBody"/>
        <w:keepLines/>
        <w:rPr>
          <w:snapToGrid w:val="0"/>
        </w:rPr>
      </w:pPr>
      <w:r>
        <w:rPr>
          <w:snapToGrid w:val="0"/>
        </w:rPr>
        <w:t xml:space="preserve">Qualification . . . . . . . . . . . . . . . . . . . . . . . . . . . . . . . . . . . . . . . . . . . . . . . </w:t>
      </w:r>
    </w:p>
    <w:p>
      <w:pPr>
        <w:pStyle w:val="MiscellaneousBody"/>
        <w:rPr>
          <w:snapToGrid w:val="0"/>
        </w:rPr>
      </w:pPr>
      <w:r>
        <w:rPr>
          <w:snapToGrid w:val="0"/>
        </w:rPr>
        <w:t xml:space="preserve">Address . . . . . . . . . . . . . . . . . . . . . . . . . . . . . . . . . . . . . . . . . . . . . . . . . . . </w:t>
      </w:r>
    </w:p>
    <w:p>
      <w:pPr>
        <w:pStyle w:val="MiscellaneousBody"/>
        <w:rPr>
          <w:snapToGrid w:val="0"/>
        </w:rPr>
      </w:pPr>
      <w:r>
        <w:rPr>
          <w:snapToGrid w:val="0"/>
        </w:rPr>
        <w:t xml:space="preserve">Date . . . . . . . . . 19 . . . . . . . . . 19 . . . . . . . . . 19 . . . . . . . . . . 19 . . . . . . . </w:t>
      </w:r>
    </w:p>
    <w:p>
      <w:pPr>
        <w:pStyle w:val="MiscellaneousBody"/>
        <w:ind w:left="567" w:hanging="567"/>
        <w:rPr>
          <w:snapToGrid w:val="0"/>
        </w:rPr>
      </w:pPr>
      <w:r>
        <w:rPr>
          <w:snapToGrid w:val="0"/>
        </w:rPr>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Registry, but if signed outside the Commonwealth of Australia the witness must be a Notary Public or British Consul or Vice Consul or other British Authority, and the Mandate shall be authenticated as required by the Regulations.</w:t>
      </w:r>
    </w:p>
    <w:p>
      <w:pPr>
        <w:pStyle w:val="MiscellaneousBody"/>
        <w:keepLines/>
        <w:spacing w:before="0" w:line="240" w:lineRule="auto"/>
        <w:rPr>
          <w:snapToGrid w:val="0"/>
        </w:rPr>
      </w:pPr>
      <w:r>
        <w:rPr>
          <w:snapToGrid w:val="0"/>
        </w:rPr>
        <w:t>For Office use only.</w:t>
      </w:r>
      <w:r>
        <w:rPr>
          <w:snapToGrid w:val="0"/>
        </w:rPr>
        <w:tab/>
      </w:r>
      <w:r>
        <w:rPr>
          <w:snapToGrid w:val="0"/>
        </w:rPr>
        <w:tab/>
        <w:t xml:space="preserve"> Specimen signature of Transmittee(s)</w:t>
      </w:r>
    </w:p>
    <w:p>
      <w:pPr>
        <w:pStyle w:val="MiscellaneousBody"/>
        <w:keepLines/>
        <w:spacing w:before="0" w:line="240" w:lineRule="auto"/>
        <w:rPr>
          <w:snapToGrid w:val="0"/>
        </w:rPr>
      </w:pPr>
      <w:r>
        <w:rPr>
          <w:snapToGrid w:val="0"/>
        </w:rPr>
        <w:t xml:space="preserve">Entered . . . . . . . . . . . . . . . . </w:t>
      </w:r>
      <w:r>
        <w:rPr>
          <w:snapToGrid w:val="0"/>
        </w:rPr>
        <w:tab/>
      </w:r>
      <w:r>
        <w:rPr>
          <w:snapToGrid w:val="0"/>
        </w:rPr>
        <w:tab/>
        <w:t xml:space="preserve">(Usual signature) </w:t>
      </w:r>
    </w:p>
    <w:p>
      <w:pPr>
        <w:pStyle w:val="MiscellaneousBody"/>
        <w:keepLines/>
        <w:spacing w:before="0" w:line="240" w:lineRule="auto"/>
        <w:rPr>
          <w:snapToGrid w:val="0"/>
        </w:rPr>
      </w:pPr>
      <w:r>
        <w:rPr>
          <w:snapToGrid w:val="0"/>
        </w:rPr>
        <w:t xml:space="preserve">Dr. Stock Register . . . . . . . . .     . . . . . . . . . . . . . . . . . . . . . . . . . . . . . . . </w:t>
      </w:r>
    </w:p>
    <w:p>
      <w:pPr>
        <w:pStyle w:val="MiscellaneousBody"/>
        <w:keepLines/>
        <w:spacing w:before="0" w:line="240" w:lineRule="auto"/>
        <w:rPr>
          <w:snapToGrid w:val="0"/>
        </w:rPr>
      </w:pPr>
      <w:r>
        <w:rPr>
          <w:snapToGrid w:val="0"/>
        </w:rPr>
        <w:t xml:space="preserve">Cr. Stock Register . . . . . . . . .     . . . . . . . . . . . . . . . . . . . . . . . . . . . . . . . </w:t>
      </w:r>
    </w:p>
    <w:p>
      <w:pPr>
        <w:pStyle w:val="MiscellaneousBody"/>
        <w:keepLines/>
        <w:spacing w:before="0" w:line="240" w:lineRule="auto"/>
        <w:rPr>
          <w:snapToGrid w:val="0"/>
        </w:rPr>
      </w:pPr>
      <w:r>
        <w:rPr>
          <w:snapToGrid w:val="0"/>
        </w:rPr>
        <w:t>Registered at the Office of . . . . . . . . . . . . . . . . . . . . . . . . . . . . . . . . . . . .</w:t>
      </w:r>
    </w:p>
    <w:p>
      <w:pPr>
        <w:pStyle w:val="MiscellaneousBody"/>
        <w:keepLines/>
        <w:spacing w:before="0" w:line="240" w:lineRule="auto"/>
        <w:rPr>
          <w:snapToGrid w:val="0"/>
        </w:rPr>
      </w:pPr>
      <w:r>
        <w:rPr>
          <w:snapToGrid w:val="0"/>
        </w:rPr>
        <w:t xml:space="preserve">      the Fremantle Harbour Trust.</w:t>
      </w:r>
    </w:p>
    <w:p>
      <w:pPr>
        <w:pStyle w:val="MiscellaneousBody"/>
        <w:keepLines/>
        <w:spacing w:before="0" w:line="240" w:lineRule="auto"/>
        <w:rPr>
          <w:snapToGrid w:val="0"/>
        </w:rPr>
      </w:pPr>
      <w:r>
        <w:rPr>
          <w:snapToGrid w:val="0"/>
        </w:rPr>
        <w:t>Examined: . . . . . . . . . . . . . . . . . .</w:t>
      </w:r>
    </w:p>
    <w:p>
      <w:pPr>
        <w:pStyle w:val="MiscellaneousBody"/>
        <w:keepLines/>
        <w:spacing w:before="0" w:line="240" w:lineRule="auto"/>
        <w:rPr>
          <w:snapToGrid w:val="0"/>
        </w:rPr>
      </w:pPr>
      <w:r>
        <w:rPr>
          <w:snapToGrid w:val="0"/>
        </w:rPr>
        <w:t xml:space="preserve">                  . . . . . . . . . . . . . . . . . .</w:t>
      </w:r>
    </w:p>
    <w:p>
      <w:pPr>
        <w:pStyle w:val="CentredBaseLine"/>
        <w:keepNext/>
        <w:keepLines/>
        <w:jc w:val="center"/>
      </w:pPr>
      <w:r>
        <w:t>____________________</w:t>
      </w:r>
    </w:p>
    <w:p>
      <w:pPr>
        <w:pStyle w:val="MiscellaneousBody"/>
        <w:keepLines/>
        <w:ind w:firstLine="284"/>
        <w:rPr>
          <w:snapToGrid w:val="0"/>
        </w:rPr>
      </w:pPr>
      <w:r>
        <w:rPr>
          <w:snapToGrid w:val="0"/>
        </w:rPr>
        <w:t>Passed by resolution of the Fremantle Harbour Trust Commissioners at a meeting of the said Commissioners held on the 23rd day of August 1962.</w:t>
      </w:r>
    </w:p>
    <w:p>
      <w:pPr>
        <w:pStyle w:val="MiscellaneousBody"/>
        <w:keepLines/>
        <w:tabs>
          <w:tab w:val="left" w:pos="4395"/>
        </w:tabs>
        <w:ind w:left="720" w:right="2411" w:hanging="720"/>
        <w:rPr>
          <w:snapToGrid w:val="0"/>
        </w:rPr>
      </w:pPr>
      <w:r>
        <w:rPr>
          <w:snapToGrid w:val="0"/>
        </w:rPr>
        <w:t>The Common Seal of the Fremantle Harbour Trust Commissioners was at the same time affixed and impressed thereto by order and in the presence of — </w:t>
      </w:r>
    </w:p>
    <w:p>
      <w:pPr>
        <w:pStyle w:val="MiscellaneousBody"/>
        <w:jc w:val="right"/>
        <w:rPr>
          <w:snapToGrid w:val="0"/>
        </w:rPr>
      </w:pPr>
      <w:r>
        <w:rPr>
          <w:snapToGrid w:val="0"/>
        </w:rPr>
        <w:t>J. M. CONNELL,</w:t>
      </w:r>
      <w:r>
        <w:rPr>
          <w:snapToGrid w:val="0"/>
        </w:rPr>
        <w:tab/>
      </w:r>
      <w:r>
        <w:rPr>
          <w:snapToGrid w:val="0"/>
        </w:rPr>
        <w:tab/>
      </w:r>
    </w:p>
    <w:p>
      <w:pPr>
        <w:pStyle w:val="MiscellaneousBody"/>
        <w:jc w:val="right"/>
        <w:rPr>
          <w:snapToGrid w:val="0"/>
        </w:rPr>
      </w:pPr>
      <w:r>
        <w:rPr>
          <w:snapToGrid w:val="0"/>
        </w:rPr>
        <w:t xml:space="preserve">Chairman. </w:t>
      </w:r>
    </w:p>
    <w:p>
      <w:pPr>
        <w:pStyle w:val="MiscellaneousBody"/>
        <w:jc w:val="right"/>
        <w:rPr>
          <w:snapToGrid w:val="0"/>
        </w:rPr>
      </w:pPr>
      <w:r>
        <w:rPr>
          <w:snapToGrid w:val="0"/>
        </w:rPr>
        <w:t>MAX B. GRACE,</w:t>
      </w:r>
      <w:r>
        <w:rPr>
          <w:snapToGrid w:val="0"/>
        </w:rPr>
        <w:tab/>
      </w:r>
      <w:r>
        <w:rPr>
          <w:snapToGrid w:val="0"/>
        </w:rPr>
        <w:tab/>
      </w:r>
    </w:p>
    <w:p>
      <w:pPr>
        <w:pStyle w:val="MiscellaneousBody"/>
        <w:jc w:val="center"/>
        <w:rPr>
          <w:snapToGrid w:val="0"/>
        </w:rPr>
      </w:pPr>
      <w:r>
        <w:rPr>
          <w:snapToGrid w:val="0"/>
        </w:rPr>
        <w:t>[L.S.]Commissioner.</w:t>
      </w:r>
    </w:p>
    <w:p>
      <w:pPr>
        <w:pStyle w:val="MiscellaneousBody"/>
        <w:jc w:val="right"/>
        <w:rPr>
          <w:snapToGrid w:val="0"/>
        </w:rPr>
      </w:pPr>
      <w:r>
        <w:rPr>
          <w:snapToGrid w:val="0"/>
        </w:rPr>
        <w:t>F. J. PIPER,</w:t>
      </w:r>
      <w:r>
        <w:rPr>
          <w:snapToGrid w:val="0"/>
        </w:rPr>
        <w:tab/>
      </w:r>
      <w:r>
        <w:rPr>
          <w:snapToGrid w:val="0"/>
        </w:rPr>
        <w:tab/>
      </w:r>
      <w:r>
        <w:rPr>
          <w:snapToGrid w:val="0"/>
        </w:rPr>
        <w:tab/>
      </w:r>
    </w:p>
    <w:p>
      <w:pPr>
        <w:pStyle w:val="MiscellaneousBody"/>
        <w:jc w:val="right"/>
        <w:rPr>
          <w:snapToGrid w:val="0"/>
        </w:rPr>
      </w:pPr>
      <w:r>
        <w:rPr>
          <w:snapToGrid w:val="0"/>
        </w:rPr>
        <w:t xml:space="preserve">Secretary. </w:t>
      </w:r>
    </w:p>
    <w:p>
      <w:pPr>
        <w:pStyle w:val="CentredBaseLine"/>
        <w:jc w:val="center"/>
      </w:pPr>
      <w:r>
        <w:t>___________________</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cols w:space="720"/>
          <w:noEndnote/>
          <w:titlePg/>
          <w:docGrid w:linePitch="326"/>
        </w:sectPr>
      </w:pPr>
    </w:p>
    <w:p>
      <w:pPr>
        <w:pStyle w:val="nHeading2"/>
      </w:pPr>
      <w:bookmarkStart w:id="121" w:name="_Toc378254226"/>
      <w:bookmarkStart w:id="122" w:name="_Toc381870600"/>
      <w:bookmarkStart w:id="123" w:name="_Toc381954520"/>
      <w:bookmarkStart w:id="124" w:name="_Toc426549345"/>
      <w:bookmarkStart w:id="125" w:name="_Toc426549391"/>
      <w:bookmarkStart w:id="126" w:name="_Toc426549437"/>
      <w:r>
        <w:t>Notes</w:t>
      </w:r>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Fremantle Harbour Trust (Debentures and Inscribed Stock) Regulations 1962</w:t>
      </w:r>
      <w:r>
        <w:rPr>
          <w:snapToGrid w:val="0"/>
        </w:rPr>
        <w:t xml:space="preserve"> and includes the amendments referred to in the following Table.</w:t>
      </w:r>
    </w:p>
    <w:p>
      <w:pPr>
        <w:pStyle w:val="nHeading3"/>
        <w:rPr>
          <w:snapToGrid w:val="0"/>
        </w:rPr>
      </w:pPr>
      <w:bookmarkStart w:id="127" w:name="_Toc381954521"/>
      <w:bookmarkStart w:id="128" w:name="_Toc426549438"/>
      <w:r>
        <w:rPr>
          <w:snapToGrid w:val="0"/>
        </w:rPr>
        <w:t>Compilation table</w:t>
      </w:r>
      <w:bookmarkEnd w:id="127"/>
      <w:bookmarkEnd w:id="1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Fremantle Harbour Trust (Debentures and Inscribed Stock) Regulations 1962</w:t>
            </w:r>
          </w:p>
        </w:tc>
        <w:tc>
          <w:tcPr>
            <w:tcW w:w="1276" w:type="dxa"/>
            <w:tcBorders>
              <w:top w:val="single" w:sz="8" w:space="0" w:color="auto"/>
            </w:tcBorders>
          </w:tcPr>
          <w:p>
            <w:pPr>
              <w:pStyle w:val="nTable"/>
              <w:spacing w:after="40"/>
            </w:pPr>
            <w:r>
              <w:t>12 Oct 1962 pp.3427</w:t>
            </w:r>
            <w:r>
              <w:noBreakHyphen/>
              <w:t>37</w:t>
            </w:r>
          </w:p>
        </w:tc>
        <w:tc>
          <w:tcPr>
            <w:tcW w:w="2693" w:type="dxa"/>
            <w:tcBorders>
              <w:top w:val="single" w:sz="8" w:space="0" w:color="auto"/>
            </w:tcBorders>
          </w:tcPr>
          <w:p>
            <w:pPr>
              <w:pStyle w:val="nTable"/>
              <w:spacing w:after="40"/>
            </w:pPr>
            <w:r>
              <w:t>12 Oct 1962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2487)</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552"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Harbour Trust (Debentures and Inscribed Stock) Regulations 1962</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Harbour Trust (Debentures and Inscribed Stock) Regulations 1962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A4DF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420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8A39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3E1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469B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F06C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D43C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FA7B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B6775C"/>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118F0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948"/>
    <w:docVar w:name="WAFER_20140123151851" w:val="RemoveTocBookmarks,RemoveUnusedBookmarks,RemoveLanguageTags,UsedStyles,ResetPageSize,UpdateArrangement"/>
    <w:docVar w:name="WAFER_20140123151851_GUID" w:val="d11d5c6f-9b61-4111-bbd4-1439434d80ba"/>
    <w:docVar w:name="WAFER_20140123152207" w:val="RemoveTocBookmarks,RunningHeaders"/>
    <w:docVar w:name="WAFER_20140123152207_GUID" w:val="94f08ffc-3cf1-44d3-befc-291207956523"/>
    <w:docVar w:name="WAFER_20150805140045" w:val="ResetPageSize,UpdateArrangement,UpdateNTable"/>
    <w:docVar w:name="WAFER_20150805140045_GUID" w:val="01a57f67-b360-4c6e-a7c5-e5e1bf86fd9c"/>
    <w:docVar w:name="WAFER_20151117104948" w:val="UpdateStyles,UsedStyles"/>
    <w:docVar w:name="WAFER_20151117104948_GUID" w:val="ee5b8284-88da-4ed7-b912-7aebfb2ca4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8349</Words>
  <Characters>34317</Characters>
  <Application>Microsoft Office Word</Application>
  <DocSecurity>0</DocSecurity>
  <Lines>837</Lines>
  <Paragraphs>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Harbour Trust (Debentures and Inscribed Stock) Regulations 1962 - 00-b0-07</dc:title>
  <dc:subject/>
  <dc:creator/>
  <cp:keywords/>
  <dc:description/>
  <cp:lastModifiedBy>svcMRProcess</cp:lastModifiedBy>
  <cp:revision>4</cp:revision>
  <cp:lastPrinted>2006-04-19T00:34:00Z</cp:lastPrinted>
  <dcterms:created xsi:type="dcterms:W3CDTF">2015-11-17T02:56:00Z</dcterms:created>
  <dcterms:modified xsi:type="dcterms:W3CDTF">2015-11-17T02:56:00Z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October 1962 pp.3427-37</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00-b0-07</vt:lpwstr>
  </property>
  <property fmtid="{D5CDD505-2E9C-101B-9397-08002B2CF9AE}" pid="7" name="Status">
    <vt:lpwstr>NIF</vt:lpwstr>
  </property>
</Properties>
</file>