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Gas Standards (Gasfitting and Consumers' Gas Installations)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Gas Standards (Gasfitting and Consumers' Gas Installations) Regulations 1999</w:t>
      </w:r>
      <w:r>
        <w:fldChar w:fldCharType="end"/>
      </w:r>
    </w:p>
    <w:p>
      <w:pPr>
        <w:pStyle w:val="Arrangement"/>
        <w:spacing w:after="240"/>
        <w:ind w:left="2302" w:right="2302"/>
      </w:pPr>
      <w:r>
        <w:t>CONTENTS</w:t>
      </w:r>
    </w:p>
    <w:p>
      <w:pPr>
        <w:pStyle w:val="TOC2"/>
      </w:pPr>
      <w:r>
        <w:fldChar w:fldCharType="begin"/>
      </w:r>
      <w:r>
        <w:instrText xml:space="preserve"> TOC \o "1-3" \t "Heading 4,3,Heading 5,4" \n 2-3 \t "yHeading 4,3,yHeading 5,4" \n 2-3 </w:instrText>
      </w:r>
      <w:r>
        <w:fldChar w:fldCharType="separate"/>
      </w:r>
      <w:r>
        <w:t>Part 1 — Preliminary</w:t>
      </w:r>
    </w:p>
    <w:p>
      <w:pPr>
        <w:pStyle w:val="TOC4"/>
        <w:tabs>
          <w:tab w:val="left" w:pos="1483"/>
        </w:tabs>
        <w:rPr>
          <w:noProof/>
        </w:rPr>
      </w:pPr>
      <w:r>
        <w:rPr>
          <w:noProof/>
        </w:rPr>
        <w:t>1.</w:t>
      </w:r>
      <w:r>
        <w:rPr>
          <w:noProof/>
        </w:rPr>
        <w:tab/>
        <w:t>Citation</w:t>
      </w:r>
      <w:r>
        <w:rPr>
          <w:noProof/>
        </w:rPr>
        <w:tab/>
      </w:r>
      <w:r>
        <w:rPr>
          <w:noProof/>
        </w:rPr>
        <w:fldChar w:fldCharType="begin"/>
      </w:r>
      <w:r>
        <w:rPr>
          <w:noProof/>
        </w:rPr>
        <w:instrText xml:space="preserve"> PAGEREF _Toc450366203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rPr>
        <w:tab/>
        <w:t>Commencement</w:t>
      </w:r>
      <w:r>
        <w:rPr>
          <w:noProof/>
        </w:rPr>
        <w:tab/>
      </w:r>
      <w:r>
        <w:rPr>
          <w:noProof/>
        </w:rPr>
        <w:fldChar w:fldCharType="begin"/>
      </w:r>
      <w:r>
        <w:rPr>
          <w:noProof/>
        </w:rPr>
        <w:instrText xml:space="preserve"> PAGEREF _Toc450366204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rPr>
        <w:tab/>
        <w:t>Interpretation</w:t>
      </w:r>
      <w:r>
        <w:rPr>
          <w:noProof/>
        </w:rPr>
        <w:tab/>
      </w:r>
      <w:r>
        <w:rPr>
          <w:noProof/>
        </w:rPr>
        <w:fldChar w:fldCharType="begin"/>
      </w:r>
      <w:r>
        <w:rPr>
          <w:noProof/>
        </w:rPr>
        <w:instrText xml:space="preserve"> PAGEREF _Toc450366205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rPr>
        <w:tab/>
        <w:t>Gasfitting work — meaning</w:t>
      </w:r>
      <w:r>
        <w:rPr>
          <w:noProof/>
        </w:rPr>
        <w:tab/>
      </w:r>
      <w:r>
        <w:rPr>
          <w:noProof/>
        </w:rPr>
        <w:fldChar w:fldCharType="begin"/>
      </w:r>
      <w:r>
        <w:rPr>
          <w:noProof/>
        </w:rPr>
        <w:instrText xml:space="preserve"> PAGEREF _Toc450366206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5.</w:t>
      </w:r>
      <w:r>
        <w:rPr>
          <w:noProof/>
        </w:rPr>
        <w:tab/>
        <w:t>Things of the nature of gasfitting</w:t>
      </w:r>
      <w:r>
        <w:rPr>
          <w:noProof/>
        </w:rPr>
        <w:tab/>
      </w:r>
      <w:r>
        <w:rPr>
          <w:noProof/>
        </w:rPr>
        <w:fldChar w:fldCharType="begin"/>
      </w:r>
      <w:r>
        <w:rPr>
          <w:noProof/>
        </w:rPr>
        <w:instrText xml:space="preserve"> PAGEREF _Toc450366207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w:t>
      </w:r>
      <w:r>
        <w:rPr>
          <w:noProof/>
        </w:rPr>
        <w:tab/>
        <w:t>Supervised gas fitters</w:t>
      </w:r>
      <w:r>
        <w:rPr>
          <w:noProof/>
        </w:rPr>
        <w:tab/>
      </w:r>
      <w:r>
        <w:rPr>
          <w:noProof/>
        </w:rPr>
        <w:fldChar w:fldCharType="begin"/>
      </w:r>
      <w:r>
        <w:rPr>
          <w:noProof/>
        </w:rPr>
        <w:instrText xml:space="preserve"> PAGEREF _Toc450366208 \h </w:instrText>
      </w:r>
      <w:r>
        <w:rPr>
          <w:noProof/>
        </w:rPr>
      </w:r>
      <w:r>
        <w:rPr>
          <w:noProof/>
        </w:rPr>
        <w:fldChar w:fldCharType="separate"/>
      </w:r>
      <w:r>
        <w:rPr>
          <w:noProof/>
        </w:rPr>
        <w:t>6</w:t>
      </w:r>
      <w:r>
        <w:rPr>
          <w:noProof/>
        </w:rPr>
        <w:fldChar w:fldCharType="end"/>
      </w:r>
    </w:p>
    <w:p>
      <w:pPr>
        <w:pStyle w:val="TOC2"/>
      </w:pPr>
      <w:r>
        <w:t>Part 2 — Administration</w:t>
      </w:r>
    </w:p>
    <w:p>
      <w:pPr>
        <w:pStyle w:val="TOC4"/>
        <w:tabs>
          <w:tab w:val="left" w:pos="1483"/>
        </w:tabs>
        <w:rPr>
          <w:noProof/>
        </w:rPr>
      </w:pPr>
      <w:r>
        <w:rPr>
          <w:noProof/>
        </w:rPr>
        <w:t>7.</w:t>
      </w:r>
      <w:r>
        <w:rPr>
          <w:noProof/>
        </w:rPr>
        <w:tab/>
        <w:t>Particulars in register of gas fitters under section 13A(4)</w:t>
      </w:r>
      <w:r>
        <w:rPr>
          <w:noProof/>
        </w:rPr>
        <w:tab/>
      </w:r>
      <w:r>
        <w:rPr>
          <w:noProof/>
        </w:rPr>
        <w:fldChar w:fldCharType="begin"/>
      </w:r>
      <w:r>
        <w:rPr>
          <w:noProof/>
        </w:rPr>
        <w:instrText xml:space="preserve"> PAGEREF _Toc450366209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8.</w:t>
      </w:r>
      <w:r>
        <w:rPr>
          <w:noProof/>
        </w:rPr>
        <w:tab/>
        <w:t>Change of address</w:t>
      </w:r>
      <w:r>
        <w:rPr>
          <w:noProof/>
        </w:rPr>
        <w:tab/>
      </w:r>
      <w:r>
        <w:rPr>
          <w:noProof/>
        </w:rPr>
        <w:fldChar w:fldCharType="begin"/>
      </w:r>
      <w:r>
        <w:rPr>
          <w:noProof/>
        </w:rPr>
        <w:instrText xml:space="preserve"> PAGEREF _Toc450366210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9.</w:t>
      </w:r>
      <w:r>
        <w:rPr>
          <w:noProof/>
        </w:rPr>
        <w:tab/>
        <w:t>Inquiries under section 13A</w:t>
      </w:r>
      <w:r>
        <w:rPr>
          <w:noProof/>
        </w:rPr>
        <w:tab/>
      </w:r>
      <w:r>
        <w:rPr>
          <w:noProof/>
        </w:rPr>
        <w:fldChar w:fldCharType="begin"/>
      </w:r>
      <w:r>
        <w:rPr>
          <w:noProof/>
        </w:rPr>
        <w:instrText xml:space="preserve"> PAGEREF _Toc450366211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10.</w:t>
      </w:r>
      <w:r>
        <w:rPr>
          <w:noProof/>
        </w:rPr>
        <w:tab/>
        <w:t>Notice of Appeal under section 13B</w:t>
      </w:r>
      <w:r>
        <w:rPr>
          <w:noProof/>
        </w:rPr>
        <w:tab/>
      </w:r>
      <w:r>
        <w:rPr>
          <w:noProof/>
        </w:rPr>
        <w:fldChar w:fldCharType="begin"/>
      </w:r>
      <w:r>
        <w:rPr>
          <w:noProof/>
        </w:rPr>
        <w:instrText xml:space="preserve"> PAGEREF _Toc450366212 \h </w:instrText>
      </w:r>
      <w:r>
        <w:rPr>
          <w:noProof/>
        </w:rPr>
      </w:r>
      <w:r>
        <w:rPr>
          <w:noProof/>
        </w:rPr>
        <w:fldChar w:fldCharType="separate"/>
      </w:r>
      <w:r>
        <w:rPr>
          <w:noProof/>
        </w:rPr>
        <w:t>8</w:t>
      </w:r>
      <w:r>
        <w:rPr>
          <w:noProof/>
        </w:rPr>
        <w:fldChar w:fldCharType="end"/>
      </w:r>
    </w:p>
    <w:p>
      <w:pPr>
        <w:pStyle w:val="TOC2"/>
      </w:pPr>
      <w:r>
        <w:t>Part 3 — Permits and authorizations</w:t>
      </w:r>
    </w:p>
    <w:p>
      <w:pPr>
        <w:pStyle w:val="TOC4"/>
        <w:tabs>
          <w:tab w:val="left" w:pos="1483"/>
        </w:tabs>
        <w:rPr>
          <w:noProof/>
        </w:rPr>
      </w:pPr>
      <w:r>
        <w:rPr>
          <w:noProof/>
        </w:rPr>
        <w:t>11.</w:t>
      </w:r>
      <w:r>
        <w:rPr>
          <w:noProof/>
        </w:rPr>
        <w:tab/>
        <w:t>Applications for permits and authorizations</w:t>
      </w:r>
      <w:r>
        <w:rPr>
          <w:noProof/>
        </w:rPr>
        <w:tab/>
      </w:r>
      <w:r>
        <w:rPr>
          <w:noProof/>
        </w:rPr>
        <w:fldChar w:fldCharType="begin"/>
      </w:r>
      <w:r>
        <w:rPr>
          <w:noProof/>
        </w:rPr>
        <w:instrText xml:space="preserve"> PAGEREF _Toc450366213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12.</w:t>
      </w:r>
      <w:r>
        <w:rPr>
          <w:noProof/>
        </w:rPr>
        <w:tab/>
        <w:t>Issue of permits and authorization</w:t>
      </w:r>
      <w:r>
        <w:rPr>
          <w:noProof/>
        </w:rPr>
        <w:tab/>
      </w:r>
      <w:r>
        <w:rPr>
          <w:noProof/>
        </w:rPr>
        <w:fldChar w:fldCharType="begin"/>
      </w:r>
      <w:r>
        <w:rPr>
          <w:noProof/>
        </w:rPr>
        <w:instrText xml:space="preserve"> PAGEREF _Toc450366214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13.</w:t>
      </w:r>
      <w:r>
        <w:rPr>
          <w:noProof/>
        </w:rPr>
        <w:tab/>
        <w:t>Grades of permit or authorization</w:t>
      </w:r>
      <w:r>
        <w:rPr>
          <w:noProof/>
        </w:rPr>
        <w:tab/>
      </w:r>
      <w:r>
        <w:rPr>
          <w:noProof/>
        </w:rPr>
        <w:fldChar w:fldCharType="begin"/>
      </w:r>
      <w:r>
        <w:rPr>
          <w:noProof/>
        </w:rPr>
        <w:instrText xml:space="preserve"> PAGEREF _Toc450366215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14.</w:t>
      </w:r>
      <w:r>
        <w:rPr>
          <w:noProof/>
        </w:rPr>
        <w:tab/>
        <w:t>Restrictions, limitations, conditions or extensions on permits or authorizations</w:t>
      </w:r>
      <w:r>
        <w:rPr>
          <w:noProof/>
        </w:rPr>
        <w:tab/>
      </w:r>
      <w:r>
        <w:rPr>
          <w:noProof/>
        </w:rPr>
        <w:fldChar w:fldCharType="begin"/>
      </w:r>
      <w:r>
        <w:rPr>
          <w:noProof/>
        </w:rPr>
        <w:instrText xml:space="preserve"> PAGEREF _Toc450366216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15.</w:t>
      </w:r>
      <w:r>
        <w:rPr>
          <w:noProof/>
        </w:rPr>
        <w:tab/>
        <w:t>Gasfitting authorized by permits</w:t>
      </w:r>
      <w:r>
        <w:rPr>
          <w:noProof/>
        </w:rPr>
        <w:tab/>
      </w:r>
      <w:r>
        <w:rPr>
          <w:noProof/>
        </w:rPr>
        <w:fldChar w:fldCharType="begin"/>
      </w:r>
      <w:r>
        <w:rPr>
          <w:noProof/>
        </w:rPr>
        <w:instrText xml:space="preserve"> PAGEREF _Toc450366217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16.</w:t>
      </w:r>
      <w:r>
        <w:rPr>
          <w:noProof/>
        </w:rPr>
        <w:tab/>
        <w:t>Gasfitting authorized by authorizations</w:t>
      </w:r>
      <w:r>
        <w:rPr>
          <w:noProof/>
        </w:rPr>
        <w:tab/>
      </w:r>
      <w:r>
        <w:rPr>
          <w:noProof/>
        </w:rPr>
        <w:fldChar w:fldCharType="begin"/>
      </w:r>
      <w:r>
        <w:rPr>
          <w:noProof/>
        </w:rPr>
        <w:instrText xml:space="preserve"> PAGEREF _Toc450366218 \h </w:instrText>
      </w:r>
      <w:r>
        <w:rPr>
          <w:noProof/>
        </w:rPr>
      </w:r>
      <w:r>
        <w:rPr>
          <w:noProof/>
        </w:rPr>
        <w:fldChar w:fldCharType="separate"/>
      </w:r>
      <w:r>
        <w:rPr>
          <w:noProof/>
        </w:rPr>
        <w:t>10</w:t>
      </w:r>
      <w:r>
        <w:rPr>
          <w:noProof/>
        </w:rPr>
        <w:fldChar w:fldCharType="end"/>
      </w:r>
    </w:p>
    <w:p>
      <w:pPr>
        <w:pStyle w:val="TOC2"/>
      </w:pPr>
      <w:r>
        <w:t>Part 4 — Performance of gasfitting</w:t>
      </w:r>
    </w:p>
    <w:p>
      <w:pPr>
        <w:pStyle w:val="TOC4"/>
        <w:tabs>
          <w:tab w:val="left" w:pos="1483"/>
        </w:tabs>
        <w:rPr>
          <w:noProof/>
        </w:rPr>
      </w:pPr>
      <w:r>
        <w:rPr>
          <w:noProof/>
        </w:rPr>
        <w:t>17.</w:t>
      </w:r>
      <w:r>
        <w:rPr>
          <w:noProof/>
        </w:rPr>
        <w:tab/>
        <w:t>Interpretation</w:t>
      </w:r>
      <w:r>
        <w:rPr>
          <w:noProof/>
        </w:rPr>
        <w:tab/>
      </w:r>
      <w:r>
        <w:rPr>
          <w:noProof/>
        </w:rPr>
        <w:fldChar w:fldCharType="begin"/>
      </w:r>
      <w:r>
        <w:rPr>
          <w:noProof/>
        </w:rPr>
        <w:instrText xml:space="preserve"> PAGEREF _Toc450366219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18.</w:t>
      </w:r>
      <w:r>
        <w:rPr>
          <w:noProof/>
        </w:rPr>
        <w:tab/>
        <w:t>Performance of gasfitting work</w:t>
      </w:r>
      <w:r>
        <w:rPr>
          <w:noProof/>
        </w:rPr>
        <w:tab/>
      </w:r>
      <w:r>
        <w:rPr>
          <w:noProof/>
        </w:rPr>
        <w:fldChar w:fldCharType="begin"/>
      </w:r>
      <w:r>
        <w:rPr>
          <w:noProof/>
        </w:rPr>
        <w:instrText xml:space="preserve"> PAGEREF _Toc450366220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19.</w:t>
      </w:r>
      <w:r>
        <w:rPr>
          <w:noProof/>
        </w:rPr>
        <w:tab/>
        <w:t>Obligations of a supervising gas fitter</w:t>
      </w:r>
      <w:r>
        <w:rPr>
          <w:noProof/>
        </w:rPr>
        <w:tab/>
      </w:r>
      <w:r>
        <w:rPr>
          <w:noProof/>
        </w:rPr>
        <w:fldChar w:fldCharType="begin"/>
      </w:r>
      <w:r>
        <w:rPr>
          <w:noProof/>
        </w:rPr>
        <w:instrText xml:space="preserve"> PAGEREF _Toc450366221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20.</w:t>
      </w:r>
      <w:r>
        <w:rPr>
          <w:noProof/>
        </w:rPr>
        <w:tab/>
        <w:t>Installation of an appliance, apparatus or part</w:t>
      </w:r>
      <w:r>
        <w:rPr>
          <w:noProof/>
        </w:rPr>
        <w:tab/>
      </w:r>
      <w:r>
        <w:rPr>
          <w:noProof/>
        </w:rPr>
        <w:fldChar w:fldCharType="begin"/>
      </w:r>
      <w:r>
        <w:rPr>
          <w:noProof/>
        </w:rPr>
        <w:instrText xml:space="preserve"> PAGEREF _Toc450366222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21.</w:t>
      </w:r>
      <w:r>
        <w:rPr>
          <w:noProof/>
        </w:rPr>
        <w:tab/>
        <w:t>Commissioning of appliances generally</w:t>
      </w:r>
      <w:r>
        <w:rPr>
          <w:noProof/>
        </w:rPr>
        <w:tab/>
      </w:r>
      <w:r>
        <w:rPr>
          <w:noProof/>
        </w:rPr>
        <w:fldChar w:fldCharType="begin"/>
      </w:r>
      <w:r>
        <w:rPr>
          <w:noProof/>
        </w:rPr>
        <w:instrText xml:space="preserve"> PAGEREF _Toc450366223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22.</w:t>
      </w:r>
      <w:r>
        <w:rPr>
          <w:noProof/>
        </w:rPr>
        <w:tab/>
        <w:t>Leaving Type B appliances permanently connected</w:t>
      </w:r>
      <w:r>
        <w:rPr>
          <w:noProof/>
        </w:rPr>
        <w:tab/>
      </w:r>
      <w:r>
        <w:rPr>
          <w:noProof/>
        </w:rPr>
        <w:fldChar w:fldCharType="begin"/>
      </w:r>
      <w:r>
        <w:rPr>
          <w:noProof/>
        </w:rPr>
        <w:instrText xml:space="preserve"> PAGEREF _Toc450366224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23.</w:t>
      </w:r>
      <w:r>
        <w:rPr>
          <w:noProof/>
        </w:rPr>
        <w:tab/>
        <w:t>Servicing of a consumer’s gas installation</w:t>
      </w:r>
      <w:r>
        <w:rPr>
          <w:noProof/>
        </w:rPr>
        <w:tab/>
      </w:r>
      <w:r>
        <w:rPr>
          <w:noProof/>
        </w:rPr>
        <w:fldChar w:fldCharType="begin"/>
      </w:r>
      <w:r>
        <w:rPr>
          <w:noProof/>
        </w:rPr>
        <w:instrText xml:space="preserve"> PAGEREF _Toc450366225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24.</w:t>
      </w:r>
      <w:r>
        <w:rPr>
          <w:noProof/>
        </w:rPr>
        <w:tab/>
        <w:t>Inaccessible underground fitting lines</w:t>
      </w:r>
      <w:r>
        <w:rPr>
          <w:noProof/>
        </w:rPr>
        <w:tab/>
      </w:r>
      <w:r>
        <w:rPr>
          <w:noProof/>
        </w:rPr>
        <w:fldChar w:fldCharType="begin"/>
      </w:r>
      <w:r>
        <w:rPr>
          <w:noProof/>
        </w:rPr>
        <w:instrText xml:space="preserve"> PAGEREF _Toc450366226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25.</w:t>
      </w:r>
      <w:r>
        <w:rPr>
          <w:noProof/>
        </w:rPr>
        <w:tab/>
        <w:t>Fitting lines to be clean</w:t>
      </w:r>
      <w:r>
        <w:rPr>
          <w:noProof/>
        </w:rPr>
        <w:tab/>
      </w:r>
      <w:r>
        <w:rPr>
          <w:noProof/>
        </w:rPr>
        <w:fldChar w:fldCharType="begin"/>
      </w:r>
      <w:r>
        <w:rPr>
          <w:noProof/>
        </w:rPr>
        <w:instrText xml:space="preserve"> PAGEREF _Toc450366227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26.</w:t>
      </w:r>
      <w:r>
        <w:rPr>
          <w:noProof/>
        </w:rPr>
        <w:tab/>
        <w:t>Pressure testing</w:t>
      </w:r>
      <w:r>
        <w:rPr>
          <w:noProof/>
        </w:rPr>
        <w:tab/>
      </w:r>
      <w:r>
        <w:rPr>
          <w:noProof/>
        </w:rPr>
        <w:fldChar w:fldCharType="begin"/>
      </w:r>
      <w:r>
        <w:rPr>
          <w:noProof/>
        </w:rPr>
        <w:instrText xml:space="preserve"> PAGEREF _Toc450366228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27.</w:t>
      </w:r>
      <w:r>
        <w:rPr>
          <w:noProof/>
        </w:rPr>
        <w:tab/>
        <w:t>Preliminary notice</w:t>
      </w:r>
      <w:r>
        <w:rPr>
          <w:noProof/>
        </w:rPr>
        <w:tab/>
      </w:r>
      <w:r>
        <w:rPr>
          <w:noProof/>
        </w:rPr>
        <w:fldChar w:fldCharType="begin"/>
      </w:r>
      <w:r>
        <w:rPr>
          <w:noProof/>
        </w:rPr>
        <w:instrText xml:space="preserve"> PAGEREF _Toc450366229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28.</w:t>
      </w:r>
      <w:r>
        <w:rPr>
          <w:noProof/>
        </w:rPr>
        <w:tab/>
        <w:t>Obligations on completion of gasfitting work</w:t>
      </w:r>
      <w:r>
        <w:rPr>
          <w:noProof/>
        </w:rPr>
        <w:tab/>
      </w:r>
      <w:r>
        <w:rPr>
          <w:noProof/>
        </w:rPr>
        <w:fldChar w:fldCharType="begin"/>
      </w:r>
      <w:r>
        <w:rPr>
          <w:noProof/>
        </w:rPr>
        <w:instrText xml:space="preserve"> PAGEREF _Toc450366230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29.</w:t>
      </w:r>
      <w:r>
        <w:rPr>
          <w:noProof/>
        </w:rPr>
        <w:tab/>
        <w:t>Notice of defects</w:t>
      </w:r>
      <w:r>
        <w:rPr>
          <w:noProof/>
        </w:rPr>
        <w:tab/>
      </w:r>
      <w:r>
        <w:rPr>
          <w:noProof/>
        </w:rPr>
        <w:fldChar w:fldCharType="begin"/>
      </w:r>
      <w:r>
        <w:rPr>
          <w:noProof/>
        </w:rPr>
        <w:instrText xml:space="preserve"> PAGEREF _Toc450366231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30.</w:t>
      </w:r>
      <w:r>
        <w:rPr>
          <w:noProof/>
        </w:rPr>
        <w:tab/>
        <w:t>Notice of rectification</w:t>
      </w:r>
      <w:r>
        <w:rPr>
          <w:noProof/>
        </w:rPr>
        <w:tab/>
      </w:r>
      <w:r>
        <w:rPr>
          <w:noProof/>
        </w:rPr>
        <w:fldChar w:fldCharType="begin"/>
      </w:r>
      <w:r>
        <w:rPr>
          <w:noProof/>
        </w:rPr>
        <w:instrText xml:space="preserve"> PAGEREF _Toc450366232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Appeal against a notice of defects</w:t>
      </w:r>
      <w:r>
        <w:rPr>
          <w:noProof/>
        </w:rPr>
        <w:tab/>
      </w:r>
      <w:r>
        <w:rPr>
          <w:noProof/>
        </w:rPr>
        <w:fldChar w:fldCharType="begin"/>
      </w:r>
      <w:r>
        <w:rPr>
          <w:noProof/>
        </w:rPr>
        <w:instrText xml:space="preserve"> PAGEREF _Toc450366233 \h </w:instrText>
      </w:r>
      <w:r>
        <w:rPr>
          <w:noProof/>
        </w:rPr>
      </w:r>
      <w:r>
        <w:rPr>
          <w:noProof/>
        </w:rPr>
        <w:fldChar w:fldCharType="separate"/>
      </w:r>
      <w:r>
        <w:rPr>
          <w:noProof/>
        </w:rPr>
        <w:t>19</w:t>
      </w:r>
      <w:r>
        <w:rPr>
          <w:noProof/>
        </w:rPr>
        <w:fldChar w:fldCharType="end"/>
      </w:r>
    </w:p>
    <w:p>
      <w:pPr>
        <w:pStyle w:val="TOC2"/>
      </w:pPr>
      <w:r>
        <w:t>Part 5 — Requirements for consumers’ gas installations</w:t>
      </w:r>
    </w:p>
    <w:p>
      <w:pPr>
        <w:pStyle w:val="TOC4"/>
        <w:tabs>
          <w:tab w:val="left" w:pos="1483"/>
        </w:tabs>
        <w:rPr>
          <w:noProof/>
        </w:rPr>
      </w:pPr>
      <w:r>
        <w:rPr>
          <w:noProof/>
        </w:rPr>
        <w:t>32.</w:t>
      </w:r>
      <w:r>
        <w:rPr>
          <w:noProof/>
        </w:rPr>
        <w:tab/>
        <w:t>Requirements for a consumer’s gas installation</w:t>
      </w:r>
      <w:r>
        <w:rPr>
          <w:noProof/>
        </w:rPr>
        <w:tab/>
      </w:r>
      <w:r>
        <w:rPr>
          <w:noProof/>
        </w:rPr>
        <w:fldChar w:fldCharType="begin"/>
      </w:r>
      <w:r>
        <w:rPr>
          <w:noProof/>
        </w:rPr>
        <w:instrText xml:space="preserve"> PAGEREF _Toc450366234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Interpretation of codes and standards</w:t>
      </w:r>
      <w:r>
        <w:rPr>
          <w:noProof/>
        </w:rPr>
        <w:tab/>
      </w:r>
      <w:r>
        <w:rPr>
          <w:noProof/>
        </w:rPr>
        <w:fldChar w:fldCharType="begin"/>
      </w:r>
      <w:r>
        <w:rPr>
          <w:noProof/>
        </w:rPr>
        <w:instrText xml:space="preserve"> PAGEREF _Toc450366235 \h </w:instrText>
      </w:r>
      <w:r>
        <w:rPr>
          <w:noProof/>
        </w:rPr>
      </w:r>
      <w:r>
        <w:rPr>
          <w:noProof/>
        </w:rPr>
        <w:fldChar w:fldCharType="separate"/>
      </w:r>
      <w:r>
        <w:rPr>
          <w:noProof/>
        </w:rPr>
        <w:t>20</w:t>
      </w:r>
      <w:r>
        <w:rPr>
          <w:noProof/>
        </w:rPr>
        <w:fldChar w:fldCharType="end"/>
      </w:r>
    </w:p>
    <w:p>
      <w:pPr>
        <w:pStyle w:val="TOC2"/>
      </w:pPr>
      <w:r>
        <w:t>Part 6 — Miscellaneous</w:t>
      </w:r>
    </w:p>
    <w:p>
      <w:pPr>
        <w:pStyle w:val="TOC4"/>
        <w:tabs>
          <w:tab w:val="left" w:pos="1483"/>
        </w:tabs>
        <w:rPr>
          <w:noProof/>
        </w:rPr>
      </w:pPr>
      <w:r>
        <w:rPr>
          <w:noProof/>
        </w:rPr>
        <w:t>34.</w:t>
      </w:r>
      <w:r>
        <w:rPr>
          <w:noProof/>
        </w:rPr>
        <w:tab/>
        <w:t>Employer to keep records in relation to each gas fitter employed</w:t>
      </w:r>
      <w:r>
        <w:rPr>
          <w:noProof/>
        </w:rPr>
        <w:tab/>
      </w:r>
      <w:r>
        <w:rPr>
          <w:noProof/>
        </w:rPr>
        <w:fldChar w:fldCharType="begin"/>
      </w:r>
      <w:r>
        <w:rPr>
          <w:noProof/>
        </w:rPr>
        <w:instrText xml:space="preserve"> PAGEREF _Toc450366236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35.</w:t>
      </w:r>
      <w:r>
        <w:rPr>
          <w:noProof/>
        </w:rPr>
        <w:tab/>
        <w:t>Supplying gas to a newly installed consumer’s gas installation</w:t>
      </w:r>
      <w:r>
        <w:rPr>
          <w:noProof/>
        </w:rPr>
        <w:tab/>
      </w:r>
      <w:r>
        <w:rPr>
          <w:noProof/>
        </w:rPr>
        <w:fldChar w:fldCharType="begin"/>
      </w:r>
      <w:r>
        <w:rPr>
          <w:noProof/>
        </w:rPr>
        <w:instrText xml:space="preserve"> PAGEREF _Toc450366237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36.</w:t>
      </w:r>
      <w:r>
        <w:rPr>
          <w:noProof/>
        </w:rPr>
        <w:tab/>
        <w:t>Consumers’ obligations</w:t>
      </w:r>
      <w:r>
        <w:rPr>
          <w:noProof/>
        </w:rPr>
        <w:tab/>
      </w:r>
      <w:r>
        <w:rPr>
          <w:noProof/>
        </w:rPr>
        <w:fldChar w:fldCharType="begin"/>
      </w:r>
      <w:r>
        <w:rPr>
          <w:noProof/>
        </w:rPr>
        <w:instrText xml:space="preserve"> PAGEREF _Toc450366238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37.</w:t>
      </w:r>
      <w:r>
        <w:rPr>
          <w:noProof/>
        </w:rPr>
        <w:tab/>
        <w:t>Service apparatus</w:t>
      </w:r>
      <w:r>
        <w:rPr>
          <w:noProof/>
        </w:rPr>
        <w:tab/>
      </w:r>
      <w:r>
        <w:rPr>
          <w:noProof/>
        </w:rPr>
        <w:fldChar w:fldCharType="begin"/>
      </w:r>
      <w:r>
        <w:rPr>
          <w:noProof/>
        </w:rPr>
        <w:instrText xml:space="preserve"> PAGEREF _Toc450366239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38.</w:t>
      </w:r>
      <w:r>
        <w:rPr>
          <w:noProof/>
        </w:rPr>
        <w:tab/>
        <w:t>Misleading statements</w:t>
      </w:r>
      <w:r>
        <w:rPr>
          <w:noProof/>
        </w:rPr>
        <w:tab/>
      </w:r>
      <w:r>
        <w:rPr>
          <w:noProof/>
        </w:rPr>
        <w:fldChar w:fldCharType="begin"/>
      </w:r>
      <w:r>
        <w:rPr>
          <w:noProof/>
        </w:rPr>
        <w:instrText xml:space="preserve"> PAGEREF _Toc450366240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39.</w:t>
      </w:r>
      <w:r>
        <w:rPr>
          <w:noProof/>
        </w:rPr>
        <w:tab/>
        <w:t>Improper use of marks signifying the Director’s approval</w:t>
      </w:r>
      <w:r>
        <w:rPr>
          <w:noProof/>
        </w:rPr>
        <w:tab/>
      </w:r>
      <w:r>
        <w:rPr>
          <w:noProof/>
        </w:rPr>
        <w:fldChar w:fldCharType="begin"/>
      </w:r>
      <w:r>
        <w:rPr>
          <w:noProof/>
        </w:rPr>
        <w:instrText xml:space="preserve"> PAGEREF _Toc450366241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40.</w:t>
      </w:r>
      <w:r>
        <w:rPr>
          <w:noProof/>
        </w:rPr>
        <w:tab/>
        <w:t>Operating precautions</w:t>
      </w:r>
      <w:r>
        <w:rPr>
          <w:noProof/>
        </w:rPr>
        <w:tab/>
      </w:r>
      <w:r>
        <w:rPr>
          <w:noProof/>
        </w:rPr>
        <w:fldChar w:fldCharType="begin"/>
      </w:r>
      <w:r>
        <w:rPr>
          <w:noProof/>
        </w:rPr>
        <w:instrText xml:space="preserve"> PAGEREF _Toc450366242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41.</w:t>
      </w:r>
      <w:r>
        <w:rPr>
          <w:noProof/>
        </w:rPr>
        <w:tab/>
        <w:t>Unattended marine craft</w:t>
      </w:r>
      <w:r>
        <w:rPr>
          <w:noProof/>
        </w:rPr>
        <w:tab/>
      </w:r>
      <w:r>
        <w:rPr>
          <w:noProof/>
        </w:rPr>
        <w:fldChar w:fldCharType="begin"/>
      </w:r>
      <w:r>
        <w:rPr>
          <w:noProof/>
        </w:rPr>
        <w:instrText xml:space="preserve"> PAGEREF _Toc450366243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42.</w:t>
      </w:r>
      <w:r>
        <w:rPr>
          <w:noProof/>
        </w:rPr>
        <w:tab/>
        <w:t>Incidents to be reported</w:t>
      </w:r>
      <w:r>
        <w:rPr>
          <w:noProof/>
        </w:rPr>
        <w:tab/>
      </w:r>
      <w:r>
        <w:rPr>
          <w:noProof/>
        </w:rPr>
        <w:fldChar w:fldCharType="begin"/>
      </w:r>
      <w:r>
        <w:rPr>
          <w:noProof/>
        </w:rPr>
        <w:instrText xml:space="preserve"> PAGEREF _Toc450366244 \h </w:instrText>
      </w:r>
      <w:r>
        <w:rPr>
          <w:noProof/>
        </w:rPr>
      </w:r>
      <w:r>
        <w:rPr>
          <w:noProof/>
        </w:rPr>
        <w:fldChar w:fldCharType="separate"/>
      </w:r>
      <w:r>
        <w:rPr>
          <w:noProof/>
        </w:rPr>
        <w:t>26</w:t>
      </w:r>
      <w:r>
        <w:rPr>
          <w:noProof/>
        </w:rPr>
        <w:fldChar w:fldCharType="end"/>
      </w:r>
    </w:p>
    <w:p>
      <w:pPr>
        <w:pStyle w:val="TOC2"/>
      </w:pPr>
      <w:r>
        <w:t>Part 7 — Saving and repeal</w:t>
      </w:r>
    </w:p>
    <w:p>
      <w:pPr>
        <w:pStyle w:val="TOC4"/>
        <w:tabs>
          <w:tab w:val="left" w:pos="1483"/>
        </w:tabs>
        <w:rPr>
          <w:noProof/>
        </w:rPr>
      </w:pPr>
      <w:r>
        <w:rPr>
          <w:noProof/>
        </w:rPr>
        <w:t>43</w:t>
      </w:r>
      <w:r>
        <w:rPr>
          <w:noProof/>
          <w:snapToGrid w:val="0"/>
        </w:rPr>
        <w:t>.</w:t>
      </w:r>
      <w:r>
        <w:rPr>
          <w:noProof/>
        </w:rPr>
        <w:tab/>
      </w:r>
      <w:r>
        <w:rPr>
          <w:noProof/>
          <w:snapToGrid w:val="0"/>
        </w:rPr>
        <w:t>Saving</w:t>
      </w:r>
      <w:r>
        <w:rPr>
          <w:noProof/>
        </w:rPr>
        <w:tab/>
      </w:r>
      <w:r>
        <w:rPr>
          <w:noProof/>
        </w:rPr>
        <w:fldChar w:fldCharType="begin"/>
      </w:r>
      <w:r>
        <w:rPr>
          <w:noProof/>
        </w:rPr>
        <w:instrText xml:space="preserve"> PAGEREF _Toc450366245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44.</w:t>
      </w:r>
      <w:r>
        <w:rPr>
          <w:noProof/>
        </w:rPr>
        <w:tab/>
        <w:t>Repeal</w:t>
      </w:r>
      <w:r>
        <w:rPr>
          <w:noProof/>
        </w:rPr>
        <w:tab/>
      </w:r>
      <w:r>
        <w:rPr>
          <w:noProof/>
        </w:rPr>
        <w:fldChar w:fldCharType="begin"/>
      </w:r>
      <w:r>
        <w:rPr>
          <w:noProof/>
        </w:rPr>
        <w:instrText xml:space="preserve"> PAGEREF _Toc450366246 \h </w:instrText>
      </w:r>
      <w:r>
        <w:rPr>
          <w:noProof/>
        </w:rPr>
      </w:r>
      <w:r>
        <w:rPr>
          <w:noProof/>
        </w:rPr>
        <w:fldChar w:fldCharType="separate"/>
      </w:r>
      <w:r>
        <w:rPr>
          <w:noProof/>
        </w:rPr>
        <w:t>27</w:t>
      </w:r>
      <w:r>
        <w:rPr>
          <w:noProof/>
        </w:rPr>
        <w:fldChar w:fldCharType="end"/>
      </w:r>
    </w:p>
    <w:p>
      <w:pPr>
        <w:pStyle w:val="TOC2"/>
      </w:pPr>
      <w:r>
        <w:t>Schedule 1 — Type A appliances</w:t>
      </w:r>
    </w:p>
    <w:p>
      <w:pPr>
        <w:pStyle w:val="TOC4"/>
        <w:tabs>
          <w:tab w:val="left" w:pos="1483"/>
        </w:tabs>
        <w:rPr>
          <w:noProof/>
        </w:rPr>
      </w:pPr>
      <w:r>
        <w:rPr>
          <w:noProof/>
        </w:rPr>
        <w:t>1.</w:t>
      </w:r>
      <w:r>
        <w:rPr>
          <w:noProof/>
        </w:rPr>
        <w:tab/>
        <w:t>Interpretation</w:t>
      </w:r>
      <w:r>
        <w:rPr>
          <w:noProof/>
        </w:rPr>
        <w:tab/>
      </w:r>
      <w:r>
        <w:rPr>
          <w:noProof/>
        </w:rPr>
        <w:fldChar w:fldCharType="begin"/>
      </w:r>
      <w:r>
        <w:rPr>
          <w:noProof/>
        </w:rPr>
        <w:instrText xml:space="preserve"> PAGEREF _Toc450366247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2.</w:t>
      </w:r>
      <w:r>
        <w:rPr>
          <w:noProof/>
        </w:rPr>
        <w:tab/>
        <w:t>List of Type A appliances</w:t>
      </w:r>
      <w:r>
        <w:rPr>
          <w:noProof/>
        </w:rPr>
        <w:tab/>
      </w:r>
      <w:r>
        <w:rPr>
          <w:noProof/>
        </w:rPr>
        <w:fldChar w:fldCharType="begin"/>
      </w:r>
      <w:r>
        <w:rPr>
          <w:noProof/>
        </w:rPr>
        <w:instrText xml:space="preserve"> PAGEREF _Toc450366248 \h </w:instrText>
      </w:r>
      <w:r>
        <w:rPr>
          <w:noProof/>
        </w:rPr>
      </w:r>
      <w:r>
        <w:rPr>
          <w:noProof/>
        </w:rPr>
        <w:fldChar w:fldCharType="separate"/>
      </w:r>
      <w:r>
        <w:rPr>
          <w:noProof/>
        </w:rPr>
        <w:t>28</w:t>
      </w:r>
      <w:r>
        <w:rPr>
          <w:noProof/>
        </w:rPr>
        <w:fldChar w:fldCharType="end"/>
      </w:r>
    </w:p>
    <w:p>
      <w:pPr>
        <w:pStyle w:val="TOC2"/>
      </w:pPr>
      <w:r>
        <w:t>Schedule 2 — Forms</w:t>
      </w:r>
    </w:p>
    <w:p>
      <w:pPr>
        <w:pStyle w:val="TOC2"/>
      </w:pPr>
      <w:r>
        <w:t>Schedule 3 — Witness fees and allowances</w:t>
      </w:r>
    </w:p>
    <w:p>
      <w:pPr>
        <w:pStyle w:val="TOC4"/>
        <w:tabs>
          <w:tab w:val="left" w:pos="1483"/>
        </w:tabs>
        <w:rPr>
          <w:noProof/>
        </w:rPr>
      </w:pPr>
      <w:r>
        <w:rPr>
          <w:noProof/>
        </w:rPr>
        <w:t>1.</w:t>
      </w:r>
      <w:r>
        <w:rPr>
          <w:noProof/>
        </w:rPr>
        <w:tab/>
        <w:t>Daily allowance</w:t>
      </w:r>
      <w:r>
        <w:rPr>
          <w:noProof/>
        </w:rPr>
        <w:tab/>
      </w:r>
      <w:r>
        <w:rPr>
          <w:noProof/>
        </w:rPr>
        <w:fldChar w:fldCharType="begin"/>
      </w:r>
      <w:r>
        <w:rPr>
          <w:noProof/>
        </w:rPr>
        <w:instrText xml:space="preserve"> PAGEREF _Toc450366249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2.</w:t>
      </w:r>
      <w:r>
        <w:rPr>
          <w:noProof/>
        </w:rPr>
        <w:tab/>
        <w:t>Expenses</w:t>
      </w:r>
      <w:r>
        <w:rPr>
          <w:noProof/>
        </w:rPr>
        <w:tab/>
      </w:r>
      <w:r>
        <w:rPr>
          <w:noProof/>
        </w:rPr>
        <w:fldChar w:fldCharType="begin"/>
      </w:r>
      <w:r>
        <w:rPr>
          <w:noProof/>
        </w:rPr>
        <w:instrText xml:space="preserve"> PAGEREF _Toc450366250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3.</w:t>
      </w:r>
      <w:r>
        <w:rPr>
          <w:noProof/>
        </w:rPr>
        <w:tab/>
        <w:t>Expert evidence</w:t>
      </w:r>
      <w:r>
        <w:rPr>
          <w:noProof/>
        </w:rPr>
        <w:tab/>
      </w:r>
      <w:r>
        <w:rPr>
          <w:noProof/>
        </w:rPr>
        <w:fldChar w:fldCharType="begin"/>
      </w:r>
      <w:r>
        <w:rPr>
          <w:noProof/>
        </w:rPr>
        <w:instrText xml:space="preserve"> PAGEREF _Toc450366251 \h </w:instrText>
      </w:r>
      <w:r>
        <w:rPr>
          <w:noProof/>
        </w:rPr>
      </w:r>
      <w:r>
        <w:rPr>
          <w:noProof/>
        </w:rPr>
        <w:fldChar w:fldCharType="separate"/>
      </w:r>
      <w:r>
        <w:rPr>
          <w:noProof/>
        </w:rPr>
        <w:t>34</w:t>
      </w:r>
      <w:r>
        <w:rPr>
          <w:noProof/>
        </w:rPr>
        <w:fldChar w:fldCharType="end"/>
      </w:r>
    </w:p>
    <w:p>
      <w:pPr>
        <w:pStyle w:val="TOC2"/>
      </w:pPr>
      <w:r>
        <w:t>Schedule 4 — Application fees for permits and authorizations</w:t>
      </w:r>
    </w:p>
    <w:p>
      <w:pPr>
        <w:pStyle w:val="TOC2"/>
      </w:pPr>
      <w:r>
        <w:t>Schedule 5 — Classes of gasfitting work</w:t>
      </w:r>
    </w:p>
    <w:p>
      <w:pPr>
        <w:pStyle w:val="TOC2"/>
      </w:pPr>
      <w:r>
        <w:t>Schedule 6 — Certain requirements as to consumers’ gas installations</w:t>
      </w:r>
    </w:p>
    <w:p>
      <w:pPr>
        <w:pStyle w:val="TOC3"/>
        <w:tabs>
          <w:tab w:val="right" w:pos="7086"/>
        </w:tabs>
        <w:rPr>
          <w:noProof/>
        </w:rPr>
      </w:pPr>
      <w:r>
        <w:rPr>
          <w:noProof/>
        </w:rPr>
        <w:t>Division 1 — Interpretation</w:t>
      </w:r>
    </w:p>
    <w:p>
      <w:pPr>
        <w:pStyle w:val="TOC4"/>
        <w:tabs>
          <w:tab w:val="left" w:pos="1483"/>
        </w:tabs>
        <w:rPr>
          <w:noProof/>
        </w:rPr>
      </w:pPr>
      <w:r>
        <w:rPr>
          <w:noProof/>
        </w:rPr>
        <w:t>101.</w:t>
      </w:r>
      <w:r>
        <w:rPr>
          <w:noProof/>
        </w:rPr>
        <w:tab/>
        <w:t>Definitions</w:t>
      </w:r>
      <w:r>
        <w:rPr>
          <w:noProof/>
        </w:rPr>
        <w:tab/>
      </w:r>
      <w:r>
        <w:rPr>
          <w:noProof/>
        </w:rPr>
        <w:fldChar w:fldCharType="begin"/>
      </w:r>
      <w:r>
        <w:rPr>
          <w:noProof/>
        </w:rPr>
        <w:instrText xml:space="preserve"> PAGEREF _Toc450366252 \h </w:instrText>
      </w:r>
      <w:r>
        <w:rPr>
          <w:noProof/>
        </w:rPr>
      </w:r>
      <w:r>
        <w:rPr>
          <w:noProof/>
        </w:rPr>
        <w:fldChar w:fldCharType="separate"/>
      </w:r>
      <w:r>
        <w:rPr>
          <w:noProof/>
        </w:rPr>
        <w:t>37</w:t>
      </w:r>
      <w:r>
        <w:rPr>
          <w:noProof/>
        </w:rPr>
        <w:fldChar w:fldCharType="end"/>
      </w:r>
    </w:p>
    <w:p>
      <w:pPr>
        <w:pStyle w:val="TOC3"/>
        <w:tabs>
          <w:tab w:val="right" w:pos="7086"/>
        </w:tabs>
        <w:rPr>
          <w:noProof/>
        </w:rPr>
      </w:pPr>
      <w:r>
        <w:rPr>
          <w:noProof/>
        </w:rPr>
        <w:t>Division 2 — Master meters</w:t>
      </w:r>
    </w:p>
    <w:p>
      <w:pPr>
        <w:pStyle w:val="TOC4"/>
        <w:tabs>
          <w:tab w:val="left" w:pos="1483"/>
        </w:tabs>
        <w:rPr>
          <w:noProof/>
        </w:rPr>
      </w:pPr>
      <w:r>
        <w:rPr>
          <w:noProof/>
        </w:rPr>
        <w:t>201.</w:t>
      </w:r>
      <w:r>
        <w:rPr>
          <w:noProof/>
        </w:rPr>
        <w:tab/>
        <w:t>Application</w:t>
      </w:r>
      <w:r>
        <w:rPr>
          <w:noProof/>
        </w:rPr>
        <w:tab/>
      </w:r>
      <w:r>
        <w:rPr>
          <w:noProof/>
        </w:rPr>
        <w:fldChar w:fldCharType="begin"/>
      </w:r>
      <w:r>
        <w:rPr>
          <w:noProof/>
        </w:rPr>
        <w:instrText xml:space="preserve"> PAGEREF _Toc450366253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202.</w:t>
      </w:r>
      <w:r>
        <w:rPr>
          <w:noProof/>
        </w:rPr>
        <w:tab/>
        <w:t>Location of master meters</w:t>
      </w:r>
      <w:r>
        <w:rPr>
          <w:noProof/>
        </w:rPr>
        <w:tab/>
      </w:r>
      <w:r>
        <w:rPr>
          <w:noProof/>
        </w:rPr>
        <w:fldChar w:fldCharType="begin"/>
      </w:r>
      <w:r>
        <w:rPr>
          <w:noProof/>
        </w:rPr>
        <w:instrText xml:space="preserve"> PAGEREF _Toc450366254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203.</w:t>
      </w:r>
      <w:r>
        <w:rPr>
          <w:noProof/>
        </w:rPr>
        <w:tab/>
        <w:t>Position of master meters generally</w:t>
      </w:r>
      <w:r>
        <w:rPr>
          <w:noProof/>
        </w:rPr>
        <w:tab/>
      </w:r>
      <w:r>
        <w:rPr>
          <w:noProof/>
        </w:rPr>
        <w:fldChar w:fldCharType="begin"/>
      </w:r>
      <w:r>
        <w:rPr>
          <w:noProof/>
        </w:rPr>
        <w:instrText xml:space="preserve"> PAGEREF _Toc450366255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204.</w:t>
      </w:r>
      <w:r>
        <w:rPr>
          <w:noProof/>
        </w:rPr>
        <w:tab/>
        <w:t>Prohibited positions</w:t>
      </w:r>
      <w:r>
        <w:rPr>
          <w:noProof/>
        </w:rPr>
        <w:tab/>
      </w:r>
      <w:r>
        <w:rPr>
          <w:noProof/>
        </w:rPr>
        <w:fldChar w:fldCharType="begin"/>
      </w:r>
      <w:r>
        <w:rPr>
          <w:noProof/>
        </w:rPr>
        <w:instrText xml:space="preserve"> PAGEREF _Toc450366256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205.</w:t>
      </w:r>
      <w:r>
        <w:rPr>
          <w:noProof/>
        </w:rPr>
        <w:tab/>
        <w:t>Master meter boxes</w:t>
      </w:r>
      <w:r>
        <w:rPr>
          <w:noProof/>
        </w:rPr>
        <w:tab/>
      </w:r>
      <w:r>
        <w:rPr>
          <w:noProof/>
        </w:rPr>
        <w:fldChar w:fldCharType="begin"/>
      </w:r>
      <w:r>
        <w:rPr>
          <w:noProof/>
        </w:rPr>
        <w:instrText xml:space="preserve"> PAGEREF _Toc450366257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206.</w:t>
      </w:r>
      <w:r>
        <w:rPr>
          <w:noProof/>
        </w:rPr>
        <w:tab/>
        <w:t>Master meter boxes in cavity walls</w:t>
      </w:r>
      <w:r>
        <w:rPr>
          <w:noProof/>
        </w:rPr>
        <w:tab/>
      </w:r>
      <w:r>
        <w:rPr>
          <w:noProof/>
        </w:rPr>
        <w:fldChar w:fldCharType="begin"/>
      </w:r>
      <w:r>
        <w:rPr>
          <w:noProof/>
        </w:rPr>
        <w:instrText xml:space="preserve"> PAGEREF _Toc450366258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207.</w:t>
      </w:r>
      <w:r>
        <w:rPr>
          <w:noProof/>
        </w:rPr>
        <w:tab/>
        <w:t>Prepayment meters</w:t>
      </w:r>
      <w:r>
        <w:rPr>
          <w:noProof/>
        </w:rPr>
        <w:tab/>
      </w:r>
      <w:r>
        <w:rPr>
          <w:noProof/>
        </w:rPr>
        <w:fldChar w:fldCharType="begin"/>
      </w:r>
      <w:r>
        <w:rPr>
          <w:noProof/>
        </w:rPr>
        <w:instrText xml:space="preserve"> PAGEREF _Toc450366259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208.</w:t>
      </w:r>
      <w:r>
        <w:rPr>
          <w:noProof/>
        </w:rPr>
        <w:tab/>
        <w:t>Identification of master meters</w:t>
      </w:r>
      <w:r>
        <w:rPr>
          <w:noProof/>
        </w:rPr>
        <w:tab/>
      </w:r>
      <w:r>
        <w:rPr>
          <w:noProof/>
        </w:rPr>
        <w:fldChar w:fldCharType="begin"/>
      </w:r>
      <w:r>
        <w:rPr>
          <w:noProof/>
        </w:rPr>
        <w:instrText xml:space="preserve"> PAGEREF _Toc450366260 \h </w:instrText>
      </w:r>
      <w:r>
        <w:rPr>
          <w:noProof/>
        </w:rPr>
      </w:r>
      <w:r>
        <w:rPr>
          <w:noProof/>
        </w:rPr>
        <w:fldChar w:fldCharType="separate"/>
      </w:r>
      <w:r>
        <w:rPr>
          <w:noProof/>
        </w:rPr>
        <w:t>39</w:t>
      </w:r>
      <w:r>
        <w:rPr>
          <w:noProof/>
        </w:rPr>
        <w:fldChar w:fldCharType="end"/>
      </w:r>
    </w:p>
    <w:p>
      <w:pPr>
        <w:pStyle w:val="TOC3"/>
        <w:tabs>
          <w:tab w:val="right" w:pos="7086"/>
        </w:tabs>
        <w:rPr>
          <w:noProof/>
        </w:rPr>
      </w:pPr>
      <w:r>
        <w:rPr>
          <w:noProof/>
        </w:rPr>
        <w:t>Division 3 — LPG cylinders and tanks</w:t>
      </w:r>
    </w:p>
    <w:p>
      <w:pPr>
        <w:pStyle w:val="TOC4"/>
        <w:tabs>
          <w:tab w:val="left" w:pos="1483"/>
        </w:tabs>
        <w:rPr>
          <w:noProof/>
        </w:rPr>
      </w:pPr>
      <w:r>
        <w:rPr>
          <w:noProof/>
        </w:rPr>
        <w:t>301.</w:t>
      </w:r>
      <w:r>
        <w:rPr>
          <w:noProof/>
        </w:rPr>
        <w:tab/>
        <w:t>Location of cylinders, tanks and regulators</w:t>
      </w:r>
      <w:r>
        <w:rPr>
          <w:noProof/>
        </w:rPr>
        <w:tab/>
      </w:r>
      <w:r>
        <w:rPr>
          <w:noProof/>
        </w:rPr>
        <w:fldChar w:fldCharType="begin"/>
      </w:r>
      <w:r>
        <w:rPr>
          <w:noProof/>
        </w:rPr>
        <w:instrText xml:space="preserve"> PAGEREF _Toc450366261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302.</w:t>
      </w:r>
      <w:r>
        <w:rPr>
          <w:noProof/>
        </w:rPr>
        <w:tab/>
        <w:t>Housings</w:t>
      </w:r>
      <w:r>
        <w:rPr>
          <w:noProof/>
        </w:rPr>
        <w:tab/>
      </w:r>
      <w:r>
        <w:rPr>
          <w:noProof/>
        </w:rPr>
        <w:fldChar w:fldCharType="begin"/>
      </w:r>
      <w:r>
        <w:rPr>
          <w:noProof/>
        </w:rPr>
        <w:instrText xml:space="preserve"> PAGEREF _Toc450366262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303.</w:t>
      </w:r>
      <w:r>
        <w:rPr>
          <w:noProof/>
        </w:rPr>
        <w:tab/>
        <w:t>Pressure relief valve outlets</w:t>
      </w:r>
      <w:r>
        <w:rPr>
          <w:noProof/>
        </w:rPr>
        <w:tab/>
      </w:r>
      <w:r>
        <w:rPr>
          <w:noProof/>
        </w:rPr>
        <w:fldChar w:fldCharType="begin"/>
      </w:r>
      <w:r>
        <w:rPr>
          <w:noProof/>
        </w:rPr>
        <w:instrText xml:space="preserve"> PAGEREF _Toc450366263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304.</w:t>
      </w:r>
      <w:r>
        <w:rPr>
          <w:noProof/>
        </w:rPr>
        <w:tab/>
        <w:t>Appliances not to be connected to gas supply for mobile engines</w:t>
      </w:r>
      <w:r>
        <w:rPr>
          <w:noProof/>
        </w:rPr>
        <w:tab/>
      </w:r>
      <w:r>
        <w:rPr>
          <w:noProof/>
        </w:rPr>
        <w:fldChar w:fldCharType="begin"/>
      </w:r>
      <w:r>
        <w:rPr>
          <w:noProof/>
        </w:rPr>
        <w:instrText xml:space="preserve"> PAGEREF _Toc450366264 \h </w:instrText>
      </w:r>
      <w:r>
        <w:rPr>
          <w:noProof/>
        </w:rPr>
      </w:r>
      <w:r>
        <w:rPr>
          <w:noProof/>
        </w:rPr>
        <w:fldChar w:fldCharType="separate"/>
      </w:r>
      <w:r>
        <w:rPr>
          <w:noProof/>
        </w:rPr>
        <w:t>40</w:t>
      </w:r>
      <w:r>
        <w:rPr>
          <w:noProof/>
        </w:rPr>
        <w:fldChar w:fldCharType="end"/>
      </w:r>
    </w:p>
    <w:p>
      <w:pPr>
        <w:pStyle w:val="TOC3"/>
        <w:tabs>
          <w:tab w:val="right" w:pos="7086"/>
        </w:tabs>
        <w:rPr>
          <w:noProof/>
        </w:rPr>
      </w:pPr>
      <w:r>
        <w:rPr>
          <w:noProof/>
        </w:rPr>
        <w:t>Division 4 — Fitting lines and fittings</w:t>
      </w:r>
    </w:p>
    <w:p>
      <w:pPr>
        <w:pStyle w:val="TOC4"/>
        <w:tabs>
          <w:tab w:val="left" w:pos="1483"/>
        </w:tabs>
        <w:rPr>
          <w:noProof/>
        </w:rPr>
      </w:pPr>
      <w:r>
        <w:rPr>
          <w:noProof/>
        </w:rPr>
        <w:t>401.</w:t>
      </w:r>
      <w:r>
        <w:rPr>
          <w:noProof/>
        </w:rPr>
        <w:tab/>
        <w:t>Fitting lines and fittings</w:t>
      </w:r>
      <w:r>
        <w:rPr>
          <w:noProof/>
        </w:rPr>
        <w:tab/>
      </w:r>
      <w:r>
        <w:rPr>
          <w:noProof/>
        </w:rPr>
        <w:fldChar w:fldCharType="begin"/>
      </w:r>
      <w:r>
        <w:rPr>
          <w:noProof/>
        </w:rPr>
        <w:instrText xml:space="preserve"> PAGEREF _Toc450366265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402.</w:t>
      </w:r>
      <w:r>
        <w:rPr>
          <w:noProof/>
        </w:rPr>
        <w:tab/>
        <w:t>PVC fitting lines</w:t>
      </w:r>
      <w:r>
        <w:rPr>
          <w:noProof/>
        </w:rPr>
        <w:tab/>
      </w:r>
      <w:r>
        <w:rPr>
          <w:noProof/>
        </w:rPr>
        <w:fldChar w:fldCharType="begin"/>
      </w:r>
      <w:r>
        <w:rPr>
          <w:noProof/>
        </w:rPr>
        <w:instrText xml:space="preserve"> PAGEREF _Toc450366266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403.</w:t>
      </w:r>
      <w:r>
        <w:rPr>
          <w:noProof/>
        </w:rPr>
        <w:tab/>
        <w:t>Outlet not in use to be sealed</w:t>
      </w:r>
      <w:r>
        <w:rPr>
          <w:noProof/>
        </w:rPr>
        <w:tab/>
      </w:r>
      <w:r>
        <w:rPr>
          <w:noProof/>
        </w:rPr>
        <w:fldChar w:fldCharType="begin"/>
      </w:r>
      <w:r>
        <w:rPr>
          <w:noProof/>
        </w:rPr>
        <w:instrText xml:space="preserve"> PAGEREF _Toc450366267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404.</w:t>
      </w:r>
      <w:r>
        <w:rPr>
          <w:noProof/>
        </w:rPr>
        <w:tab/>
        <w:t>Ventilating or air ducts</w:t>
      </w:r>
      <w:r>
        <w:rPr>
          <w:noProof/>
        </w:rPr>
        <w:tab/>
      </w:r>
      <w:r>
        <w:rPr>
          <w:noProof/>
        </w:rPr>
        <w:fldChar w:fldCharType="begin"/>
      </w:r>
      <w:r>
        <w:rPr>
          <w:noProof/>
        </w:rPr>
        <w:instrText xml:space="preserve"> PAGEREF _Toc450366268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405.</w:t>
      </w:r>
      <w:r>
        <w:rPr>
          <w:noProof/>
        </w:rPr>
        <w:tab/>
        <w:t>Pressure holding capability of consumer’s gas installations</w:t>
      </w:r>
      <w:r>
        <w:rPr>
          <w:noProof/>
        </w:rPr>
        <w:tab/>
      </w:r>
      <w:r>
        <w:rPr>
          <w:noProof/>
        </w:rPr>
        <w:fldChar w:fldCharType="begin"/>
      </w:r>
      <w:r>
        <w:rPr>
          <w:noProof/>
        </w:rPr>
        <w:instrText xml:space="preserve"> PAGEREF _Toc450366269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406.</w:t>
      </w:r>
      <w:r>
        <w:rPr>
          <w:noProof/>
        </w:rPr>
        <w:tab/>
        <w:t>Protection from excessive pressure</w:t>
      </w:r>
      <w:r>
        <w:rPr>
          <w:noProof/>
        </w:rPr>
        <w:tab/>
      </w:r>
      <w:r>
        <w:rPr>
          <w:noProof/>
        </w:rPr>
        <w:fldChar w:fldCharType="begin"/>
      </w:r>
      <w:r>
        <w:rPr>
          <w:noProof/>
        </w:rPr>
        <w:instrText xml:space="preserve"> PAGEREF _Toc450366270 \h </w:instrText>
      </w:r>
      <w:r>
        <w:rPr>
          <w:noProof/>
        </w:rPr>
      </w:r>
      <w:r>
        <w:rPr>
          <w:noProof/>
        </w:rPr>
        <w:fldChar w:fldCharType="separate"/>
      </w:r>
      <w:r>
        <w:rPr>
          <w:noProof/>
        </w:rPr>
        <w:t>41</w:t>
      </w:r>
      <w:r>
        <w:rPr>
          <w:noProof/>
        </w:rPr>
        <w:fldChar w:fldCharType="end"/>
      </w:r>
    </w:p>
    <w:p>
      <w:pPr>
        <w:pStyle w:val="TOC3"/>
        <w:tabs>
          <w:tab w:val="right" w:pos="7086"/>
        </w:tabs>
        <w:rPr>
          <w:noProof/>
        </w:rPr>
      </w:pPr>
      <w:r>
        <w:rPr>
          <w:noProof/>
        </w:rPr>
        <w:t>Division 5 — Appliances generally</w:t>
      </w:r>
    </w:p>
    <w:p>
      <w:pPr>
        <w:pStyle w:val="TOC4"/>
        <w:tabs>
          <w:tab w:val="left" w:pos="1483"/>
        </w:tabs>
        <w:rPr>
          <w:noProof/>
        </w:rPr>
      </w:pPr>
      <w:r>
        <w:rPr>
          <w:noProof/>
        </w:rPr>
        <w:t>501.</w:t>
      </w:r>
      <w:r>
        <w:rPr>
          <w:noProof/>
        </w:rPr>
        <w:tab/>
        <w:t>Approval of appliances</w:t>
      </w:r>
      <w:r>
        <w:rPr>
          <w:noProof/>
        </w:rPr>
        <w:tab/>
      </w:r>
      <w:r>
        <w:rPr>
          <w:noProof/>
        </w:rPr>
        <w:fldChar w:fldCharType="begin"/>
      </w:r>
      <w:r>
        <w:rPr>
          <w:noProof/>
        </w:rPr>
        <w:instrText xml:space="preserve"> PAGEREF _Toc450366271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502.</w:t>
      </w:r>
      <w:r>
        <w:rPr>
          <w:noProof/>
        </w:rPr>
        <w:tab/>
        <w:t>Type of gas</w:t>
      </w:r>
      <w:r>
        <w:rPr>
          <w:noProof/>
        </w:rPr>
        <w:tab/>
      </w:r>
      <w:r>
        <w:rPr>
          <w:noProof/>
        </w:rPr>
        <w:fldChar w:fldCharType="begin"/>
      </w:r>
      <w:r>
        <w:rPr>
          <w:noProof/>
        </w:rPr>
        <w:instrText xml:space="preserve"> PAGEREF _Toc450366272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503.</w:t>
      </w:r>
      <w:r>
        <w:rPr>
          <w:noProof/>
        </w:rPr>
        <w:tab/>
        <w:t>Avoidance of hazards</w:t>
      </w:r>
      <w:r>
        <w:rPr>
          <w:noProof/>
        </w:rPr>
        <w:tab/>
      </w:r>
      <w:r>
        <w:rPr>
          <w:noProof/>
        </w:rPr>
        <w:fldChar w:fldCharType="begin"/>
      </w:r>
      <w:r>
        <w:rPr>
          <w:noProof/>
        </w:rPr>
        <w:instrText xml:space="preserve"> PAGEREF _Toc450366273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504.</w:t>
      </w:r>
      <w:r>
        <w:rPr>
          <w:noProof/>
        </w:rPr>
        <w:tab/>
        <w:t>Restrictions as to certain rooms</w:t>
      </w:r>
      <w:r>
        <w:rPr>
          <w:noProof/>
        </w:rPr>
        <w:tab/>
      </w:r>
      <w:r>
        <w:rPr>
          <w:noProof/>
        </w:rPr>
        <w:fldChar w:fldCharType="begin"/>
      </w:r>
      <w:r>
        <w:rPr>
          <w:noProof/>
        </w:rPr>
        <w:instrText xml:space="preserve"> PAGEREF _Toc450366274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505.</w:t>
      </w:r>
      <w:r>
        <w:rPr>
          <w:noProof/>
        </w:rPr>
        <w:tab/>
        <w:t>Safety devices</w:t>
      </w:r>
      <w:r>
        <w:rPr>
          <w:noProof/>
        </w:rPr>
        <w:tab/>
      </w:r>
      <w:r>
        <w:rPr>
          <w:noProof/>
        </w:rPr>
        <w:fldChar w:fldCharType="begin"/>
      </w:r>
      <w:r>
        <w:rPr>
          <w:noProof/>
        </w:rPr>
        <w:instrText xml:space="preserve"> PAGEREF _Toc450366275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506.</w:t>
      </w:r>
      <w:r>
        <w:rPr>
          <w:noProof/>
        </w:rPr>
        <w:tab/>
        <w:t>Flues</w:t>
      </w:r>
      <w:r>
        <w:rPr>
          <w:noProof/>
        </w:rPr>
        <w:tab/>
      </w:r>
      <w:r>
        <w:rPr>
          <w:noProof/>
        </w:rPr>
        <w:fldChar w:fldCharType="begin"/>
      </w:r>
      <w:r>
        <w:rPr>
          <w:noProof/>
        </w:rPr>
        <w:instrText xml:space="preserve"> PAGEREF _Toc450366276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snapToGrid w:val="0"/>
        </w:rPr>
        <w:t>507.</w:t>
      </w:r>
      <w:r>
        <w:rPr>
          <w:noProof/>
        </w:rPr>
        <w:tab/>
        <w:t>Hoods or canopies</w:t>
      </w:r>
      <w:r>
        <w:rPr>
          <w:noProof/>
        </w:rPr>
        <w:tab/>
      </w:r>
      <w:r>
        <w:rPr>
          <w:noProof/>
        </w:rPr>
        <w:fldChar w:fldCharType="begin"/>
      </w:r>
      <w:r>
        <w:rPr>
          <w:noProof/>
        </w:rPr>
        <w:instrText xml:space="preserve"> PAGEREF _Toc450366277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snapToGrid w:val="0"/>
        </w:rPr>
        <w:t>508.</w:t>
      </w:r>
      <w:r>
        <w:rPr>
          <w:noProof/>
        </w:rPr>
        <w:tab/>
        <w:t>Electrical</w:t>
      </w:r>
      <w:r>
        <w:rPr>
          <w:noProof/>
        </w:rPr>
        <w:tab/>
      </w:r>
      <w:r>
        <w:rPr>
          <w:noProof/>
        </w:rPr>
        <w:fldChar w:fldCharType="begin"/>
      </w:r>
      <w:r>
        <w:rPr>
          <w:noProof/>
        </w:rPr>
        <w:instrText xml:space="preserve"> PAGEREF _Toc450366278 \h </w:instrText>
      </w:r>
      <w:r>
        <w:rPr>
          <w:noProof/>
        </w:rPr>
      </w:r>
      <w:r>
        <w:rPr>
          <w:noProof/>
        </w:rPr>
        <w:fldChar w:fldCharType="separate"/>
      </w:r>
      <w:r>
        <w:rPr>
          <w:noProof/>
        </w:rPr>
        <w:t>45</w:t>
      </w:r>
      <w:r>
        <w:rPr>
          <w:noProof/>
        </w:rPr>
        <w:fldChar w:fldCharType="end"/>
      </w:r>
    </w:p>
    <w:p>
      <w:pPr>
        <w:pStyle w:val="TOC3"/>
        <w:tabs>
          <w:tab w:val="right" w:pos="7086"/>
        </w:tabs>
        <w:rPr>
          <w:noProof/>
        </w:rPr>
      </w:pPr>
      <w:r>
        <w:rPr>
          <w:noProof/>
        </w:rPr>
        <w:t>Division 6</w:t>
      </w:r>
      <w:r>
        <w:rPr>
          <w:noProof/>
          <w:snapToGrid w:val="0"/>
        </w:rPr>
        <w:t xml:space="preserve"> — </w:t>
      </w:r>
      <w:r>
        <w:rPr>
          <w:noProof/>
        </w:rPr>
        <w:t>Additional</w:t>
      </w:r>
      <w:r>
        <w:rPr>
          <w:noProof/>
          <w:snapToGrid w:val="0"/>
        </w:rPr>
        <w:t xml:space="preserve"> requirements for particular appliances</w:t>
      </w:r>
    </w:p>
    <w:p>
      <w:pPr>
        <w:pStyle w:val="TOC4"/>
        <w:tabs>
          <w:tab w:val="left" w:pos="1483"/>
        </w:tabs>
        <w:rPr>
          <w:noProof/>
        </w:rPr>
      </w:pPr>
      <w:r>
        <w:rPr>
          <w:noProof/>
          <w:snapToGrid w:val="0"/>
        </w:rPr>
        <w:t>601.</w:t>
      </w:r>
      <w:r>
        <w:rPr>
          <w:noProof/>
        </w:rPr>
        <w:tab/>
      </w:r>
      <w:r>
        <w:rPr>
          <w:noProof/>
          <w:snapToGrid w:val="0"/>
        </w:rPr>
        <w:t>Cooking appliances</w:t>
      </w:r>
      <w:r>
        <w:rPr>
          <w:noProof/>
        </w:rPr>
        <w:tab/>
      </w:r>
      <w:r>
        <w:rPr>
          <w:noProof/>
        </w:rPr>
        <w:fldChar w:fldCharType="begin"/>
      </w:r>
      <w:r>
        <w:rPr>
          <w:noProof/>
        </w:rPr>
        <w:instrText xml:space="preserve"> PAGEREF _Toc450366279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snapToGrid w:val="0"/>
        </w:rPr>
        <w:t>602.</w:t>
      </w:r>
      <w:r>
        <w:rPr>
          <w:noProof/>
        </w:rPr>
        <w:tab/>
      </w:r>
      <w:r>
        <w:rPr>
          <w:noProof/>
          <w:snapToGrid w:val="0"/>
        </w:rPr>
        <w:t>Water heating appliances</w:t>
      </w:r>
      <w:r>
        <w:rPr>
          <w:noProof/>
        </w:rPr>
        <w:tab/>
      </w:r>
      <w:r>
        <w:rPr>
          <w:noProof/>
        </w:rPr>
        <w:fldChar w:fldCharType="begin"/>
      </w:r>
      <w:r>
        <w:rPr>
          <w:noProof/>
        </w:rPr>
        <w:instrText xml:space="preserve"> PAGEREF _Toc450366280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snapToGrid w:val="0"/>
        </w:rPr>
        <w:t>603.</w:t>
      </w:r>
      <w:r>
        <w:rPr>
          <w:noProof/>
        </w:rPr>
        <w:tab/>
      </w:r>
      <w:r>
        <w:rPr>
          <w:noProof/>
          <w:snapToGrid w:val="0"/>
        </w:rPr>
        <w:t>Space heating appliances</w:t>
      </w:r>
      <w:r>
        <w:rPr>
          <w:noProof/>
        </w:rPr>
        <w:tab/>
      </w:r>
      <w:r>
        <w:rPr>
          <w:noProof/>
        </w:rPr>
        <w:fldChar w:fldCharType="begin"/>
      </w:r>
      <w:r>
        <w:rPr>
          <w:noProof/>
        </w:rPr>
        <w:instrText xml:space="preserve"> PAGEREF _Toc450366281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snapToGrid w:val="0"/>
        </w:rPr>
        <w:t>604.</w:t>
      </w:r>
      <w:r>
        <w:rPr>
          <w:noProof/>
        </w:rPr>
        <w:tab/>
      </w:r>
      <w:r>
        <w:rPr>
          <w:noProof/>
          <w:snapToGrid w:val="0"/>
        </w:rPr>
        <w:t>Swimming pool heaters</w:t>
      </w:r>
      <w:r>
        <w:rPr>
          <w:noProof/>
        </w:rPr>
        <w:tab/>
      </w:r>
      <w:r>
        <w:rPr>
          <w:noProof/>
        </w:rPr>
        <w:fldChar w:fldCharType="begin"/>
      </w:r>
      <w:r>
        <w:rPr>
          <w:noProof/>
        </w:rPr>
        <w:instrText xml:space="preserve"> PAGEREF _Toc450366282 \h </w:instrText>
      </w:r>
      <w:r>
        <w:rPr>
          <w:noProof/>
        </w:rPr>
      </w:r>
      <w:r>
        <w:rPr>
          <w:noProof/>
        </w:rPr>
        <w:fldChar w:fldCharType="separate"/>
      </w:r>
      <w:r>
        <w:rPr>
          <w:noProof/>
        </w:rPr>
        <w:t>47</w:t>
      </w:r>
      <w:r>
        <w:rPr>
          <w:noProof/>
        </w:rPr>
        <w:fldChar w:fldCharType="end"/>
      </w:r>
    </w:p>
    <w:p>
      <w:pPr>
        <w:pStyle w:val="TOC3"/>
        <w:tabs>
          <w:tab w:val="right" w:pos="7086"/>
        </w:tabs>
        <w:rPr>
          <w:noProof/>
        </w:rPr>
      </w:pPr>
      <w:r>
        <w:rPr>
          <w:noProof/>
        </w:rPr>
        <w:t>Division 7</w:t>
      </w:r>
      <w:r>
        <w:rPr>
          <w:noProof/>
          <w:snapToGrid w:val="0"/>
        </w:rPr>
        <w:t xml:space="preserve"> — Caravans</w:t>
      </w:r>
    </w:p>
    <w:p>
      <w:pPr>
        <w:pStyle w:val="TOC4"/>
        <w:tabs>
          <w:tab w:val="left" w:pos="1483"/>
        </w:tabs>
        <w:rPr>
          <w:noProof/>
        </w:rPr>
      </w:pPr>
      <w:r>
        <w:rPr>
          <w:noProof/>
          <w:snapToGrid w:val="0"/>
        </w:rPr>
        <w:t>701.</w:t>
      </w:r>
      <w:r>
        <w:rPr>
          <w:noProof/>
        </w:rPr>
        <w:tab/>
      </w:r>
      <w:r>
        <w:rPr>
          <w:noProof/>
          <w:snapToGrid w:val="0"/>
        </w:rPr>
        <w:t>Application</w:t>
      </w:r>
      <w:r>
        <w:rPr>
          <w:noProof/>
        </w:rPr>
        <w:tab/>
      </w:r>
      <w:r>
        <w:rPr>
          <w:noProof/>
        </w:rPr>
        <w:fldChar w:fldCharType="begin"/>
      </w:r>
      <w:r>
        <w:rPr>
          <w:noProof/>
        </w:rPr>
        <w:instrText xml:space="preserve"> PAGEREF _Toc450366283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snapToGrid w:val="0"/>
        </w:rPr>
        <w:t>702.</w:t>
      </w:r>
      <w:r>
        <w:rPr>
          <w:noProof/>
        </w:rPr>
        <w:tab/>
      </w:r>
      <w:r>
        <w:rPr>
          <w:noProof/>
          <w:snapToGrid w:val="0"/>
        </w:rPr>
        <w:t>Cylinders and associated equipment</w:t>
      </w:r>
      <w:r>
        <w:rPr>
          <w:noProof/>
        </w:rPr>
        <w:tab/>
      </w:r>
      <w:r>
        <w:rPr>
          <w:noProof/>
        </w:rPr>
        <w:fldChar w:fldCharType="begin"/>
      </w:r>
      <w:r>
        <w:rPr>
          <w:noProof/>
        </w:rPr>
        <w:instrText xml:space="preserve"> PAGEREF _Toc450366284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snapToGrid w:val="0"/>
        </w:rPr>
        <w:t>703.</w:t>
      </w:r>
      <w:r>
        <w:rPr>
          <w:noProof/>
        </w:rPr>
        <w:tab/>
      </w:r>
      <w:r>
        <w:rPr>
          <w:noProof/>
          <w:snapToGrid w:val="0"/>
        </w:rPr>
        <w:t>Location of appliances</w:t>
      </w:r>
      <w:r>
        <w:rPr>
          <w:noProof/>
        </w:rPr>
        <w:tab/>
      </w:r>
      <w:r>
        <w:rPr>
          <w:noProof/>
        </w:rPr>
        <w:fldChar w:fldCharType="begin"/>
      </w:r>
      <w:r>
        <w:rPr>
          <w:noProof/>
        </w:rPr>
        <w:instrText xml:space="preserve"> PAGEREF _Toc450366285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snapToGrid w:val="0"/>
        </w:rPr>
        <w:t>704.</w:t>
      </w:r>
      <w:r>
        <w:rPr>
          <w:noProof/>
        </w:rPr>
        <w:tab/>
      </w:r>
      <w:r>
        <w:rPr>
          <w:noProof/>
          <w:snapToGrid w:val="0"/>
        </w:rPr>
        <w:t>Pressure</w:t>
      </w:r>
      <w:r>
        <w:rPr>
          <w:noProof/>
        </w:rPr>
        <w:tab/>
      </w:r>
      <w:r>
        <w:rPr>
          <w:noProof/>
        </w:rPr>
        <w:fldChar w:fldCharType="begin"/>
      </w:r>
      <w:r>
        <w:rPr>
          <w:noProof/>
        </w:rPr>
        <w:instrText xml:space="preserve"> PAGEREF _Toc450366286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snapToGrid w:val="0"/>
        </w:rPr>
        <w:t>705.</w:t>
      </w:r>
      <w:r>
        <w:rPr>
          <w:noProof/>
        </w:rPr>
        <w:tab/>
      </w:r>
      <w:r>
        <w:rPr>
          <w:noProof/>
          <w:snapToGrid w:val="0"/>
        </w:rPr>
        <w:t>Warnings</w:t>
      </w:r>
      <w:r>
        <w:rPr>
          <w:noProof/>
        </w:rPr>
        <w:tab/>
      </w:r>
      <w:r>
        <w:rPr>
          <w:noProof/>
        </w:rPr>
        <w:fldChar w:fldCharType="begin"/>
      </w:r>
      <w:r>
        <w:rPr>
          <w:noProof/>
        </w:rPr>
        <w:instrText xml:space="preserve"> PAGEREF _Toc450366287 \h </w:instrText>
      </w:r>
      <w:r>
        <w:rPr>
          <w:noProof/>
        </w:rPr>
      </w:r>
      <w:r>
        <w:rPr>
          <w:noProof/>
        </w:rPr>
        <w:fldChar w:fldCharType="separate"/>
      </w:r>
      <w:r>
        <w:rPr>
          <w:noProof/>
        </w:rPr>
        <w:t>49</w:t>
      </w:r>
      <w:r>
        <w:rPr>
          <w:noProof/>
        </w:rPr>
        <w:fldChar w:fldCharType="end"/>
      </w:r>
    </w:p>
    <w:p>
      <w:pPr>
        <w:pStyle w:val="TOC3"/>
        <w:tabs>
          <w:tab w:val="right" w:pos="7086"/>
        </w:tabs>
        <w:rPr>
          <w:noProof/>
        </w:rPr>
      </w:pPr>
      <w:r>
        <w:rPr>
          <w:noProof/>
        </w:rPr>
        <w:t>Division 8</w:t>
      </w:r>
      <w:r>
        <w:rPr>
          <w:noProof/>
          <w:snapToGrid w:val="0"/>
        </w:rPr>
        <w:t xml:space="preserve"> — Marine craft</w:t>
      </w:r>
    </w:p>
    <w:p>
      <w:pPr>
        <w:pStyle w:val="TOC4"/>
        <w:tabs>
          <w:tab w:val="left" w:pos="1483"/>
        </w:tabs>
        <w:rPr>
          <w:noProof/>
        </w:rPr>
      </w:pPr>
      <w:r>
        <w:rPr>
          <w:noProof/>
          <w:snapToGrid w:val="0"/>
        </w:rPr>
        <w:t>801.</w:t>
      </w:r>
      <w:r>
        <w:rPr>
          <w:noProof/>
        </w:rPr>
        <w:tab/>
      </w:r>
      <w:r>
        <w:rPr>
          <w:noProof/>
          <w:snapToGrid w:val="0"/>
        </w:rPr>
        <w:t>Application</w:t>
      </w:r>
      <w:r>
        <w:rPr>
          <w:noProof/>
        </w:rPr>
        <w:tab/>
      </w:r>
      <w:r>
        <w:rPr>
          <w:noProof/>
        </w:rPr>
        <w:fldChar w:fldCharType="begin"/>
      </w:r>
      <w:r>
        <w:rPr>
          <w:noProof/>
        </w:rPr>
        <w:instrText xml:space="preserve"> PAGEREF _Toc450366288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snapToGrid w:val="0"/>
        </w:rPr>
        <w:t>802.</w:t>
      </w:r>
      <w:r>
        <w:rPr>
          <w:noProof/>
        </w:rPr>
        <w:tab/>
      </w:r>
      <w:r>
        <w:rPr>
          <w:noProof/>
          <w:snapToGrid w:val="0"/>
        </w:rPr>
        <w:t>Accessibility</w:t>
      </w:r>
      <w:r>
        <w:rPr>
          <w:noProof/>
        </w:rPr>
        <w:tab/>
      </w:r>
      <w:r>
        <w:rPr>
          <w:noProof/>
        </w:rPr>
        <w:fldChar w:fldCharType="begin"/>
      </w:r>
      <w:r>
        <w:rPr>
          <w:noProof/>
        </w:rPr>
        <w:instrText xml:space="preserve"> PAGEREF _Toc450366289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snapToGrid w:val="0"/>
        </w:rPr>
        <w:t>803.</w:t>
      </w:r>
      <w:r>
        <w:rPr>
          <w:noProof/>
        </w:rPr>
        <w:tab/>
      </w:r>
      <w:r>
        <w:rPr>
          <w:noProof/>
          <w:snapToGrid w:val="0"/>
        </w:rPr>
        <w:t>Cylinders and associated equipment</w:t>
      </w:r>
      <w:r>
        <w:rPr>
          <w:noProof/>
        </w:rPr>
        <w:tab/>
      </w:r>
      <w:r>
        <w:rPr>
          <w:noProof/>
        </w:rPr>
        <w:fldChar w:fldCharType="begin"/>
      </w:r>
      <w:r>
        <w:rPr>
          <w:noProof/>
        </w:rPr>
        <w:instrText xml:space="preserve"> PAGEREF _Toc450366290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snapToGrid w:val="0"/>
        </w:rPr>
        <w:t>804.</w:t>
      </w:r>
      <w:r>
        <w:rPr>
          <w:noProof/>
        </w:rPr>
        <w:tab/>
      </w:r>
      <w:r>
        <w:rPr>
          <w:noProof/>
          <w:snapToGrid w:val="0"/>
        </w:rPr>
        <w:t>Restricted spaces</w:t>
      </w:r>
      <w:r>
        <w:rPr>
          <w:noProof/>
        </w:rPr>
        <w:tab/>
      </w:r>
      <w:r>
        <w:rPr>
          <w:noProof/>
        </w:rPr>
        <w:fldChar w:fldCharType="begin"/>
      </w:r>
      <w:r>
        <w:rPr>
          <w:noProof/>
        </w:rPr>
        <w:instrText xml:space="preserve"> PAGEREF _Toc450366291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snapToGrid w:val="0"/>
        </w:rPr>
        <w:t>805.</w:t>
      </w:r>
      <w:r>
        <w:rPr>
          <w:noProof/>
        </w:rPr>
        <w:tab/>
      </w:r>
      <w:r>
        <w:rPr>
          <w:noProof/>
          <w:snapToGrid w:val="0"/>
        </w:rPr>
        <w:t>Fitting lines</w:t>
      </w:r>
      <w:r>
        <w:rPr>
          <w:noProof/>
        </w:rPr>
        <w:tab/>
      </w:r>
      <w:r>
        <w:rPr>
          <w:noProof/>
        </w:rPr>
        <w:fldChar w:fldCharType="begin"/>
      </w:r>
      <w:r>
        <w:rPr>
          <w:noProof/>
        </w:rPr>
        <w:instrText xml:space="preserve"> PAGEREF _Toc450366292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snapToGrid w:val="0"/>
        </w:rPr>
        <w:t>806.</w:t>
      </w:r>
      <w:r>
        <w:rPr>
          <w:noProof/>
        </w:rPr>
        <w:tab/>
      </w:r>
      <w:r>
        <w:rPr>
          <w:noProof/>
          <w:snapToGrid w:val="0"/>
        </w:rPr>
        <w:t>Location of appliances</w:t>
      </w:r>
      <w:r>
        <w:rPr>
          <w:noProof/>
        </w:rPr>
        <w:tab/>
      </w:r>
      <w:r>
        <w:rPr>
          <w:noProof/>
        </w:rPr>
        <w:fldChar w:fldCharType="begin"/>
      </w:r>
      <w:r>
        <w:rPr>
          <w:noProof/>
        </w:rPr>
        <w:instrText xml:space="preserve"> PAGEREF _Toc450366293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snapToGrid w:val="0"/>
        </w:rPr>
        <w:t>807.</w:t>
      </w:r>
      <w:r>
        <w:rPr>
          <w:noProof/>
        </w:rPr>
        <w:tab/>
      </w:r>
      <w:r>
        <w:rPr>
          <w:noProof/>
          <w:snapToGrid w:val="0"/>
        </w:rPr>
        <w:t>Pressure</w:t>
      </w:r>
      <w:r>
        <w:rPr>
          <w:noProof/>
        </w:rPr>
        <w:tab/>
      </w:r>
      <w:r>
        <w:rPr>
          <w:noProof/>
        </w:rPr>
        <w:fldChar w:fldCharType="begin"/>
      </w:r>
      <w:r>
        <w:rPr>
          <w:noProof/>
        </w:rPr>
        <w:instrText xml:space="preserve"> PAGEREF _Toc450366294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snapToGrid w:val="0"/>
        </w:rPr>
        <w:t>808.</w:t>
      </w:r>
      <w:r>
        <w:rPr>
          <w:noProof/>
        </w:rPr>
        <w:tab/>
      </w:r>
      <w:r>
        <w:rPr>
          <w:noProof/>
          <w:snapToGrid w:val="0"/>
        </w:rPr>
        <w:t>Ventilation</w:t>
      </w:r>
      <w:r>
        <w:rPr>
          <w:noProof/>
        </w:rPr>
        <w:tab/>
      </w:r>
      <w:r>
        <w:rPr>
          <w:noProof/>
        </w:rPr>
        <w:fldChar w:fldCharType="begin"/>
      </w:r>
      <w:r>
        <w:rPr>
          <w:noProof/>
        </w:rPr>
        <w:instrText xml:space="preserve"> PAGEREF _Toc450366295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snapToGrid w:val="0"/>
        </w:rPr>
        <w:t>809.</w:t>
      </w:r>
      <w:r>
        <w:rPr>
          <w:noProof/>
        </w:rPr>
        <w:tab/>
      </w:r>
      <w:r>
        <w:rPr>
          <w:noProof/>
          <w:snapToGrid w:val="0"/>
        </w:rPr>
        <w:t>Flues</w:t>
      </w:r>
      <w:r>
        <w:rPr>
          <w:noProof/>
        </w:rPr>
        <w:tab/>
      </w:r>
      <w:r>
        <w:rPr>
          <w:noProof/>
        </w:rPr>
        <w:fldChar w:fldCharType="begin"/>
      </w:r>
      <w:r>
        <w:rPr>
          <w:noProof/>
        </w:rPr>
        <w:instrText xml:space="preserve"> PAGEREF _Toc450366296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snapToGrid w:val="0"/>
        </w:rPr>
        <w:t>810.</w:t>
      </w:r>
      <w:r>
        <w:rPr>
          <w:noProof/>
        </w:rPr>
        <w:tab/>
      </w:r>
      <w:r>
        <w:rPr>
          <w:noProof/>
          <w:snapToGrid w:val="0"/>
        </w:rPr>
        <w:t>Water or room heaters</w:t>
      </w:r>
      <w:r>
        <w:rPr>
          <w:noProof/>
        </w:rPr>
        <w:tab/>
      </w:r>
      <w:r>
        <w:rPr>
          <w:noProof/>
        </w:rPr>
        <w:fldChar w:fldCharType="begin"/>
      </w:r>
      <w:r>
        <w:rPr>
          <w:noProof/>
        </w:rPr>
        <w:instrText xml:space="preserve"> PAGEREF _Toc450366297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snapToGrid w:val="0"/>
        </w:rPr>
        <w:t>811.</w:t>
      </w:r>
      <w:r>
        <w:rPr>
          <w:noProof/>
        </w:rPr>
        <w:tab/>
      </w:r>
      <w:r>
        <w:rPr>
          <w:noProof/>
          <w:snapToGrid w:val="0"/>
        </w:rPr>
        <w:t>Cooking appliances</w:t>
      </w:r>
      <w:r>
        <w:rPr>
          <w:noProof/>
        </w:rPr>
        <w:tab/>
      </w:r>
      <w:r>
        <w:rPr>
          <w:noProof/>
        </w:rPr>
        <w:fldChar w:fldCharType="begin"/>
      </w:r>
      <w:r>
        <w:rPr>
          <w:noProof/>
        </w:rPr>
        <w:instrText xml:space="preserve"> PAGEREF _Toc450366298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snapToGrid w:val="0"/>
        </w:rPr>
        <w:t>812.</w:t>
      </w:r>
      <w:r>
        <w:rPr>
          <w:noProof/>
        </w:rPr>
        <w:tab/>
      </w:r>
      <w:r>
        <w:rPr>
          <w:noProof/>
          <w:snapToGrid w:val="0"/>
        </w:rPr>
        <w:t>Warnings</w:t>
      </w:r>
      <w:r>
        <w:rPr>
          <w:noProof/>
        </w:rPr>
        <w:tab/>
      </w:r>
      <w:r>
        <w:rPr>
          <w:noProof/>
        </w:rPr>
        <w:fldChar w:fldCharType="begin"/>
      </w:r>
      <w:r>
        <w:rPr>
          <w:noProof/>
        </w:rPr>
        <w:instrText xml:space="preserve"> PAGEREF _Toc450366299 \h </w:instrText>
      </w:r>
      <w:r>
        <w:rPr>
          <w:noProof/>
        </w:rPr>
      </w:r>
      <w:r>
        <w:rPr>
          <w:noProof/>
        </w:rPr>
        <w:fldChar w:fldCharType="separate"/>
      </w:r>
      <w:r>
        <w:rPr>
          <w:noProof/>
        </w:rPr>
        <w:t>54</w:t>
      </w:r>
      <w:r>
        <w:rPr>
          <w:noProof/>
        </w:rPr>
        <w:fldChar w:fldCharType="end"/>
      </w:r>
    </w:p>
    <w:p>
      <w:pPr>
        <w:pStyle w:val="TOC2"/>
      </w:pPr>
      <w:r>
        <w:t>Schedule 7 — Codes and standards containing requirements for consumers’ gas installations</w:t>
      </w:r>
    </w:p>
    <w:p>
      <w:pPr>
        <w:pStyle w:val="TOC2"/>
      </w:pPr>
      <w:r>
        <w:t>Notes</w:t>
      </w:r>
    </w:p>
    <w:p>
      <w:pPr>
        <w:pStyle w:val="TOC2"/>
        <w:tabs>
          <w:tab w:val="clear" w:pos="7088"/>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Consumers' Gas Installations) Regulations 1999</w:t>
      </w:r>
    </w:p>
    <w:p>
      <w:pPr>
        <w:pStyle w:val="Heading2"/>
        <w:pageBreakBefore w:val="0"/>
        <w:spacing w:before="48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3332722"/>
      <w:bookmarkStart w:id="2" w:name="_Toc425219441"/>
      <w:bookmarkStart w:id="3" w:name="_Toc426249308"/>
      <w:bookmarkStart w:id="4" w:name="_Toc447006848"/>
      <w:bookmarkStart w:id="5" w:name="_Toc450365248"/>
      <w:bookmarkStart w:id="6" w:name="_Toc450366203"/>
      <w:r>
        <w:rPr>
          <w:rStyle w:val="CharSectno"/>
        </w:rPr>
        <w:t>1</w:t>
      </w:r>
      <w:r>
        <w:t>.</w:t>
      </w:r>
      <w:r>
        <w:tab/>
        <w:t>Citation</w:t>
      </w:r>
      <w:bookmarkEnd w:id="1"/>
      <w:bookmarkEnd w:id="2"/>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Consumers' Gas Installations) Regulations 1999.</w:t>
      </w:r>
    </w:p>
    <w:p>
      <w:pPr>
        <w:pStyle w:val="Heading5"/>
      </w:pPr>
      <w:bookmarkStart w:id="7" w:name="_Toc447006851"/>
      <w:bookmarkStart w:id="8" w:name="_Toc450365249"/>
      <w:bookmarkStart w:id="9" w:name="_Toc450366204"/>
      <w:r>
        <w:rPr>
          <w:rStyle w:val="CharSectno"/>
        </w:rPr>
        <w:t>2</w:t>
      </w:r>
      <w:r>
        <w:t>.</w:t>
      </w:r>
      <w:r>
        <w:tab/>
        <w:t>Commencement</w:t>
      </w:r>
      <w:bookmarkEnd w:id="7"/>
      <w:bookmarkEnd w:id="8"/>
      <w:bookmarkEnd w:id="9"/>
    </w:p>
    <w:p>
      <w:pPr>
        <w:pStyle w:val="Subsection"/>
        <w:keepNext/>
      </w:pPr>
      <w:r>
        <w:tab/>
      </w:r>
      <w:r>
        <w:tab/>
        <w:t>These regulations come into operation on 1 May 1999.</w:t>
      </w:r>
    </w:p>
    <w:p>
      <w:pPr>
        <w:pStyle w:val="Heading5"/>
      </w:pPr>
      <w:bookmarkStart w:id="10" w:name="_Toc447006852"/>
      <w:bookmarkStart w:id="11" w:name="_Toc450365250"/>
      <w:bookmarkStart w:id="12" w:name="_Toc450366205"/>
      <w:r>
        <w:rPr>
          <w:rStyle w:val="CharSectno"/>
        </w:rPr>
        <w:t>3</w:t>
      </w:r>
      <w:r>
        <w:t>.</w:t>
      </w:r>
      <w:r>
        <w:tab/>
        <w:t>Interpretation</w:t>
      </w:r>
      <w:bookmarkEnd w:id="10"/>
      <w:bookmarkEnd w:id="11"/>
      <w:bookmarkEnd w:id="12"/>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authorization</w:t>
      </w:r>
      <w:r>
        <w:rPr>
          <w:b/>
        </w:rPr>
        <w:t>”</w:t>
      </w:r>
      <w:r>
        <w:t xml:space="preserve"> means an authorization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“LPG”</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pPr>
      <w:r>
        <w:tab/>
      </w:r>
      <w:r>
        <w:rPr>
          <w:b/>
        </w:rPr>
        <w:t>“</w:t>
      </w:r>
      <w:r>
        <w:rPr>
          <w:rStyle w:val="CharDefText"/>
        </w:rPr>
        <w:t>mobile engine</w:t>
      </w:r>
      <w:r>
        <w:rPr>
          <w:b/>
        </w:rPr>
        <w:t>”</w:t>
      </w:r>
      <w:r>
        <w:t xml:space="preserve"> means a gas-fuelled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authorization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authorization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Heading5"/>
      </w:pPr>
      <w:bookmarkStart w:id="13" w:name="_Toc447006853"/>
      <w:bookmarkStart w:id="14" w:name="_Toc450365251"/>
      <w:bookmarkStart w:id="15" w:name="_Toc450366206"/>
      <w:r>
        <w:rPr>
          <w:rStyle w:val="CharSectno"/>
        </w:rPr>
        <w:t>4</w:t>
      </w:r>
      <w:r>
        <w:t>.</w:t>
      </w:r>
      <w:r>
        <w:tab/>
        <w:t>Gasfitting work — meaning</w:t>
      </w:r>
      <w:bookmarkEnd w:id="13"/>
      <w:bookmarkEnd w:id="14"/>
      <w:bookmarkEnd w:id="15"/>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Heading5"/>
      </w:pPr>
      <w:bookmarkStart w:id="16" w:name="_Toc447006854"/>
      <w:bookmarkStart w:id="17" w:name="_Toc450365252"/>
      <w:bookmarkStart w:id="18" w:name="_Toc450366207"/>
      <w:r>
        <w:rPr>
          <w:rStyle w:val="CharSectno"/>
        </w:rPr>
        <w:t>5</w:t>
      </w:r>
      <w:r>
        <w:t>.</w:t>
      </w:r>
      <w:r>
        <w:tab/>
        <w:t>Things of the nature of gasfitting</w:t>
      </w:r>
      <w:bookmarkEnd w:id="16"/>
      <w:bookmarkEnd w:id="17"/>
      <w:bookmarkEnd w:id="18"/>
    </w:p>
    <w:p>
      <w:pPr>
        <w:pStyle w:val="Subsection"/>
      </w:pPr>
      <w:r>
        <w:tab/>
      </w:r>
      <w:r>
        <w:tab/>
        <w:t>For the purposes of section 13A(2) of the Act, doing or supervising any gasfitting work is of the nature of gasfitting.</w:t>
      </w:r>
    </w:p>
    <w:p>
      <w:pPr>
        <w:pStyle w:val="Heading5"/>
      </w:pPr>
      <w:bookmarkStart w:id="19" w:name="_Toc447006855"/>
      <w:bookmarkStart w:id="20" w:name="_Toc450365253"/>
      <w:bookmarkStart w:id="21" w:name="_Toc450366208"/>
      <w:r>
        <w:rPr>
          <w:rStyle w:val="CharSectno"/>
        </w:rPr>
        <w:t>6</w:t>
      </w:r>
      <w:r>
        <w:t>.</w:t>
      </w:r>
      <w:r>
        <w:tab/>
        <w:t>Supervised gas fitters</w:t>
      </w:r>
      <w:bookmarkEnd w:id="19"/>
      <w:bookmarkEnd w:id="20"/>
      <w:bookmarkEnd w:id="21"/>
    </w:p>
    <w:p>
      <w:pPr>
        <w:pStyle w:val="Subsection"/>
        <w:keepNext/>
        <w:keepLines/>
      </w:pPr>
      <w:r>
        <w:tab/>
      </w:r>
      <w:r>
        <w:tab/>
        <w:t>For the purposes of section 13A(2) of the Act, a person who does not hold a certificate of competency, a permit or an authorization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r>
        <w:rPr>
          <w:rStyle w:val="CharPartNo"/>
        </w:rPr>
        <w:t>Part 2</w:t>
      </w:r>
      <w:r>
        <w:rPr>
          <w:rStyle w:val="CharDivNo"/>
        </w:rPr>
        <w:t xml:space="preserve"> </w:t>
      </w:r>
      <w:r>
        <w:t>—</w:t>
      </w:r>
      <w:r>
        <w:rPr>
          <w:rStyle w:val="CharDivText"/>
        </w:rPr>
        <w:t xml:space="preserve"> </w:t>
      </w:r>
      <w:r>
        <w:rPr>
          <w:rStyle w:val="CharPartText"/>
        </w:rPr>
        <w:t>Administration</w:t>
      </w:r>
    </w:p>
    <w:p>
      <w:pPr>
        <w:pStyle w:val="Heading5"/>
      </w:pPr>
      <w:bookmarkStart w:id="22" w:name="_Toc447006856"/>
      <w:bookmarkStart w:id="23" w:name="_Toc450365254"/>
      <w:bookmarkStart w:id="24" w:name="_Toc450366209"/>
      <w:r>
        <w:rPr>
          <w:rStyle w:val="CharSectno"/>
        </w:rPr>
        <w:t>7</w:t>
      </w:r>
      <w:r>
        <w:t>.</w:t>
      </w:r>
      <w:r>
        <w:tab/>
        <w:t>Particulars in register of gas fitters under section 13A(4)</w:t>
      </w:r>
      <w:bookmarkEnd w:id="22"/>
      <w:bookmarkEnd w:id="23"/>
      <w:bookmarkEnd w:id="24"/>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authorization, as the case may be;</w:t>
      </w:r>
    </w:p>
    <w:p>
      <w:pPr>
        <w:pStyle w:val="Indenta"/>
      </w:pPr>
      <w:r>
        <w:tab/>
        <w:t>(c)</w:t>
      </w:r>
      <w:r>
        <w:tab/>
        <w:t>the date on which the certificate, permit, or authorization was issued and, if applicable, the date on which it will expire.</w:t>
      </w:r>
    </w:p>
    <w:p>
      <w:pPr>
        <w:pStyle w:val="Heading5"/>
      </w:pPr>
      <w:bookmarkStart w:id="25" w:name="_Toc447006857"/>
      <w:bookmarkStart w:id="26" w:name="_Toc450365255"/>
      <w:bookmarkStart w:id="27" w:name="_Toc450366210"/>
      <w:r>
        <w:rPr>
          <w:rStyle w:val="CharSectno"/>
        </w:rPr>
        <w:t>8</w:t>
      </w:r>
      <w:r>
        <w:t>.</w:t>
      </w:r>
      <w:r>
        <w:tab/>
        <w:t>Change of address</w:t>
      </w:r>
      <w:bookmarkEnd w:id="25"/>
      <w:bookmarkEnd w:id="26"/>
      <w:bookmarkEnd w:id="2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8" w:name="_Toc447006858"/>
      <w:bookmarkStart w:id="29" w:name="_Toc450365256"/>
      <w:bookmarkStart w:id="30" w:name="_Toc450366211"/>
      <w:r>
        <w:rPr>
          <w:rStyle w:val="CharSectno"/>
        </w:rPr>
        <w:t>9</w:t>
      </w:r>
      <w:r>
        <w:t>.</w:t>
      </w:r>
      <w:r>
        <w:tab/>
        <w:t>Inquiries under section 13A</w:t>
      </w:r>
      <w:bookmarkEnd w:id="28"/>
      <w:bookmarkEnd w:id="29"/>
      <w:bookmarkEnd w:id="30"/>
    </w:p>
    <w:p>
      <w:pPr>
        <w:pStyle w:val="Subsection"/>
      </w:pPr>
      <w:r>
        <w:tab/>
        <w:t>(1)</w:t>
      </w:r>
      <w:r>
        <w:tab/>
        <w:t>For the purposes of section 13A(3)(e) of the Act, the Director is authorized to delegate his or her power to conduct an inquiry under section 13A(11) of the Act to a person or body of persons appointed by the Director, and the exercise of that power by that person or persons is authorized.</w:t>
      </w:r>
    </w:p>
    <w:p>
      <w:pPr>
        <w:pStyle w:val="Subsection"/>
      </w:pPr>
      <w:r>
        <w:tab/>
        <w:t>(2)</w:t>
      </w:r>
      <w:r>
        <w:tab/>
        <w:t>For the purposes of section 13A(12)(c) of the Act, a summons requiring the attendance of a person to show cause at an inquiry must be in the form of Form 1 in Schedule 2.</w:t>
      </w:r>
    </w:p>
    <w:p>
      <w:pPr>
        <w:pStyle w:val="Subsection"/>
      </w:pPr>
      <w:r>
        <w:tab/>
        <w:t>(3)</w:t>
      </w:r>
      <w:r>
        <w:tab/>
        <w:t>For the purposes of section 13A(12)(c) of the Act, a summons requiring the attendance of a person to give evidence or produce documents at an inquiry must be in the form of Form 2 in Schedule 2.</w:t>
      </w:r>
    </w:p>
    <w:p>
      <w:pPr>
        <w:pStyle w:val="Subsection"/>
      </w:pPr>
      <w:r>
        <w:tab/>
        <w:t>(4)</w:t>
      </w:r>
      <w:r>
        <w:tab/>
        <w:t>A person who attends at an inquiry under section 13A of the Act is entitled to receive a fee or allowance in accordance with Schedule 3.</w:t>
      </w:r>
    </w:p>
    <w:p>
      <w:pPr>
        <w:pStyle w:val="Heading5"/>
      </w:pPr>
      <w:bookmarkStart w:id="31" w:name="_Toc447006859"/>
      <w:bookmarkStart w:id="32" w:name="_Toc450365257"/>
      <w:bookmarkStart w:id="33" w:name="_Toc450366212"/>
      <w:r>
        <w:rPr>
          <w:rStyle w:val="CharSectno"/>
        </w:rPr>
        <w:t>10</w:t>
      </w:r>
      <w:r>
        <w:t>.</w:t>
      </w:r>
      <w:r>
        <w:tab/>
        <w:t>Notice of Appeal under section 13B</w:t>
      </w:r>
      <w:bookmarkEnd w:id="31"/>
      <w:bookmarkEnd w:id="32"/>
      <w:bookmarkEnd w:id="33"/>
    </w:p>
    <w:p>
      <w:pPr>
        <w:pStyle w:val="Subsection"/>
      </w:pPr>
      <w:r>
        <w:tab/>
      </w:r>
      <w:r>
        <w:tab/>
        <w:t>Notice of an appeal under section 13B of the Act must be in the form of Form 3 in Schedule 2.</w:t>
      </w:r>
    </w:p>
    <w:p>
      <w:pPr>
        <w:pStyle w:val="Heading2"/>
      </w:pPr>
      <w:r>
        <w:rPr>
          <w:rStyle w:val="CharPartNo"/>
        </w:rPr>
        <w:t>Part 3</w:t>
      </w:r>
      <w:r>
        <w:rPr>
          <w:rStyle w:val="CharDivNo"/>
        </w:rPr>
        <w:t xml:space="preserve"> </w:t>
      </w:r>
      <w:r>
        <w:t>—</w:t>
      </w:r>
      <w:r>
        <w:rPr>
          <w:rStyle w:val="CharDivText"/>
        </w:rPr>
        <w:t xml:space="preserve"> </w:t>
      </w:r>
      <w:r>
        <w:rPr>
          <w:rStyle w:val="CharPartText"/>
        </w:rPr>
        <w:t>Permits and authorizations</w:t>
      </w:r>
    </w:p>
    <w:p>
      <w:pPr>
        <w:pStyle w:val="Heading5"/>
      </w:pPr>
      <w:bookmarkStart w:id="34" w:name="_Toc447006860"/>
      <w:bookmarkStart w:id="35" w:name="_Toc450365258"/>
      <w:bookmarkStart w:id="36" w:name="_Toc450366213"/>
      <w:r>
        <w:rPr>
          <w:rStyle w:val="CharSectno"/>
        </w:rPr>
        <w:t>11</w:t>
      </w:r>
      <w:r>
        <w:t>.</w:t>
      </w:r>
      <w:r>
        <w:tab/>
        <w:t>Applications for permits and authorizations</w:t>
      </w:r>
      <w:bookmarkEnd w:id="34"/>
      <w:bookmarkEnd w:id="35"/>
      <w:bookmarkEnd w:id="36"/>
    </w:p>
    <w:p>
      <w:pPr>
        <w:pStyle w:val="Subsection"/>
      </w:pPr>
      <w:r>
        <w:tab/>
      </w:r>
      <w:r>
        <w:tab/>
        <w:t>For the purposes of section 13A(6) of the Act, a person may apply for a permit or an authorization to carry out gasfitting by sending to the Director an application in an approved form, accompanied by the appropriate application fee set out in Schedule 4.</w:t>
      </w:r>
    </w:p>
    <w:p>
      <w:pPr>
        <w:pStyle w:val="Heading5"/>
      </w:pPr>
      <w:bookmarkStart w:id="37" w:name="_Toc447006861"/>
      <w:bookmarkStart w:id="38" w:name="_Toc450365259"/>
      <w:bookmarkStart w:id="39" w:name="_Toc450366214"/>
      <w:r>
        <w:rPr>
          <w:rStyle w:val="CharSectno"/>
        </w:rPr>
        <w:t>12</w:t>
      </w:r>
      <w:r>
        <w:t>.</w:t>
      </w:r>
      <w:r>
        <w:tab/>
        <w:t>Issue of permits and authorization</w:t>
      </w:r>
      <w:bookmarkEnd w:id="37"/>
      <w:bookmarkEnd w:id="38"/>
      <w:bookmarkEnd w:id="39"/>
    </w:p>
    <w:p>
      <w:pPr>
        <w:pStyle w:val="Subsection"/>
      </w:pPr>
      <w:r>
        <w:tab/>
        <w:t>(1)</w:t>
      </w:r>
      <w:r>
        <w:tab/>
        <w:t>The Director may issue a permit or an authorization to an applicant to carry out the gasfitting specified in the permit or authorization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authorization, or has applied for a permit or an authorization that the Director thinks is not appropriate having regard to the qualifications and experience of the applicant and the nature of the gasfitting, the Director may issue a permit or an authorization that the Director thinks is appropriate in the circumstances.</w:t>
      </w:r>
    </w:p>
    <w:p>
      <w:pPr>
        <w:pStyle w:val="Subsection"/>
      </w:pPr>
      <w:r>
        <w:tab/>
        <w:t>(3)</w:t>
      </w:r>
      <w:r>
        <w:tab/>
        <w:t>A permit or an authorization has effect only for the period specified in the permit or the authorization.</w:t>
      </w:r>
    </w:p>
    <w:p>
      <w:pPr>
        <w:pStyle w:val="Heading5"/>
      </w:pPr>
      <w:bookmarkStart w:id="40" w:name="_Toc447006862"/>
      <w:bookmarkStart w:id="41" w:name="_Toc450365260"/>
      <w:bookmarkStart w:id="42" w:name="_Toc450366215"/>
      <w:r>
        <w:rPr>
          <w:rStyle w:val="CharSectno"/>
        </w:rPr>
        <w:t>13</w:t>
      </w:r>
      <w:r>
        <w:t>.</w:t>
      </w:r>
      <w:r>
        <w:tab/>
        <w:t>Grades of permit or authorization</w:t>
      </w:r>
      <w:bookmarkEnd w:id="40"/>
      <w:bookmarkEnd w:id="41"/>
      <w:bookmarkEnd w:id="42"/>
    </w:p>
    <w:p>
      <w:pPr>
        <w:pStyle w:val="Subsection"/>
      </w:pPr>
      <w:r>
        <w:tab/>
        <w:t>(1)</w:t>
      </w:r>
      <w:r>
        <w:tab/>
        <w:t>A permit or an authorization issued under regulation 12 is to be of a grade designated by reference to the class or classes of gasfitting work referred to in subregulation (2) that the permit or authorization authorizes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3" w:name="_Toc447006863"/>
      <w:bookmarkStart w:id="44" w:name="_Toc450365261"/>
      <w:bookmarkStart w:id="45" w:name="_Toc450366216"/>
      <w:r>
        <w:rPr>
          <w:rStyle w:val="CharSectno"/>
        </w:rPr>
        <w:t>14</w:t>
      </w:r>
      <w:r>
        <w:t>.</w:t>
      </w:r>
      <w:r>
        <w:tab/>
        <w:t>Restrictions, limitations, conditions or extensions on permits or authorizations</w:t>
      </w:r>
      <w:bookmarkEnd w:id="43"/>
      <w:bookmarkEnd w:id="44"/>
      <w:bookmarkEnd w:id="45"/>
    </w:p>
    <w:p>
      <w:pPr>
        <w:pStyle w:val="Subsection"/>
      </w:pPr>
      <w:r>
        <w:tab/>
      </w:r>
      <w:r>
        <w:tab/>
        <w:t>The Director may endorse on any permit or authorization any restriction, limitation, condition or extension as to the authority conferred in the permit or authorization.</w:t>
      </w:r>
    </w:p>
    <w:p>
      <w:pPr>
        <w:pStyle w:val="Heading5"/>
      </w:pPr>
      <w:bookmarkStart w:id="46" w:name="_Toc447006864"/>
      <w:bookmarkStart w:id="47" w:name="_Toc450365262"/>
      <w:bookmarkStart w:id="48" w:name="_Toc450366217"/>
      <w:r>
        <w:rPr>
          <w:rStyle w:val="CharSectno"/>
        </w:rPr>
        <w:t>15</w:t>
      </w:r>
      <w:r>
        <w:t>.</w:t>
      </w:r>
      <w:r>
        <w:tab/>
        <w:t>Gasfitting authorized by permits</w:t>
      </w:r>
      <w:bookmarkEnd w:id="46"/>
      <w:bookmarkEnd w:id="47"/>
      <w:bookmarkEnd w:id="48"/>
    </w:p>
    <w:p>
      <w:pPr>
        <w:pStyle w:val="Subsection"/>
      </w:pPr>
      <w:r>
        <w:tab/>
        <w:t>(1)</w:t>
      </w:r>
      <w:r>
        <w:tab/>
        <w:t>A permit authorizes the holder to do the gasfitting work specified in the permit.</w:t>
      </w:r>
    </w:p>
    <w:p>
      <w:pPr>
        <w:pStyle w:val="Subsection"/>
      </w:pPr>
      <w:r>
        <w:tab/>
        <w:t>(2)</w:t>
      </w:r>
      <w:r>
        <w:tab/>
        <w:t>The permit authorizes the holder to supervise the gasfitting work if it is being done by a person who has a permit to do the work in the course of training.</w:t>
      </w:r>
    </w:p>
    <w:p>
      <w:pPr>
        <w:pStyle w:val="Heading5"/>
      </w:pPr>
      <w:bookmarkStart w:id="49" w:name="_Toc447006865"/>
      <w:bookmarkStart w:id="50" w:name="_Toc450365263"/>
      <w:bookmarkStart w:id="51" w:name="_Toc450366218"/>
      <w:r>
        <w:rPr>
          <w:rStyle w:val="CharSectno"/>
        </w:rPr>
        <w:t>16</w:t>
      </w:r>
      <w:r>
        <w:t>.</w:t>
      </w:r>
      <w:r>
        <w:tab/>
        <w:t>Gasfitting authorized by authorizations</w:t>
      </w:r>
      <w:bookmarkEnd w:id="49"/>
      <w:bookmarkEnd w:id="50"/>
      <w:bookmarkEnd w:id="51"/>
    </w:p>
    <w:p>
      <w:pPr>
        <w:pStyle w:val="Subsection"/>
      </w:pPr>
      <w:r>
        <w:tab/>
        <w:t>(1)</w:t>
      </w:r>
      <w:r>
        <w:tab/>
        <w:t>An authorization authorizes the holder to do the specified gasfitting work for the specified employer.</w:t>
      </w:r>
    </w:p>
    <w:p>
      <w:pPr>
        <w:pStyle w:val="Subsection"/>
      </w:pPr>
      <w:r>
        <w:tab/>
        <w:t>(2)</w:t>
      </w:r>
      <w:r>
        <w:tab/>
        <w:t>The authorization authorizes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authorization,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authorization.</w:t>
      </w:r>
    </w:p>
    <w:p>
      <w:pPr>
        <w:pStyle w:val="Heading2"/>
      </w:pPr>
      <w:r>
        <w:rPr>
          <w:rStyle w:val="CharPartNo"/>
        </w:rPr>
        <w:t>Part 4</w:t>
      </w:r>
      <w:r>
        <w:t xml:space="preserve"> — </w:t>
      </w:r>
      <w:r>
        <w:rPr>
          <w:rStyle w:val="CharPartText"/>
        </w:rPr>
        <w:t>Performance of gasfitting</w:t>
      </w:r>
    </w:p>
    <w:p>
      <w:pPr>
        <w:pStyle w:val="Heading5"/>
      </w:pPr>
      <w:bookmarkStart w:id="52" w:name="_Toc447006866"/>
      <w:bookmarkStart w:id="53" w:name="_Toc450365264"/>
      <w:bookmarkStart w:id="54" w:name="_Toc450366219"/>
      <w:r>
        <w:rPr>
          <w:rStyle w:val="CharSectno"/>
        </w:rPr>
        <w:t>17</w:t>
      </w:r>
      <w:r>
        <w:t>.</w:t>
      </w:r>
      <w:r>
        <w:tab/>
        <w:t>Interpretation</w:t>
      </w:r>
      <w:bookmarkEnd w:id="52"/>
      <w:bookmarkEnd w:id="53"/>
      <w:bookmarkEnd w:id="54"/>
    </w:p>
    <w:p>
      <w:pPr>
        <w:pStyle w:val="Subsection"/>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pPr>
      <w:r>
        <w:tab/>
      </w:r>
      <w:r>
        <w:rPr>
          <w:b/>
        </w:rPr>
        <w:t>“</w:t>
      </w:r>
      <w:r>
        <w:rPr>
          <w:rStyle w:val="CharDefText"/>
        </w:rPr>
        <w:t>notice of defects</w:t>
      </w:r>
      <w:r>
        <w:rPr>
          <w:b/>
        </w:rPr>
        <w:t>”</w:t>
      </w:r>
      <w:r>
        <w:t xml:space="preserve"> means a notice of defects </w:t>
      </w:r>
      <w:bookmarkStart w:id="55" w:name="_Hlt434814184"/>
      <w:r>
        <w:t>under regulation 29</w:t>
      </w:r>
      <w:bookmarkEnd w:id="55"/>
      <w:r>
        <w:t>.</w:t>
      </w:r>
    </w:p>
    <w:p>
      <w:pPr>
        <w:pStyle w:val="Heading5"/>
      </w:pPr>
      <w:bookmarkStart w:id="56" w:name="_Toc447006867"/>
      <w:bookmarkStart w:id="57" w:name="_Toc450365265"/>
      <w:bookmarkStart w:id="58" w:name="_Toc450366220"/>
      <w:r>
        <w:rPr>
          <w:rStyle w:val="CharSectno"/>
        </w:rPr>
        <w:t>18</w:t>
      </w:r>
      <w:r>
        <w:t>.</w:t>
      </w:r>
      <w:r>
        <w:tab/>
        <w:t>Performance of gasfitting work</w:t>
      </w:r>
      <w:bookmarkEnd w:id="56"/>
      <w:bookmarkEnd w:id="57"/>
      <w:bookmarkEnd w:id="58"/>
    </w:p>
    <w:p>
      <w:pPr>
        <w:pStyle w:val="Subsection"/>
      </w:pPr>
      <w:r>
        <w:tab/>
      </w:r>
      <w:r>
        <w:tab/>
        <w:t>A gas fitter who does gasfitting work on the whole or any part of a gas installation must ensure that —</w:t>
      </w:r>
    </w:p>
    <w:p>
      <w:pPr>
        <w:pStyle w:val="Indenta"/>
      </w:pPr>
      <w:r>
        <w:tab/>
        <w:t>(a)</w:t>
      </w:r>
      <w:r>
        <w:tab/>
        <w:t>the work is done in a safe manner; and</w:t>
      </w:r>
    </w:p>
    <w:p>
      <w:pPr>
        <w:pStyle w:val="Indenta"/>
      </w:pPr>
      <w:r>
        <w:tab/>
        <w:t>(b)</w:t>
      </w:r>
      <w:r>
        <w:tab/>
        <w:t>after the work is done every part of the gas installation on which the work was done or that is affected by the work complies with the requirements referred to in regulation 32, is safe to use and is completed to a trade finish.</w:t>
      </w:r>
    </w:p>
    <w:p>
      <w:pPr>
        <w:pStyle w:val="Heading5"/>
      </w:pPr>
      <w:bookmarkStart w:id="59" w:name="_Toc447006868"/>
      <w:bookmarkStart w:id="60" w:name="_Toc450365266"/>
      <w:bookmarkStart w:id="61" w:name="_Toc450366221"/>
      <w:r>
        <w:rPr>
          <w:rStyle w:val="CharSectno"/>
        </w:rPr>
        <w:t>19</w:t>
      </w:r>
      <w:r>
        <w:t>.</w:t>
      </w:r>
      <w:r>
        <w:tab/>
        <w:t>Obligations of a supervising gas fitter</w:t>
      </w:r>
      <w:bookmarkEnd w:id="59"/>
      <w:bookmarkEnd w:id="60"/>
      <w:bookmarkEnd w:id="61"/>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authorization.</w:t>
      </w:r>
    </w:p>
    <w:p>
      <w:pPr>
        <w:pStyle w:val="Heading5"/>
      </w:pPr>
      <w:bookmarkStart w:id="62" w:name="_Toc447006869"/>
      <w:bookmarkStart w:id="63" w:name="_Toc450365267"/>
      <w:bookmarkStart w:id="64" w:name="_Toc450366222"/>
      <w:r>
        <w:rPr>
          <w:rStyle w:val="CharSectno"/>
        </w:rPr>
        <w:t>20</w:t>
      </w:r>
      <w:r>
        <w:t>.</w:t>
      </w:r>
      <w:r>
        <w:tab/>
        <w:t>Installation of an appliance, apparatus or part</w:t>
      </w:r>
      <w:bookmarkEnd w:id="62"/>
      <w:bookmarkEnd w:id="63"/>
      <w:bookmarkEnd w:id="64"/>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pPr>
      <w:r>
        <w:tab/>
        <w:t>(c)</w:t>
      </w:r>
      <w:r>
        <w:tab/>
        <w:t xml:space="preserve">the gas fitter has notified the consumer of the consumer’s obligation under regulation </w:t>
      </w:r>
      <w:bookmarkStart w:id="65" w:name="_Hlt432494644"/>
      <w:r>
        <w:t>36(5)</w:t>
      </w:r>
      <w:bookmarkEnd w:id="65"/>
      <w:r>
        <w:t xml:space="preserve"> to permit the gas supplier to inspect and test the pressure raising device and any safety device required under paragraph (b).</w:t>
      </w:r>
    </w:p>
    <w:p>
      <w:pPr>
        <w:pStyle w:val="Heading5"/>
      </w:pPr>
      <w:bookmarkStart w:id="66" w:name="_Toc447006870"/>
      <w:bookmarkStart w:id="67" w:name="_Toc450365268"/>
      <w:bookmarkStart w:id="68" w:name="_Toc450366223"/>
      <w:r>
        <w:rPr>
          <w:rStyle w:val="CharSectno"/>
        </w:rPr>
        <w:t>21</w:t>
      </w:r>
      <w:r>
        <w:t>.</w:t>
      </w:r>
      <w:r>
        <w:tab/>
        <w:t>Commissioning of appliances generally</w:t>
      </w:r>
      <w:bookmarkEnd w:id="66"/>
      <w:bookmarkEnd w:id="67"/>
      <w:bookmarkEnd w:id="68"/>
    </w:p>
    <w:p>
      <w:pPr>
        <w:pStyle w:val="Subsection"/>
      </w:pPr>
      <w:r>
        <w:tab/>
      </w:r>
      <w: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69" w:name="_Toc447006871"/>
      <w:bookmarkStart w:id="70" w:name="_Toc450365269"/>
      <w:bookmarkStart w:id="71" w:name="_Toc450366224"/>
      <w:r>
        <w:rPr>
          <w:rStyle w:val="CharSectno"/>
        </w:rPr>
        <w:t>22</w:t>
      </w:r>
      <w:r>
        <w:t>.</w:t>
      </w:r>
      <w:r>
        <w:tab/>
        <w:t>Leaving Type B appliances permanently connected</w:t>
      </w:r>
      <w:bookmarkEnd w:id="69"/>
      <w:bookmarkEnd w:id="70"/>
      <w:bookmarkEnd w:id="71"/>
    </w:p>
    <w:p>
      <w:pPr>
        <w:pStyle w:val="Subsection"/>
        <w:keepNext/>
        <w:keepLines/>
        <w:rPr>
          <w:snapToGrid w:val="0"/>
        </w:rPr>
      </w:pPr>
      <w:r>
        <w:tab/>
        <w:t>(1)</w:t>
      </w:r>
      <w:r>
        <w:tab/>
        <w:t>A</w:t>
      </w:r>
      <w:r>
        <w:rPr>
          <w:snapToGrid w:val="0"/>
        </w:rPr>
        <w:t xml:space="preserve"> gas fitter </w:t>
      </w:r>
      <w:r>
        <w:t>must not</w:t>
      </w:r>
      <w:r>
        <w:rPr>
          <w:snapToGrid w:val="0"/>
        </w:rPr>
        <w:t xml:space="preserve"> leave a Type B appliance permanently connected in a consumer’s gas installation unless an inspector has issued a certificate of compliance for the appliance.</w:t>
      </w:r>
    </w:p>
    <w:p>
      <w:pPr>
        <w:pStyle w:val="Subsection"/>
        <w:keepNext/>
      </w:pPr>
      <w:r>
        <w:tab/>
        <w:t>(2)</w:t>
      </w:r>
      <w:r>
        <w:tab/>
      </w:r>
      <w:r>
        <w:rPr>
          <w:snapToGrid w:val="0"/>
        </w:rPr>
        <w:t>The inspector may issue a certificate of compliance for the appliance if the inspector has inspected the appliance and ascertained, so far as is practicable, that it complies with the requirements referred to in regulation 32.</w:t>
      </w:r>
    </w:p>
    <w:p>
      <w:pPr>
        <w:pStyle w:val="Subsection"/>
        <w:keepNext/>
        <w:keepLines/>
        <w:rPr>
          <w:snapToGrid w:val="0"/>
        </w:rPr>
      </w:pPr>
      <w:r>
        <w:rPr>
          <w:snapToGrid w:val="0"/>
        </w:rPr>
        <w:tab/>
        <w:t>(3)</w:t>
      </w:r>
      <w:r>
        <w:rPr>
          <w:snapToGrid w:val="0"/>
        </w:rPr>
        <w:tab/>
        <w:t>The certificate of compliance is issued by —</w:t>
      </w:r>
    </w:p>
    <w:p>
      <w:pPr>
        <w:pStyle w:val="Indenta"/>
        <w:rPr>
          <w:snapToGrid w:val="0"/>
        </w:rPr>
      </w:pPr>
      <w:r>
        <w:rPr>
          <w:snapToGrid w:val="0"/>
        </w:rPr>
        <w:tab/>
        <w:t>(a)</w:t>
      </w:r>
      <w:r>
        <w:rPr>
          <w:snapToGrid w:val="0"/>
        </w:rPr>
        <w:tab/>
        <w:t>giving the certificate in an approved form to the Director;</w:t>
      </w:r>
    </w:p>
    <w:p>
      <w:pPr>
        <w:pStyle w:val="Indenta"/>
        <w:rPr>
          <w:snapToGrid w:val="0"/>
        </w:rPr>
      </w:pPr>
      <w:r>
        <w:rPr>
          <w:snapToGrid w:val="0"/>
        </w:rPr>
        <w:tab/>
        <w:t>(b)</w:t>
      </w:r>
      <w:r>
        <w:rPr>
          <w:snapToGrid w:val="0"/>
        </w:rPr>
        <w:tab/>
      </w:r>
      <w:r>
        <w:t>giving</w:t>
      </w:r>
      <w:r>
        <w:rPr>
          <w:snapToGrid w:val="0"/>
        </w:rPr>
        <w:t xml:space="preserve"> copies of the certificate to the relevant persons under subregulation (5) or (6); and</w:t>
      </w:r>
    </w:p>
    <w:p>
      <w:pPr>
        <w:pStyle w:val="Indenta"/>
      </w:pPr>
      <w:r>
        <w:rPr>
          <w:snapToGrid w:val="0"/>
        </w:rPr>
        <w:tab/>
        <w:t>(c)</w:t>
      </w:r>
      <w:r>
        <w:rPr>
          <w:snapToGrid w:val="0"/>
        </w:rPr>
        <w:tab/>
        <w:t>attaching an approved badge or label to the appliance in a conspicuous position.</w:t>
      </w:r>
    </w:p>
    <w:p>
      <w:pPr>
        <w:pStyle w:val="Subsection"/>
      </w:pPr>
      <w:r>
        <w:tab/>
        <w:t>(4)</w:t>
      </w:r>
      <w:r>
        <w:tab/>
      </w:r>
      <w:r>
        <w:rPr>
          <w:snapToGrid w:val="0"/>
        </w:rPr>
        <w:t>The appliance may be inspected —</w:t>
      </w:r>
    </w:p>
    <w:p>
      <w:pPr>
        <w:pStyle w:val="Indenta"/>
      </w:pPr>
      <w:r>
        <w:tab/>
        <w:t>(a)</w:t>
      </w:r>
      <w:r>
        <w:tab/>
        <w:t xml:space="preserve">at the place where the appliance </w:t>
      </w:r>
      <w:r>
        <w:rPr>
          <w:snapToGrid w:val="0"/>
        </w:rPr>
        <w:t>is installed and commissioned; or</w:t>
      </w:r>
    </w:p>
    <w:p>
      <w:pPr>
        <w:pStyle w:val="Indenta"/>
      </w:pPr>
      <w:r>
        <w:tab/>
        <w:t>(b)</w:t>
      </w:r>
      <w:r>
        <w:tab/>
        <w:t>if the Director so approves, at any other place</w:t>
      </w:r>
      <w:r>
        <w:rPr>
          <w:snapToGrid w:val="0"/>
        </w:rPr>
        <w:t>.</w:t>
      </w:r>
    </w:p>
    <w:p>
      <w:pPr>
        <w:pStyle w:val="Subsection"/>
        <w:rPr>
          <w:snapToGrid w:val="0"/>
        </w:rPr>
      </w:pPr>
      <w:r>
        <w:rPr>
          <w:snapToGrid w:val="0"/>
        </w:rPr>
        <w:tab/>
        <w:t>(5)</w:t>
      </w:r>
      <w:r>
        <w:rPr>
          <w:snapToGrid w:val="0"/>
        </w:rPr>
        <w:tab/>
        <w:t>W</w:t>
      </w:r>
      <w:r>
        <w:t xml:space="preserve">hen the </w:t>
      </w:r>
      <w:r>
        <w:rPr>
          <w:snapToGrid w:val="0"/>
        </w:rPr>
        <w:t>inspection is carried out at the place where the appliance is installed and commissioned, a copy of the certificate of compliance is to be given to each of the following persons —</w:t>
      </w:r>
    </w:p>
    <w:p>
      <w:pPr>
        <w:pStyle w:val="Indenta"/>
      </w:pPr>
      <w:r>
        <w:rPr>
          <w:snapToGrid w:val="0"/>
        </w:rPr>
        <w:tab/>
        <w:t>(a)</w:t>
      </w:r>
      <w:r>
        <w:rPr>
          <w:snapToGrid w:val="0"/>
        </w:rPr>
        <w:tab/>
        <w:t>the gas fitter who commissioned the appliance;</w:t>
      </w:r>
    </w:p>
    <w:p>
      <w:pPr>
        <w:pStyle w:val="Indenta"/>
      </w:pPr>
      <w:r>
        <w:rPr>
          <w:snapToGrid w:val="0"/>
        </w:rPr>
        <w:tab/>
        <w:t>(b)</w:t>
      </w:r>
      <w:r>
        <w:rPr>
          <w:snapToGrid w:val="0"/>
        </w:rPr>
        <w:tab/>
        <w:t>the consumer for whom the appliance was installed and commissioned;</w:t>
      </w:r>
    </w:p>
    <w:p>
      <w:pPr>
        <w:pStyle w:val="Indenta"/>
        <w:rPr>
          <w:snapToGrid w:val="0"/>
        </w:rPr>
      </w:pPr>
      <w:r>
        <w:rPr>
          <w:snapToGrid w:val="0"/>
        </w:rPr>
        <w:tab/>
        <w:t>(c)</w:t>
      </w:r>
      <w:r>
        <w:rPr>
          <w:snapToGrid w:val="0"/>
        </w:rPr>
        <w:tab/>
        <w:t>the gas supplier.</w:t>
      </w:r>
    </w:p>
    <w:p>
      <w:pPr>
        <w:pStyle w:val="Subsection"/>
        <w:rPr>
          <w:snapToGrid w:val="0"/>
        </w:rPr>
      </w:pPr>
      <w:r>
        <w:rPr>
          <w:snapToGrid w:val="0"/>
        </w:rPr>
        <w:tab/>
        <w:t>(6)</w:t>
      </w:r>
      <w:r>
        <w:rPr>
          <w:snapToGrid w:val="0"/>
        </w:rPr>
        <w:tab/>
        <w:t>W</w:t>
      </w:r>
      <w:r>
        <w:t xml:space="preserve">hen the </w:t>
      </w:r>
      <w:r>
        <w:rPr>
          <w:snapToGrid w:val="0"/>
        </w:rPr>
        <w:t>inspection is carried out at any other place under subregulation (4)(b), 3 copies of the certificate of compliance are to be given to the manufacturer.</w:t>
      </w:r>
    </w:p>
    <w:p>
      <w:pPr>
        <w:pStyle w:val="Subsection"/>
        <w:keepNext/>
        <w:keepLines/>
      </w:pPr>
      <w:r>
        <w:tab/>
        <w:t>(7)</w:t>
      </w:r>
      <w:r>
        <w:tab/>
        <w:t xml:space="preserve">When </w:t>
      </w:r>
      <w:r>
        <w:rPr>
          <w:snapToGrid w:val="0"/>
        </w:rPr>
        <w:t>the manufacturer of the appliance receives 3 copies of a certificate of compliance under subregulation (6) and the appliance is subsequently installed and commissioned in a consumer’s gas installation, the manufacturer must give a copy of the certificate to each of the following persons —</w:t>
      </w:r>
    </w:p>
    <w:p>
      <w:pPr>
        <w:pStyle w:val="Indenta"/>
        <w:keepNext/>
      </w:pPr>
      <w:r>
        <w:tab/>
        <w:t>(a)</w:t>
      </w:r>
      <w:r>
        <w:tab/>
      </w:r>
      <w:r>
        <w:rPr>
          <w:snapToGrid w:val="0"/>
        </w:rPr>
        <w:t>the gas fitter who commissioned the appliance;</w:t>
      </w:r>
    </w:p>
    <w:p>
      <w:pPr>
        <w:pStyle w:val="Indenta"/>
      </w:pPr>
      <w:r>
        <w:tab/>
        <w:t>(b)</w:t>
      </w:r>
      <w:r>
        <w:tab/>
      </w:r>
      <w:r>
        <w:rPr>
          <w:snapToGrid w:val="0"/>
        </w:rPr>
        <w:t>the consumer for whom the appliance was installed and commissioned; and</w:t>
      </w:r>
    </w:p>
    <w:p>
      <w:pPr>
        <w:pStyle w:val="Indenta"/>
      </w:pPr>
      <w:r>
        <w:tab/>
        <w:t>(c)</w:t>
      </w:r>
      <w:r>
        <w:tab/>
      </w:r>
      <w:r>
        <w:rPr>
          <w:snapToGrid w:val="0"/>
        </w:rPr>
        <w:t>the gas supplier.</w:t>
      </w:r>
    </w:p>
    <w:p>
      <w:pPr>
        <w:pStyle w:val="Subsection"/>
        <w:keepNext/>
        <w:keepLines/>
      </w:pPr>
      <w:r>
        <w:tab/>
        <w:t>(8)</w:t>
      </w:r>
      <w:r>
        <w:tab/>
        <w:t>For the purposes of this regulation an appliance is not to be regarded as permanently connected if it is connected for a period approved in writing by an inspector pending inspection of the appliance by that inspector.</w:t>
      </w:r>
    </w:p>
    <w:p>
      <w:pPr>
        <w:pStyle w:val="Subsection"/>
      </w:pPr>
      <w:r>
        <w:tab/>
        <w:t>(9)</w:t>
      </w:r>
      <w:r>
        <w:tab/>
        <w:t>For the purposes of subregulation (8), an inspector may approve any period of no more than —</w:t>
      </w:r>
    </w:p>
    <w:p>
      <w:pPr>
        <w:pStyle w:val="Indenta"/>
      </w:pPr>
      <w:r>
        <w:tab/>
        <w:t>(a)</w:t>
      </w:r>
      <w:r>
        <w:tab/>
        <w:t>21 days; or</w:t>
      </w:r>
    </w:p>
    <w:p>
      <w:pPr>
        <w:pStyle w:val="Indenta"/>
      </w:pPr>
      <w:r>
        <w:tab/>
        <w:t>(b)</w:t>
      </w:r>
      <w:r>
        <w:tab/>
        <w:t>if in a particular case a longer period is required and the inspector gives written notice to the Director of the approval — 90 days.</w:t>
      </w:r>
    </w:p>
    <w:p>
      <w:pPr>
        <w:pStyle w:val="Heading5"/>
      </w:pPr>
      <w:bookmarkStart w:id="72" w:name="_Toc447006872"/>
      <w:bookmarkStart w:id="73" w:name="_Toc450365270"/>
      <w:bookmarkStart w:id="74" w:name="_Toc450366225"/>
      <w:r>
        <w:rPr>
          <w:rStyle w:val="CharSectno"/>
        </w:rPr>
        <w:t>23</w:t>
      </w:r>
      <w:r>
        <w:t>.</w:t>
      </w:r>
      <w:r>
        <w:tab/>
        <w:t>Servicing of a consumer’s gas installation</w:t>
      </w:r>
      <w:bookmarkEnd w:id="72"/>
      <w:bookmarkEnd w:id="73"/>
      <w:bookmarkEnd w:id="74"/>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pPr>
      <w:r>
        <w:tab/>
        <w:t>(a)</w:t>
      </w:r>
      <w: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keepNext/>
        <w:keepLines/>
      </w:pPr>
      <w:r>
        <w:tab/>
        <w:t>(4)</w:t>
      </w:r>
      <w:r>
        <w:tab/>
        <w:t>In this regulation —</w:t>
      </w:r>
    </w:p>
    <w:p>
      <w:pPr>
        <w:pStyle w:val="Defstart"/>
        <w:keepNext/>
        <w:keepLines/>
      </w:pPr>
      <w:r>
        <w:tab/>
      </w:r>
      <w:r>
        <w:rPr>
          <w:b/>
        </w:rPr>
        <w:t>“</w:t>
      </w:r>
      <w:r>
        <w:rPr>
          <w:rStyle w:val="CharDefText"/>
        </w:rPr>
        <w:t>service information</w:t>
      </w:r>
      <w:r>
        <w:rPr>
          <w:b/>
        </w:rPr>
        <w:t>”</w:t>
      </w:r>
      <w:r>
        <w:t>, in relation to the servicing of a consumer’s gas installation means —</w:t>
      </w:r>
    </w:p>
    <w:p>
      <w:pPr>
        <w:pStyle w:val="Defpara"/>
        <w:keepLines/>
      </w:pPr>
      <w:r>
        <w:tab/>
        <w:t>(a)</w:t>
      </w:r>
      <w:r>
        <w:tab/>
        <w:t>the date that the servicing took place; and</w:t>
      </w:r>
    </w:p>
    <w:p>
      <w:pPr>
        <w:pStyle w:val="Defpara"/>
        <w:keepLines/>
      </w:pPr>
      <w:r>
        <w:tab/>
        <w:t>(b)</w:t>
      </w:r>
      <w:r>
        <w:tab/>
        <w:t>the identification number endorsed on the certificate of competency, permit or authorization held by the registered gas fitter who did or supervised the servicing.</w:t>
      </w:r>
    </w:p>
    <w:p>
      <w:pPr>
        <w:pStyle w:val="Heading5"/>
      </w:pPr>
      <w:bookmarkStart w:id="75" w:name="_Toc447006873"/>
      <w:bookmarkStart w:id="76" w:name="_Toc450365271"/>
      <w:bookmarkStart w:id="77" w:name="_Toc450366226"/>
      <w:r>
        <w:rPr>
          <w:rStyle w:val="CharSectno"/>
        </w:rPr>
        <w:t>24</w:t>
      </w:r>
      <w:r>
        <w:t>.</w:t>
      </w:r>
      <w:r>
        <w:tab/>
        <w:t>Inaccessible underground fitting lines</w:t>
      </w:r>
      <w:bookmarkEnd w:id="75"/>
      <w:bookmarkEnd w:id="76"/>
      <w:bookmarkEnd w:id="7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78" w:name="_Toc447006874"/>
      <w:bookmarkStart w:id="79" w:name="_Toc450365272"/>
      <w:bookmarkStart w:id="80" w:name="_Toc450366227"/>
      <w:r>
        <w:rPr>
          <w:rStyle w:val="CharSectno"/>
        </w:rPr>
        <w:t>25</w:t>
      </w:r>
      <w:r>
        <w:t>.</w:t>
      </w:r>
      <w:r>
        <w:tab/>
        <w:t>Fitting lines to be clean</w:t>
      </w:r>
      <w:bookmarkEnd w:id="78"/>
      <w:bookmarkEnd w:id="79"/>
      <w:bookmarkEnd w:id="8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pPr>
      <w:bookmarkStart w:id="81" w:name="_Toc447006875"/>
      <w:bookmarkStart w:id="82" w:name="_Toc450365273"/>
      <w:bookmarkStart w:id="83" w:name="_Toc450366228"/>
      <w:r>
        <w:rPr>
          <w:rStyle w:val="CharSectno"/>
        </w:rPr>
        <w:t>26</w:t>
      </w:r>
      <w:r>
        <w:t>.</w:t>
      </w:r>
      <w:r>
        <w:tab/>
        <w:t>Pressure testing</w:t>
      </w:r>
      <w:bookmarkEnd w:id="81"/>
      <w:bookmarkEnd w:id="82"/>
      <w:bookmarkEnd w:id="8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Heading5"/>
      </w:pPr>
      <w:bookmarkStart w:id="84" w:name="_Toc447006876"/>
      <w:bookmarkStart w:id="85" w:name="_Toc450365274"/>
      <w:bookmarkStart w:id="86" w:name="_Toc450366229"/>
      <w:r>
        <w:rPr>
          <w:rStyle w:val="CharSectno"/>
        </w:rPr>
        <w:t>27</w:t>
      </w:r>
      <w:r>
        <w:t>.</w:t>
      </w:r>
      <w:r>
        <w:tab/>
        <w:t>Preliminary notice</w:t>
      </w:r>
      <w:bookmarkEnd w:id="84"/>
      <w:bookmarkEnd w:id="85"/>
      <w:bookmarkEnd w:id="86"/>
    </w:p>
    <w:p>
      <w:pPr>
        <w:pStyle w:val="Subsection"/>
        <w:rPr>
          <w:snapToGrid w:val="0"/>
        </w:rPr>
      </w:pPr>
      <w:r>
        <w:tab/>
        <w:t>(1)</w:t>
      </w:r>
      <w:r>
        <w:tab/>
      </w:r>
      <w:r>
        <w:rPr>
          <w:snapToGrid w:val="0"/>
        </w:rPr>
        <w:t>This regulation applies to a registered gas fitter who intends to do or supervise any gasfitting work except —</w:t>
      </w:r>
    </w:p>
    <w:p>
      <w:pPr>
        <w:pStyle w:val="Indenta"/>
        <w:keepNext/>
      </w:pPr>
      <w:r>
        <w:tab/>
        <w:t>(a)</w:t>
      </w:r>
      <w:r>
        <w:tab/>
        <w:t>servicing a consumer’s gas installation;</w:t>
      </w:r>
    </w:p>
    <w:p>
      <w:pPr>
        <w:pStyle w:val="Indenta"/>
      </w:pPr>
      <w:r>
        <w:tab/>
        <w:t>(b)</w:t>
      </w:r>
      <w:r>
        <w:tab/>
        <w:t>gasfitting work on an LPG installation except a consumer’s gas installation supplied from a reticulated system;</w:t>
      </w:r>
    </w:p>
    <w:p>
      <w:pPr>
        <w:pStyle w:val="Indenta"/>
      </w:pPr>
      <w:r>
        <w:tab/>
        <w:t>(c)</w:t>
      </w:r>
      <w:r>
        <w:tab/>
        <w:t>gasfitting work on a mobile engine;</w:t>
      </w:r>
    </w:p>
    <w:p>
      <w:pPr>
        <w:pStyle w:val="Indenta"/>
      </w:pPr>
      <w:r>
        <w:tab/>
        <w:t>(d)</w:t>
      </w:r>
      <w:r>
        <w:tab/>
        <w:t>gasfitting work necessarily performed in effecting emergency repairs; or</w:t>
      </w:r>
    </w:p>
    <w:p>
      <w:pPr>
        <w:pStyle w:val="Indenta"/>
      </w:pPr>
      <w:r>
        <w:tab/>
        <w:t>(e)</w:t>
      </w:r>
      <w:r>
        <w:tab/>
        <w:t>gasfitting work pursuant to a notice of defects.</w:t>
      </w:r>
    </w:p>
    <w:p>
      <w:pPr>
        <w:pStyle w:val="Subsection"/>
        <w:keepNext/>
        <w:keepLines/>
      </w:pPr>
      <w:r>
        <w:tab/>
        <w:t>(2)</w:t>
      </w:r>
      <w:r>
        <w:tab/>
        <w:t>The registered gas fitter must give a preliminary notice of the proposed work to the gas supplier before the work commences.</w:t>
      </w:r>
    </w:p>
    <w:p>
      <w:pPr>
        <w:pStyle w:val="Subsection"/>
        <w:keepNext/>
        <w:keepLines/>
      </w:pPr>
      <w:r>
        <w:tab/>
        <w:t>(3)</w:t>
      </w:r>
      <w:r>
        <w:tab/>
        <w:t>The preliminary notice is to be in an approved form.</w:t>
      </w:r>
    </w:p>
    <w:p>
      <w:pPr>
        <w:pStyle w:val="Heading5"/>
      </w:pPr>
      <w:bookmarkStart w:id="87" w:name="_Toc447006877"/>
      <w:bookmarkStart w:id="88" w:name="_Toc450365275"/>
      <w:bookmarkStart w:id="89" w:name="_Toc450366230"/>
      <w:r>
        <w:rPr>
          <w:rStyle w:val="CharSectno"/>
        </w:rPr>
        <w:t>28</w:t>
      </w:r>
      <w:r>
        <w:t>.</w:t>
      </w:r>
      <w:r>
        <w:tab/>
        <w:t>Obligations on completion of gasfitting work</w:t>
      </w:r>
      <w:bookmarkEnd w:id="87"/>
      <w:bookmarkEnd w:id="88"/>
      <w:bookmarkEnd w:id="8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Within 48 hours of the completion of the particular gasfitting work, the registered gas fitter must give a notice of completion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t>(4)</w:t>
      </w:r>
      <w:r>
        <w:tab/>
        <w:t>In the notice of completion, the registered gas fitter must certify that every part of the gas installation on which the gasfitting work was done or that is affected by the work complies with the requirements referred to in regulation 32, is safe to use and is completed to a trade finish.</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Heading5"/>
      </w:pPr>
      <w:bookmarkStart w:id="90" w:name="_Toc447006878"/>
      <w:bookmarkStart w:id="91" w:name="_Toc450365276"/>
      <w:bookmarkStart w:id="92" w:name="_Toc450366231"/>
      <w:r>
        <w:rPr>
          <w:rStyle w:val="CharSectno"/>
        </w:rPr>
        <w:t>29</w:t>
      </w:r>
      <w:r>
        <w:t>.</w:t>
      </w:r>
      <w:r>
        <w:tab/>
        <w:t>Notice of defects</w:t>
      </w:r>
      <w:bookmarkEnd w:id="90"/>
      <w:bookmarkEnd w:id="91"/>
      <w:bookmarkEnd w:id="92"/>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93" w:name="_Toc447006879"/>
      <w:bookmarkStart w:id="94" w:name="_Toc450365277"/>
      <w:bookmarkStart w:id="95" w:name="_Toc450366232"/>
      <w:r>
        <w:rPr>
          <w:rStyle w:val="CharSectno"/>
        </w:rPr>
        <w:t>30</w:t>
      </w:r>
      <w:r>
        <w:t>.</w:t>
      </w:r>
      <w:r>
        <w:tab/>
        <w:t>Notice of rectification</w:t>
      </w:r>
      <w:bookmarkEnd w:id="93"/>
      <w:bookmarkEnd w:id="94"/>
      <w:bookmarkEnd w:id="95"/>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96" w:name="_Toc447006880"/>
      <w:bookmarkStart w:id="97" w:name="_Toc450365278"/>
      <w:bookmarkStart w:id="98" w:name="_Toc450366233"/>
      <w:r>
        <w:rPr>
          <w:rStyle w:val="CharSectno"/>
        </w:rPr>
        <w:t>31</w:t>
      </w:r>
      <w:r>
        <w:rPr>
          <w:snapToGrid w:val="0"/>
        </w:rPr>
        <w:t>.</w:t>
      </w:r>
      <w:r>
        <w:rPr>
          <w:snapToGrid w:val="0"/>
        </w:rPr>
        <w:tab/>
        <w:t>Appeal against a notice of defects</w:t>
      </w:r>
      <w:bookmarkEnd w:id="96"/>
      <w:bookmarkEnd w:id="97"/>
      <w:bookmarkEnd w:id="9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r>
        <w:rPr>
          <w:rStyle w:val="CharPartNo"/>
        </w:rPr>
        <w:t>Part 5</w:t>
      </w:r>
      <w:r>
        <w:rPr>
          <w:rStyle w:val="CharDivNo"/>
        </w:rPr>
        <w:t xml:space="preserve"> </w:t>
      </w:r>
      <w:r>
        <w:t>—</w:t>
      </w:r>
      <w:r>
        <w:rPr>
          <w:rStyle w:val="CharDivText"/>
        </w:rPr>
        <w:t xml:space="preserve"> </w:t>
      </w:r>
      <w:r>
        <w:rPr>
          <w:rStyle w:val="CharPartText"/>
        </w:rPr>
        <w:t>Requirements for consumers’ gas installations</w:t>
      </w:r>
    </w:p>
    <w:p>
      <w:pPr>
        <w:pStyle w:val="Heading5"/>
      </w:pPr>
      <w:bookmarkStart w:id="99" w:name="_Toc447006881"/>
      <w:bookmarkStart w:id="100" w:name="_Toc450365279"/>
      <w:bookmarkStart w:id="101" w:name="_Toc450366234"/>
      <w:r>
        <w:rPr>
          <w:rStyle w:val="CharSectno"/>
        </w:rPr>
        <w:t>32</w:t>
      </w:r>
      <w:r>
        <w:t>.</w:t>
      </w:r>
      <w:r>
        <w:tab/>
        <w:t>Requirements for a consumer’s gas installation</w:t>
      </w:r>
      <w:bookmarkEnd w:id="99"/>
      <w:bookmarkEnd w:id="100"/>
      <w:bookmarkEnd w:id="101"/>
    </w:p>
    <w:p>
      <w:pPr>
        <w:pStyle w:val="Subsection"/>
        <w:rPr>
          <w:snapToGrid w:val="0"/>
        </w:rPr>
      </w:pPr>
      <w:r>
        <w:tab/>
        <w:t>(1)</w:t>
      </w:r>
      <w:r>
        <w:tab/>
      </w:r>
      <w:r>
        <w:rPr>
          <w:snapToGrid w:val="0"/>
        </w:rPr>
        <w:t>For the purposes of section 13 of the Act,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Heading5"/>
      </w:pPr>
      <w:bookmarkStart w:id="102" w:name="_Toc447006882"/>
      <w:bookmarkStart w:id="103" w:name="_Toc450365280"/>
      <w:bookmarkStart w:id="104" w:name="_Toc450366235"/>
      <w:r>
        <w:rPr>
          <w:rStyle w:val="CharSectno"/>
        </w:rPr>
        <w:t>33</w:t>
      </w:r>
      <w:r>
        <w:rPr>
          <w:snapToGrid w:val="0"/>
        </w:rPr>
        <w:t>.</w:t>
      </w:r>
      <w:r>
        <w:rPr>
          <w:snapToGrid w:val="0"/>
        </w:rPr>
        <w:tab/>
        <w:t>Interpretation of codes and standards</w:t>
      </w:r>
      <w:bookmarkEnd w:id="102"/>
      <w:bookmarkEnd w:id="103"/>
      <w:bookmarkEnd w:id="10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 AG 601 — 1998 —</w:t>
      </w:r>
    </w:p>
    <w:p>
      <w:pPr>
        <w:pStyle w:val="Indenta"/>
        <w:keepLines w:val="0"/>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Heading2"/>
      </w:pPr>
      <w:r>
        <w:rPr>
          <w:rStyle w:val="CharPartNo"/>
        </w:rPr>
        <w:t>Part 6</w:t>
      </w:r>
      <w:r>
        <w:rPr>
          <w:rStyle w:val="CharDivNo"/>
        </w:rPr>
        <w:t xml:space="preserve"> </w:t>
      </w:r>
      <w:r>
        <w:t>—</w:t>
      </w:r>
      <w:r>
        <w:rPr>
          <w:rStyle w:val="CharDivText"/>
        </w:rPr>
        <w:t xml:space="preserve"> </w:t>
      </w:r>
      <w:r>
        <w:rPr>
          <w:rStyle w:val="CharPartText"/>
        </w:rPr>
        <w:t>Miscellaneous</w:t>
      </w:r>
    </w:p>
    <w:p>
      <w:pPr>
        <w:pStyle w:val="Heading5"/>
      </w:pPr>
      <w:bookmarkStart w:id="105" w:name="_Toc447006883"/>
      <w:bookmarkStart w:id="106" w:name="_Toc450365281"/>
      <w:bookmarkStart w:id="107" w:name="_Toc450366236"/>
      <w:r>
        <w:rPr>
          <w:rStyle w:val="CharSectno"/>
        </w:rPr>
        <w:t>34</w:t>
      </w:r>
      <w:r>
        <w:t>.</w:t>
      </w:r>
      <w:r>
        <w:tab/>
        <w:t>Employer to keep records in relation to each gas fitter employed</w:t>
      </w:r>
      <w:bookmarkEnd w:id="105"/>
      <w:bookmarkEnd w:id="106"/>
      <w:bookmarkEnd w:id="10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authorization and any restrictions, limitations, conditions or restrictions on the certificate, permit or authorization.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08" w:name="_Toc447006884"/>
      <w:bookmarkStart w:id="109" w:name="_Toc450365282"/>
      <w:bookmarkStart w:id="110" w:name="_Toc450366237"/>
      <w:r>
        <w:rPr>
          <w:rStyle w:val="CharSectno"/>
        </w:rPr>
        <w:t>35</w:t>
      </w:r>
      <w:r>
        <w:t>.</w:t>
      </w:r>
      <w:r>
        <w:tab/>
        <w:t>Supplying gas to a newly installed consumer’s gas installation</w:t>
      </w:r>
      <w:bookmarkEnd w:id="108"/>
      <w:bookmarkEnd w:id="109"/>
      <w:bookmarkEnd w:id="110"/>
    </w:p>
    <w:p>
      <w:pPr>
        <w:pStyle w:val="Subsection"/>
      </w:pPr>
      <w:r>
        <w:tab/>
        <w:t>(1)</w:t>
      </w:r>
      <w:r>
        <w:tab/>
        <w:t>Except as provided in this regulation, if gasfitting work is done on a consumer’s gas installation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Heading5"/>
      </w:pPr>
      <w:bookmarkStart w:id="111" w:name="_Toc447006885"/>
      <w:bookmarkStart w:id="112" w:name="_Toc450365283"/>
      <w:bookmarkStart w:id="113" w:name="_Toc450366238"/>
      <w:r>
        <w:rPr>
          <w:rStyle w:val="CharSectno"/>
        </w:rPr>
        <w:t>36</w:t>
      </w:r>
      <w:r>
        <w:t>.</w:t>
      </w:r>
      <w:r>
        <w:tab/>
        <w:t>Consumers’ obligations</w:t>
      </w:r>
      <w:bookmarkEnd w:id="111"/>
      <w:bookmarkEnd w:id="112"/>
      <w:bookmarkEnd w:id="113"/>
    </w:p>
    <w:p>
      <w:pPr>
        <w:pStyle w:val="Subsection"/>
      </w:pPr>
      <w:r>
        <w:tab/>
        <w:t>(1)</w:t>
      </w:r>
      <w:r>
        <w:tab/>
        <w:t>The consumer for whom a Type B appliance is installed must ensure that the appliance is not used until an inspector has issued a certificate of compliance in relation to the appliance under regulation 22.</w:t>
      </w:r>
    </w:p>
    <w:p>
      <w:pPr>
        <w:pStyle w:val="Subsection"/>
        <w:keepNext/>
        <w:keepLines/>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keepNext/>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keepNext/>
      </w:pPr>
      <w:r>
        <w:tab/>
        <w:t>(a)</w:t>
      </w:r>
      <w:r>
        <w:tab/>
      </w:r>
      <w:r>
        <w:rPr>
          <w:snapToGrid w:val="0"/>
        </w:rPr>
        <w:t xml:space="preserve">in the case of a mobile engine </w:t>
      </w:r>
      <w:r>
        <w:t>that</w:t>
      </w:r>
      <w:r>
        <w:rPr>
          <w:snapToGrid w:val="0"/>
        </w:rPr>
        <w:t xml:space="preserve"> uses LPG, AS/NZS 1425:1999; or</w:t>
      </w:r>
    </w:p>
    <w:p>
      <w:pPr>
        <w:pStyle w:val="Indenta"/>
        <w:rPr>
          <w:snapToGrid w:val="0"/>
        </w:rPr>
      </w:pPr>
      <w:r>
        <w:tab/>
        <w:t>(b)</w:t>
      </w:r>
      <w:r>
        <w:tab/>
      </w:r>
      <w:r>
        <w:rPr>
          <w:snapToGrid w:val="0"/>
        </w:rPr>
        <w:t xml:space="preserve">in the case of a mobile engine </w:t>
      </w:r>
      <w:r>
        <w:t>that</w:t>
      </w:r>
      <w:r>
        <w:rPr>
          <w:snapToGrid w:val="0"/>
        </w:rPr>
        <w:t xml:space="preserve"> uses natural gas, AS 2739 — 1992.</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Heading5"/>
      </w:pPr>
      <w:bookmarkStart w:id="114" w:name="_Toc447006886"/>
      <w:bookmarkStart w:id="115" w:name="_Toc450365284"/>
      <w:bookmarkStart w:id="116" w:name="_Toc450366239"/>
      <w:r>
        <w:rPr>
          <w:rStyle w:val="CharSectno"/>
        </w:rPr>
        <w:t>37</w:t>
      </w:r>
      <w:r>
        <w:t>.</w:t>
      </w:r>
      <w:r>
        <w:tab/>
        <w:t>Service apparatus</w:t>
      </w:r>
      <w:bookmarkEnd w:id="114"/>
      <w:bookmarkEnd w:id="115"/>
      <w:bookmarkEnd w:id="116"/>
    </w:p>
    <w:p>
      <w:pPr>
        <w:pStyle w:val="Subsection"/>
      </w:pPr>
      <w:r>
        <w:tab/>
        <w:t>(1)</w:t>
      </w:r>
      <w:r>
        <w:tab/>
        <w:t>A person, whether or not the holder of a certificate of competency, a permit, or an authorization, must not install, remove, demolish, replace, alter, maintain, repair, or otherwise interfere with any service apparatus unless the person is authorized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17" w:name="_Toc447006887"/>
      <w:bookmarkStart w:id="118" w:name="_Toc450365285"/>
      <w:bookmarkStart w:id="119" w:name="_Toc450366240"/>
      <w:r>
        <w:rPr>
          <w:rStyle w:val="CharSectno"/>
        </w:rPr>
        <w:t>38</w:t>
      </w:r>
      <w:r>
        <w:t>.</w:t>
      </w:r>
      <w:r>
        <w:tab/>
        <w:t>Misleading statements</w:t>
      </w:r>
      <w:bookmarkEnd w:id="117"/>
      <w:bookmarkEnd w:id="118"/>
      <w:bookmarkEnd w:id="119"/>
    </w:p>
    <w:p>
      <w:pPr>
        <w:pStyle w:val="Subsection"/>
        <w:rPr>
          <w:snapToGrid w:val="0"/>
        </w:rPr>
      </w:pPr>
      <w:r>
        <w:tab/>
        <w:t>(1)</w:t>
      </w:r>
      <w:r>
        <w:tab/>
      </w:r>
      <w:r>
        <w:rPr>
          <w:snapToGrid w:val="0"/>
        </w:rPr>
        <w:t xml:space="preserve">A person who is not the holder of a certificate of competency, a permit or an authorization to do gasfitting work or a particular class of gasfitting work </w:t>
      </w:r>
      <w:r>
        <w:t>must not</w:t>
      </w:r>
      <w:r>
        <w:rPr>
          <w:snapToGrid w:val="0"/>
        </w:rPr>
        <w:t xml:space="preserve"> advertise or otherwise represent that the person is the holder of that certificate of competency, permit or authorization.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120" w:name="_Toc447006888"/>
      <w:bookmarkStart w:id="121" w:name="_Toc450365286"/>
      <w:bookmarkStart w:id="122" w:name="_Toc450366241"/>
      <w:r>
        <w:rPr>
          <w:rStyle w:val="CharSectno"/>
        </w:rPr>
        <w:t>39</w:t>
      </w:r>
      <w:r>
        <w:t>.</w:t>
      </w:r>
      <w:r>
        <w:tab/>
        <w:t>Improper use of marks signifying the Director’s approval</w:t>
      </w:r>
      <w:bookmarkEnd w:id="120"/>
      <w:bookmarkEnd w:id="121"/>
      <w:bookmarkEnd w:id="122"/>
    </w:p>
    <w:p>
      <w:pPr>
        <w:pStyle w:val="Subsection"/>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123" w:name="_Toc447006889"/>
      <w:bookmarkStart w:id="124" w:name="_Toc450365287"/>
      <w:bookmarkStart w:id="125" w:name="_Toc450366242"/>
      <w:r>
        <w:rPr>
          <w:rStyle w:val="CharSectno"/>
        </w:rPr>
        <w:t>40</w:t>
      </w:r>
      <w:r>
        <w:t>.</w:t>
      </w:r>
      <w:r>
        <w:tab/>
        <w:t>Operating precautions</w:t>
      </w:r>
      <w:bookmarkEnd w:id="123"/>
      <w:bookmarkEnd w:id="124"/>
      <w:bookmarkEnd w:id="125"/>
    </w:p>
    <w:p>
      <w:pPr>
        <w:pStyle w:val="Subsection"/>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126" w:name="_Toc447006890"/>
      <w:bookmarkStart w:id="127" w:name="_Toc450365288"/>
      <w:bookmarkStart w:id="128" w:name="_Toc450366243"/>
      <w:r>
        <w:rPr>
          <w:rStyle w:val="CharSectno"/>
        </w:rPr>
        <w:t>41</w:t>
      </w:r>
      <w:r>
        <w:t>.</w:t>
      </w:r>
      <w:r>
        <w:tab/>
        <w:t>Unattended marine craft</w:t>
      </w:r>
      <w:bookmarkEnd w:id="126"/>
      <w:bookmarkEnd w:id="127"/>
      <w:bookmarkEnd w:id="128"/>
    </w:p>
    <w:p>
      <w:pPr>
        <w:pStyle w:val="Subsection"/>
      </w:pPr>
      <w:r>
        <w:tab/>
      </w:r>
      <w:r>
        <w:tab/>
        <w:t>Before a petrol-powered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129" w:name="_Toc447006891"/>
      <w:bookmarkStart w:id="130" w:name="_Toc450365289"/>
      <w:bookmarkStart w:id="131" w:name="_Toc450366244"/>
      <w:r>
        <w:rPr>
          <w:rStyle w:val="CharSectno"/>
        </w:rPr>
        <w:t>42</w:t>
      </w:r>
      <w:r>
        <w:t>.</w:t>
      </w:r>
      <w:r>
        <w:tab/>
        <w:t>Incidents to be reported</w:t>
      </w:r>
      <w:bookmarkEnd w:id="129"/>
      <w:bookmarkEnd w:id="130"/>
      <w:bookmarkEnd w:id="131"/>
    </w:p>
    <w:p>
      <w:pPr>
        <w:pStyle w:val="Subsection"/>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keepNext/>
        <w:keepLines/>
      </w:pPr>
      <w:r>
        <w:tab/>
        <w:t>(3)</w:t>
      </w:r>
      <w:r>
        <w:tab/>
        <w:t>In this regulation —</w:t>
      </w:r>
    </w:p>
    <w:p>
      <w:pPr>
        <w:pStyle w:val="Defstart"/>
        <w:keepNext/>
        <w:keepLines/>
      </w:pPr>
      <w:r>
        <w:tab/>
      </w:r>
      <w:r>
        <w:rPr>
          <w:b/>
        </w:rPr>
        <w:t>“</w:t>
      </w:r>
      <w:r>
        <w:rPr>
          <w:rStyle w:val="CharDefText"/>
        </w:rPr>
        <w:t>incident</w:t>
      </w:r>
      <w:r>
        <w:rPr>
          <w:b/>
        </w:rPr>
        <w:t>”</w:t>
      </w:r>
      <w:r>
        <w:t xml:space="preserve"> means an incident that involves the sudden discharge of gas or that otherwise relates to gas.</w:t>
      </w:r>
    </w:p>
    <w:p>
      <w:pPr>
        <w:pStyle w:val="Heading2"/>
      </w:pPr>
      <w:r>
        <w:rPr>
          <w:rStyle w:val="CharPartNo"/>
        </w:rPr>
        <w:t>Part 7</w:t>
      </w:r>
      <w:r>
        <w:rPr>
          <w:rStyle w:val="CharDivNo"/>
        </w:rPr>
        <w:t xml:space="preserve"> </w:t>
      </w:r>
      <w:r>
        <w:t>—</w:t>
      </w:r>
      <w:r>
        <w:rPr>
          <w:rStyle w:val="CharDivText"/>
        </w:rPr>
        <w:t xml:space="preserve"> </w:t>
      </w:r>
      <w:r>
        <w:rPr>
          <w:rStyle w:val="CharPartText"/>
        </w:rPr>
        <w:t>Saving and repeal</w:t>
      </w:r>
    </w:p>
    <w:p>
      <w:pPr>
        <w:pStyle w:val="Heading5"/>
        <w:rPr>
          <w:snapToGrid w:val="0"/>
        </w:rPr>
      </w:pPr>
      <w:bookmarkStart w:id="132" w:name="_Toc447006892"/>
      <w:bookmarkStart w:id="133" w:name="_Toc450365290"/>
      <w:bookmarkStart w:id="134" w:name="_Toc450366245"/>
      <w:r>
        <w:rPr>
          <w:rStyle w:val="CharSectno"/>
        </w:rPr>
        <w:t>43</w:t>
      </w:r>
      <w:r>
        <w:rPr>
          <w:snapToGrid w:val="0"/>
        </w:rPr>
        <w:t>.</w:t>
      </w:r>
      <w:r>
        <w:rPr>
          <w:snapToGrid w:val="0"/>
        </w:rPr>
        <w:tab/>
        <w:t>Saving</w:t>
      </w:r>
      <w:bookmarkEnd w:id="132"/>
      <w:bookmarkEnd w:id="133"/>
      <w:bookmarkEnd w:id="134"/>
    </w:p>
    <w:p>
      <w:pPr>
        <w:pStyle w:val="Subsection"/>
        <w:rPr>
          <w:snapToGrid w:val="0"/>
        </w:rPr>
      </w:pPr>
      <w:r>
        <w:rPr>
          <w:snapToGrid w:val="0"/>
        </w:rPr>
        <w:tab/>
        <w:t>(1)</w:t>
      </w:r>
      <w:r>
        <w:rPr>
          <w:snapToGrid w:val="0"/>
        </w:rPr>
        <w:tab/>
        <w:t>A certificate of competency, permit or authorization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135" w:name="_Toc447006893"/>
      <w:bookmarkStart w:id="136" w:name="_Toc450365291"/>
      <w:bookmarkStart w:id="137" w:name="_Toc450366246"/>
      <w:r>
        <w:rPr>
          <w:rStyle w:val="CharSectno"/>
        </w:rPr>
        <w:t>44</w:t>
      </w:r>
      <w:r>
        <w:t>.</w:t>
      </w:r>
      <w:r>
        <w:tab/>
        <w:t>Repeal</w:t>
      </w:r>
      <w:bookmarkEnd w:id="135"/>
      <w:bookmarkEnd w:id="136"/>
      <w:bookmarkEnd w:id="137"/>
    </w:p>
    <w:p>
      <w:pPr>
        <w:pStyle w:val="Subsection"/>
      </w:pPr>
      <w:r>
        <w:tab/>
      </w:r>
      <w:r>
        <w:tab/>
        <w:t xml:space="preserve">The </w:t>
      </w:r>
      <w:r>
        <w:rPr>
          <w:i/>
        </w:rPr>
        <w:t>Gas Standards Regulations 1983</w:t>
      </w:r>
      <w:r>
        <w:t xml:space="preserve"> are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xml:space="preserve"> — </w:t>
      </w:r>
      <w:r>
        <w:rPr>
          <w:rStyle w:val="CharSchText"/>
        </w:rPr>
        <w:t>Type A appliances</w:t>
      </w:r>
    </w:p>
    <w:p>
      <w:pPr>
        <w:pStyle w:val="yShoulderClause"/>
      </w:pPr>
      <w:r>
        <w:t>[r. 3(1)]</w:t>
      </w:r>
    </w:p>
    <w:p>
      <w:pPr>
        <w:pStyle w:val="yHeading5"/>
        <w:outlineLvl w:val="9"/>
      </w:pPr>
      <w:bookmarkStart w:id="138" w:name="_Toc447006894"/>
      <w:bookmarkStart w:id="139" w:name="_Toc450366247"/>
      <w:r>
        <w:t>1.</w:t>
      </w:r>
      <w:r>
        <w:tab/>
        <w:t>Interpretation</w:t>
      </w:r>
      <w:bookmarkEnd w:id="138"/>
      <w:bookmarkEnd w:id="139"/>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140" w:name="_Toc447006895"/>
      <w:bookmarkStart w:id="141" w:name="_Toc450366248"/>
      <w:r>
        <w:t>2.</w:t>
      </w:r>
      <w:r>
        <w:tab/>
        <w:t>List of Type A appliances</w:t>
      </w:r>
      <w:bookmarkEnd w:id="140"/>
      <w:bookmarkEnd w:id="141"/>
    </w:p>
    <w:p>
      <w:pPr>
        <w:pStyle w:val="ySubsection"/>
      </w:pPr>
      <w:r>
        <w:tab/>
      </w:r>
      <w:r>
        <w:tab/>
        <w:t>Type A appliances are listed in the Table to this clause.</w:t>
      </w:r>
    </w:p>
    <w:p>
      <w:pPr>
        <w:pStyle w:val="ySubsection"/>
        <w:tabs>
          <w:tab w:val="clear" w:pos="879"/>
          <w:tab w:val="left" w:pos="993"/>
        </w:tabs>
        <w:ind w:left="992" w:hanging="992"/>
        <w:jc w:val="center"/>
        <w:rPr>
          <w:b/>
        </w:rPr>
      </w:pPr>
      <w:r>
        <w:t>Table</w:t>
      </w:r>
    </w:p>
    <w:p>
      <w:pPr>
        <w:pStyle w:val="ySubsection"/>
        <w:tabs>
          <w:tab w:val="clear" w:pos="879"/>
          <w:tab w:val="left" w:pos="1288"/>
        </w:tabs>
        <w:ind w:left="1302" w:hanging="451"/>
      </w:pPr>
      <w:r>
        <w:t>1.</w:t>
      </w:r>
      <w:r>
        <w:tab/>
        <w:t>Domestic cooking appliances</w:t>
      </w:r>
    </w:p>
    <w:p>
      <w:pPr>
        <w:pStyle w:val="ySubsection"/>
        <w:tabs>
          <w:tab w:val="clear" w:pos="879"/>
          <w:tab w:val="left" w:pos="1288"/>
        </w:tabs>
        <w:ind w:left="1302" w:hanging="451"/>
      </w:pPr>
      <w:r>
        <w:t>2.</w:t>
      </w:r>
      <w:r>
        <w:tab/>
        <w:t>Domestic space heating appliances having a maximum hourly input rate of 150 megajoules</w:t>
      </w:r>
    </w:p>
    <w:p>
      <w:pPr>
        <w:pStyle w:val="ySubsection"/>
        <w:tabs>
          <w:tab w:val="clear" w:pos="879"/>
          <w:tab w:val="left" w:pos="1288"/>
        </w:tabs>
        <w:ind w:left="1302" w:hanging="451"/>
      </w:pPr>
      <w:r>
        <w:t>3.</w:t>
      </w:r>
      <w:r>
        <w:tab/>
        <w:t>Domestic refrigerators</w:t>
      </w:r>
    </w:p>
    <w:p>
      <w:pPr>
        <w:pStyle w:val="ySubsection"/>
        <w:tabs>
          <w:tab w:val="clear" w:pos="879"/>
          <w:tab w:val="left" w:pos="1288"/>
        </w:tabs>
        <w:ind w:left="1302" w:hanging="451"/>
      </w:pPr>
      <w:r>
        <w:t>4.</w:t>
      </w:r>
      <w:r>
        <w:tab/>
        <w:t>Domestic outdoor barbecue grillers</w:t>
      </w:r>
    </w:p>
    <w:p>
      <w:pPr>
        <w:pStyle w:val="ySubsection"/>
        <w:tabs>
          <w:tab w:val="clear" w:pos="879"/>
          <w:tab w:val="left" w:pos="1288"/>
        </w:tabs>
        <w:ind w:left="1302" w:hanging="451"/>
      </w:pPr>
      <w:r>
        <w:t>5.</w:t>
      </w:r>
      <w:r>
        <w:tab/>
        <w:t>Water heaters</w:t>
      </w:r>
    </w:p>
    <w:p>
      <w:pPr>
        <w:pStyle w:val="ySubsection"/>
        <w:tabs>
          <w:tab w:val="clear" w:pos="879"/>
          <w:tab w:val="left" w:pos="1288"/>
        </w:tabs>
        <w:ind w:left="1302" w:hanging="451"/>
      </w:pPr>
      <w:r>
        <w:t>6.</w:t>
      </w:r>
      <w:r>
        <w:tab/>
        <w:t>Swimming pool heaters</w:t>
      </w:r>
    </w:p>
    <w:p>
      <w:pPr>
        <w:pStyle w:val="ySubsection"/>
        <w:tabs>
          <w:tab w:val="clear" w:pos="879"/>
          <w:tab w:val="left" w:pos="1288"/>
        </w:tabs>
        <w:ind w:left="1302" w:hanging="451"/>
      </w:pPr>
      <w:r>
        <w:t>7.</w:t>
      </w:r>
      <w:r>
        <w:tab/>
        <w:t>Commercial catering equipment — boiling tables, open and closed top</w:t>
      </w:r>
    </w:p>
    <w:p>
      <w:pPr>
        <w:pStyle w:val="ySubsection"/>
        <w:tabs>
          <w:tab w:val="clear" w:pos="879"/>
          <w:tab w:val="left" w:pos="1288"/>
        </w:tabs>
        <w:ind w:left="1302" w:hanging="451"/>
      </w:pPr>
      <w:r>
        <w:t>8.</w:t>
      </w:r>
      <w:r>
        <w:tab/>
        <w:t>Catalytic spaceheaters having a maximum hourly input rate of 20 megajoules</w:t>
      </w:r>
    </w:p>
    <w:p>
      <w:pPr>
        <w:pStyle w:val="ySubsection"/>
        <w:tabs>
          <w:tab w:val="clear" w:pos="879"/>
          <w:tab w:val="left" w:pos="1288"/>
        </w:tabs>
        <w:ind w:left="1302" w:hanging="451"/>
      </w:pPr>
      <w:r>
        <w:t>9.</w:t>
      </w:r>
      <w:r>
        <w:tab/>
        <w:t>Domestic decorative gas log fires having a maximum hourly input rate of 72 megajoules</w:t>
      </w:r>
    </w:p>
    <w:p>
      <w:pPr>
        <w:pStyle w:val="ySubsection"/>
        <w:tabs>
          <w:tab w:val="clear" w:pos="879"/>
          <w:tab w:val="left" w:pos="1288"/>
        </w:tabs>
        <w:ind w:left="1302" w:hanging="451"/>
      </w:pPr>
      <w:r>
        <w:t>10.</w:t>
      </w:r>
      <w:r>
        <w:tab/>
        <w:t>Incinerating toilets</w:t>
      </w:r>
    </w:p>
    <w:p>
      <w:pPr>
        <w:pStyle w:val="ySubsection"/>
        <w:tabs>
          <w:tab w:val="clear" w:pos="879"/>
          <w:tab w:val="left" w:pos="1288"/>
        </w:tabs>
        <w:ind w:left="1302" w:hanging="451"/>
      </w:pPr>
      <w:r>
        <w:t>11.</w:t>
      </w:r>
      <w:r>
        <w:tab/>
        <w:t>Cooking, lighting, or heating appliances that use LPG and are designed for outdoor use</w:t>
      </w:r>
    </w:p>
    <w:p>
      <w:pPr>
        <w:pStyle w:val="ySubsection"/>
        <w:tabs>
          <w:tab w:val="clear" w:pos="879"/>
          <w:tab w:val="left" w:pos="1288"/>
        </w:tabs>
        <w:ind w:left="1302" w:hanging="451"/>
      </w:pPr>
      <w:r>
        <w:t>12.</w:t>
      </w:r>
      <w:r>
        <w:tab/>
        <w:t>Commercial catering equipment — salamanders and grillers</w:t>
      </w:r>
    </w:p>
    <w:p>
      <w:pPr>
        <w:pStyle w:val="ySubsection"/>
        <w:tabs>
          <w:tab w:val="clear" w:pos="879"/>
          <w:tab w:val="left" w:pos="1288"/>
        </w:tabs>
        <w:ind w:left="1302" w:hanging="451"/>
      </w:pPr>
      <w:r>
        <w:t>13.</w:t>
      </w:r>
      <w:r>
        <w:tab/>
        <w:t>Commercial catering equipment — solid griller plates, griddles</w:t>
      </w:r>
    </w:p>
    <w:p>
      <w:pPr>
        <w:pStyle w:val="ySubsection"/>
        <w:tabs>
          <w:tab w:val="clear" w:pos="879"/>
          <w:tab w:val="left" w:pos="1288"/>
        </w:tabs>
        <w:ind w:left="1302" w:hanging="451"/>
      </w:pPr>
      <w:r>
        <w:t>14.</w:t>
      </w:r>
      <w:r>
        <w:tab/>
        <w:t>Commercial catering equipment — barbecue grillers</w:t>
      </w:r>
    </w:p>
    <w:p>
      <w:pPr>
        <w:pStyle w:val="ySubsection"/>
        <w:tabs>
          <w:tab w:val="clear" w:pos="879"/>
          <w:tab w:val="left" w:pos="1288"/>
        </w:tabs>
        <w:ind w:left="1302" w:hanging="451"/>
      </w:pPr>
      <w:r>
        <w:t>15.</w:t>
      </w:r>
      <w:r>
        <w:tab/>
        <w:t>Commercial catering equipment — ovens</w:t>
      </w:r>
    </w:p>
    <w:p>
      <w:pPr>
        <w:pStyle w:val="ySubsection"/>
        <w:tabs>
          <w:tab w:val="clear" w:pos="879"/>
          <w:tab w:val="left" w:pos="1288"/>
        </w:tabs>
        <w:ind w:left="1302" w:hanging="451"/>
      </w:pPr>
      <w:r>
        <w:t>16.</w:t>
      </w:r>
      <w:r>
        <w:tab/>
        <w:t>Commercial catering equipment — boiling water units</w:t>
      </w:r>
    </w:p>
    <w:p>
      <w:pPr>
        <w:pStyle w:val="ySubsection"/>
        <w:tabs>
          <w:tab w:val="clear" w:pos="879"/>
          <w:tab w:val="left" w:pos="1288"/>
        </w:tabs>
        <w:ind w:left="1302" w:hanging="451"/>
      </w:pPr>
      <w:r>
        <w:t>17.</w:t>
      </w:r>
      <w:r>
        <w:tab/>
        <w:t>Commercial catering equipment — stock pots</w:t>
      </w:r>
    </w:p>
    <w:p>
      <w:pPr>
        <w:pStyle w:val="ySubsection"/>
        <w:tabs>
          <w:tab w:val="clear" w:pos="879"/>
          <w:tab w:val="left" w:pos="1288"/>
        </w:tabs>
        <w:ind w:left="1302" w:hanging="451"/>
      </w:pPr>
      <w:r>
        <w:t>18.</w:t>
      </w:r>
      <w:r>
        <w:tab/>
        <w:t>Commercial catering equipment — atmospheric steamers</w:t>
      </w:r>
    </w:p>
    <w:p>
      <w:pPr>
        <w:pStyle w:val="ySubsection"/>
        <w:tabs>
          <w:tab w:val="clear" w:pos="879"/>
          <w:tab w:val="left" w:pos="1288"/>
        </w:tabs>
        <w:ind w:left="1302" w:hanging="451"/>
      </w:pPr>
      <w:r>
        <w:t>19.</w:t>
      </w:r>
      <w:r>
        <w:tab/>
        <w:t>Commercial catering equipment — fryers</w:t>
      </w:r>
    </w:p>
    <w:p>
      <w:pPr>
        <w:pStyle w:val="ySubsection"/>
        <w:tabs>
          <w:tab w:val="clear" w:pos="879"/>
          <w:tab w:val="left" w:pos="1288"/>
        </w:tabs>
        <w:ind w:left="1302" w:hanging="451"/>
      </w:pPr>
      <w:r>
        <w:t>20.</w:t>
      </w:r>
      <w:r>
        <w:tab/>
        <w:t>Commercial catering equipment — food warmers, Bain-Marie</w:t>
      </w:r>
    </w:p>
    <w:p>
      <w:pPr>
        <w:pStyle w:val="ySubsection"/>
        <w:tabs>
          <w:tab w:val="clear" w:pos="879"/>
          <w:tab w:val="left" w:pos="1288"/>
        </w:tabs>
        <w:ind w:left="1302" w:hanging="451"/>
      </w:pPr>
      <w:r>
        <w:t>21.</w:t>
      </w:r>
      <w:r>
        <w:tab/>
        <w:t>Commercial Catering Equipment — Convection Ovens</w:t>
      </w:r>
    </w:p>
    <w:p>
      <w:pPr>
        <w:pStyle w:val="ySubsection"/>
        <w:tabs>
          <w:tab w:val="clear" w:pos="879"/>
          <w:tab w:val="left" w:pos="1288"/>
        </w:tabs>
        <w:ind w:left="1302" w:hanging="451"/>
      </w:pPr>
      <w:r>
        <w:t>22.</w:t>
      </w:r>
      <w:r>
        <w:tab/>
        <w:t>Laundry dryers</w:t>
      </w:r>
    </w:p>
    <w:p>
      <w:pPr>
        <w:pStyle w:val="ySubsection"/>
        <w:tabs>
          <w:tab w:val="clear" w:pos="879"/>
          <w:tab w:val="left" w:pos="1288"/>
        </w:tabs>
        <w:ind w:left="1302" w:hanging="451"/>
      </w:pPr>
      <w:r>
        <w:t>23.</w:t>
      </w:r>
      <w:r>
        <w:tab/>
        <w:t>Overhead heaters</w:t>
      </w:r>
    </w:p>
    <w:p>
      <w:pPr>
        <w:pStyle w:val="ySubsection"/>
        <w:tabs>
          <w:tab w:val="clear" w:pos="879"/>
          <w:tab w:val="left" w:pos="1288"/>
        </w:tabs>
        <w:ind w:left="1302" w:hanging="451"/>
      </w:pPr>
      <w:r>
        <w:t>24.</w:t>
      </w:r>
      <w:r>
        <w:tab/>
        <w:t>Industrial mobile air heaters</w:t>
      </w:r>
    </w:p>
    <w:p>
      <w:pPr>
        <w:pStyle w:val="ySubsection"/>
        <w:tabs>
          <w:tab w:val="clear" w:pos="879"/>
          <w:tab w:val="left" w:pos="1288"/>
        </w:tabs>
        <w:ind w:left="1302" w:hanging="451"/>
      </w:pPr>
      <w:r>
        <w:t>25.</w:t>
      </w:r>
      <w:r>
        <w:tab/>
        <w:t>Indirect fired air heaters</w:t>
      </w:r>
    </w:p>
    <w:p>
      <w:pPr>
        <w:pStyle w:val="ySubsection"/>
        <w:tabs>
          <w:tab w:val="clear" w:pos="879"/>
          <w:tab w:val="left" w:pos="1288"/>
        </w:tabs>
        <w:ind w:left="1302" w:hanging="451"/>
      </w:pPr>
      <w:r>
        <w:t>26.</w:t>
      </w:r>
      <w:r>
        <w:tab/>
        <w:t>Air conditioning units</w:t>
      </w:r>
    </w:p>
    <w:p>
      <w:pPr>
        <w:pStyle w:val="yScheduleHeading"/>
      </w:pPr>
      <w:r>
        <w:rPr>
          <w:rStyle w:val="CharSchNo"/>
        </w:rPr>
        <w:t>Schedule 2</w:t>
      </w:r>
      <w:r>
        <w:t xml:space="preserve"> — </w:t>
      </w:r>
      <w:r>
        <w:rPr>
          <w:rStyle w:val="CharSchText"/>
        </w:rPr>
        <w:t>Forms</w:t>
      </w:r>
    </w:p>
    <w:p>
      <w:pPr>
        <w:pStyle w:val="yShoulderClause"/>
      </w:pPr>
      <w:r>
        <w:t>[r. 9(2), 9(3) and 10]</w:t>
      </w:r>
    </w:p>
    <w:p>
      <w:pPr>
        <w:pStyle w:val="y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spacing w:before="0" w:line="240" w:lineRule="auto"/>
              <w:ind w:left="0" w:firstLine="0"/>
            </w:pPr>
            <w:r>
              <w:rPr>
                <w:i/>
              </w:rPr>
              <w:t>Gas Standards (Gasfitting and Consumers’ Gas Installations) Regulations 1999</w:t>
            </w:r>
            <w:r>
              <w:t>, reg. 9(2)</w:t>
            </w:r>
          </w:p>
          <w:p>
            <w:pPr>
              <w:pStyle w:val="ySubsection"/>
              <w:spacing w:before="0" w:line="240" w:lineRule="auto"/>
              <w:ind w:left="0" w:firstLine="0"/>
              <w:rPr>
                <w:b/>
                <w:sz w:val="32"/>
              </w:rPr>
            </w:pPr>
            <w:r>
              <w:rPr>
                <w:b/>
                <w:sz w:val="32"/>
              </w:rPr>
              <w:t>Summons to attend an inquiry</w:t>
            </w:r>
          </w:p>
        </w:tc>
        <w:tc>
          <w:tcPr>
            <w:tcW w:w="1536" w:type="dxa"/>
            <w:tcBorders>
              <w:top w:val="nil"/>
              <w:bottom w:val="nil"/>
              <w:right w:val="nil"/>
            </w:tcBorders>
          </w:tcPr>
          <w:p>
            <w:pPr>
              <w:pStyle w:val="ySubsection"/>
              <w:spacing w:before="0" w:line="240" w:lineRule="auto"/>
              <w:ind w:left="0" w:firstLine="0"/>
            </w:pPr>
          </w:p>
          <w:p>
            <w:pPr>
              <w:pStyle w:val="ySubsection"/>
              <w:spacing w:before="0" w:line="240" w:lineRule="auto"/>
              <w:ind w:left="0" w:firstLine="0"/>
              <w:jc w:val="right"/>
            </w:pPr>
            <w:r>
              <w:t>Form 1</w:t>
            </w:r>
          </w:p>
        </w:tc>
      </w:tr>
      <w:tr>
        <w:trPr>
          <w:cantSplit/>
        </w:trPr>
        <w:tc>
          <w:tcPr>
            <w:tcW w:w="1384" w:type="dxa"/>
            <w:tcBorders>
              <w:top w:val="nil"/>
              <w:left w:val="nil"/>
              <w:bottom w:val="nil"/>
              <w:right w:val="nil"/>
            </w:tcBorders>
          </w:tcPr>
          <w:p>
            <w:pPr>
              <w:pStyle w:val="ySubsection"/>
              <w:spacing w:before="0" w:line="240" w:lineRule="auto"/>
              <w:ind w:left="0" w:firstLine="0"/>
              <w:rPr>
                <w:b/>
              </w:rPr>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1384" w:type="dxa"/>
            <w:vMerge w:val="restart"/>
            <w:tcBorders>
              <w:top w:val="single" w:sz="4" w:space="0" w:color="auto"/>
            </w:tcBorders>
            <w:shd w:val="pct20" w:color="C0C0C0" w:fill="FFFFFF"/>
          </w:tcPr>
          <w:p>
            <w:pPr>
              <w:pStyle w:val="ySubsection"/>
              <w:spacing w:before="0" w:line="240" w:lineRule="auto"/>
              <w:ind w:left="0" w:firstLine="0"/>
              <w:rPr>
                <w:b/>
              </w:rPr>
            </w:pPr>
            <w:r>
              <w:rPr>
                <w:b/>
              </w:rPr>
              <w:t>Person summonsed</w:t>
            </w:r>
          </w:p>
        </w:tc>
        <w:tc>
          <w:tcPr>
            <w:tcW w:w="5930" w:type="dxa"/>
            <w:gridSpan w:val="2"/>
            <w:tcBorders>
              <w:top w:val="single" w:sz="4" w:space="0" w:color="auto"/>
            </w:tcBorders>
          </w:tcPr>
          <w:p>
            <w:pPr>
              <w:pStyle w:val="ySubsection"/>
              <w:spacing w:before="0" w:line="240" w:lineRule="auto"/>
              <w:ind w:left="0" w:firstLine="0"/>
            </w:pPr>
            <w:r>
              <w:t>Name:</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Address:</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861"/>
              </w:tabs>
              <w:spacing w:before="0" w:line="240" w:lineRule="auto"/>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single" w:sz="4" w:space="0" w:color="auto"/>
            </w:tcBorders>
          </w:tcPr>
          <w:p>
            <w:pPr>
              <w:pStyle w:val="ySubsection"/>
              <w:tabs>
                <w:tab w:val="clear" w:pos="879"/>
                <w:tab w:val="left" w:pos="3153"/>
              </w:tabs>
              <w:spacing w:before="0" w:line="240" w:lineRule="auto"/>
              <w:ind w:left="0" w:firstLine="0"/>
            </w:pPr>
            <w:r>
              <w:t>Phone No. (h):</w:t>
            </w:r>
            <w:r>
              <w:tab/>
              <w:t>(w):</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hd w:val="pct20" w:color="C0C0C0" w:fill="FFFFFF"/>
              <w:spacing w:before="0" w:line="240" w:lineRule="auto"/>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your certificate of competency, permit or authorization.</w:t>
            </w:r>
          </w:p>
          <w:p>
            <w:pPr>
              <w:pStyle w:val="ySubsection"/>
              <w:shd w:val="pct20" w:color="C0C0C0" w:fill="FFFFFF"/>
              <w:spacing w:before="0" w:line="240" w:lineRule="auto"/>
              <w:ind w:left="0" w:firstLine="0"/>
              <w:rPr>
                <w:b/>
                <w:sz w:val="28"/>
              </w:rPr>
            </w:pPr>
            <w:r>
              <w:rPr>
                <w:b/>
                <w:sz w:val="28"/>
              </w:rPr>
              <w:t>You are required to attend the inquiry.</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right w:val="nil"/>
            </w:tcBorders>
          </w:tcPr>
          <w:p>
            <w:pPr>
              <w:pStyle w:val="ySubsection"/>
              <w:spacing w:before="0" w:line="240" w:lineRule="auto"/>
              <w:ind w:left="0" w:firstLine="0"/>
            </w:pPr>
          </w:p>
        </w:tc>
      </w:tr>
      <w:tr>
        <w:trPr>
          <w:cantSplit/>
        </w:trPr>
        <w:tc>
          <w:tcPr>
            <w:tcW w:w="1384" w:type="dxa"/>
            <w:vMerge w:val="restart"/>
            <w:shd w:val="pct20" w:color="C0C0C0" w:fill="FFFFFF"/>
          </w:tcPr>
          <w:p>
            <w:pPr>
              <w:pStyle w:val="ySubsection"/>
              <w:spacing w:before="0" w:line="240" w:lineRule="auto"/>
              <w:ind w:left="0" w:firstLine="0"/>
              <w:rPr>
                <w:b/>
              </w:rPr>
            </w:pPr>
            <w:r>
              <w:rPr>
                <w:b/>
              </w:rPr>
              <w:t>Inquiry</w:t>
            </w:r>
          </w:p>
        </w:tc>
        <w:tc>
          <w:tcPr>
            <w:tcW w:w="5930" w:type="dxa"/>
            <w:gridSpan w:val="2"/>
          </w:tcPr>
          <w:p>
            <w:pPr>
              <w:pStyle w:val="ySubsection"/>
              <w:spacing w:before="0" w:line="240" w:lineRule="auto"/>
              <w:ind w:left="0" w:firstLine="0"/>
            </w:pPr>
            <w:r>
              <w:t>Place:</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152"/>
              </w:tabs>
              <w:spacing w:before="0" w:line="240" w:lineRule="auto"/>
              <w:ind w:left="0" w:firstLine="0"/>
            </w:pPr>
            <w:r>
              <w:t>Date:</w:t>
            </w:r>
            <w:r>
              <w:tab/>
            </w:r>
            <w:r>
              <w:tab/>
              <w:t>Time:</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left w:val="nil"/>
              <w:right w:val="nil"/>
            </w:tcBorders>
          </w:tcPr>
          <w:p>
            <w:pPr>
              <w:pStyle w:val="ySubsection"/>
              <w:spacing w:before="0" w:line="240" w:lineRule="auto"/>
              <w:ind w:left="0" w:firstLine="0"/>
            </w:pPr>
          </w:p>
        </w:tc>
      </w:tr>
      <w:tr>
        <w:tc>
          <w:tcPr>
            <w:tcW w:w="1384" w:type="dxa"/>
            <w:tcBorders>
              <w:left w:val="nil"/>
              <w:bottom w:val="nil"/>
              <w:right w:val="nil"/>
            </w:tcBorders>
          </w:tcPr>
          <w:p>
            <w:pPr>
              <w:pStyle w:val="ySubsection"/>
              <w:spacing w:before="0" w:line="240" w:lineRule="auto"/>
              <w:ind w:left="0" w:firstLine="0"/>
            </w:pPr>
          </w:p>
        </w:tc>
        <w:tc>
          <w:tcPr>
            <w:tcW w:w="5930" w:type="dxa"/>
            <w:gridSpan w:val="2"/>
            <w:tcBorders>
              <w:left w:val="nil"/>
              <w:bottom w:val="single" w:sz="4" w:space="0" w:color="auto"/>
              <w:right w:val="nil"/>
            </w:tcBorders>
          </w:tcPr>
          <w:p>
            <w:pPr>
              <w:pStyle w:val="ySubsection"/>
              <w:spacing w:before="0" w:line="240" w:lineRule="auto"/>
              <w:ind w:left="0" w:firstLine="0"/>
            </w:pPr>
          </w:p>
        </w:tc>
      </w:tr>
      <w:tr>
        <w:trPr>
          <w:cantSplit/>
          <w:trHeight w:val="817"/>
        </w:trPr>
        <w:tc>
          <w:tcPr>
            <w:tcW w:w="1384" w:type="dxa"/>
            <w:tcBorders>
              <w:bottom w:val="nil"/>
            </w:tcBorders>
            <w:shd w:val="pct20" w:color="C0C0C0" w:fill="FFFFFF"/>
          </w:tcPr>
          <w:p>
            <w:pPr>
              <w:pStyle w:val="ySubsection"/>
              <w:spacing w:before="0" w:line="240" w:lineRule="auto"/>
              <w:ind w:left="0" w:firstLine="0"/>
              <w:rPr>
                <w:b/>
              </w:rPr>
            </w:pPr>
            <w:r>
              <w:rPr>
                <w:b/>
                <w:shd w:val="pct20" w:color="C0C0C0" w:fill="FFFFFF"/>
              </w:rPr>
              <w:t>Reason for inquiry</w:t>
            </w:r>
          </w:p>
        </w:tc>
        <w:tc>
          <w:tcPr>
            <w:tcW w:w="5930" w:type="dxa"/>
            <w:gridSpan w:val="2"/>
            <w:tcBorders>
              <w:bottom w:val="nil"/>
            </w:tcBorders>
          </w:tcPr>
          <w:p>
            <w:pPr>
              <w:pStyle w:val="ySubsection"/>
              <w:spacing w:before="0" w:line="240" w:lineRule="auto"/>
              <w:ind w:left="0" w:firstLine="0"/>
            </w:pPr>
            <w:r>
              <w:t xml:space="preserve">The inquiry is being held because: </w:t>
            </w: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tc>
      </w:tr>
      <w:tr>
        <w:trPr>
          <w:cantSplit/>
          <w:trHeight w:val="267"/>
        </w:trPr>
        <w:tc>
          <w:tcPr>
            <w:tcW w:w="1384" w:type="dxa"/>
            <w:vMerge w:val="restart"/>
            <w:tcBorders>
              <w:top w:val="single" w:sz="4" w:space="0" w:color="auto"/>
              <w:bottom w:val="single" w:sz="4" w:space="0" w:color="auto"/>
            </w:tcBorders>
            <w:shd w:val="pct20" w:color="C0C0C0" w:fill="FFFFFF"/>
          </w:tcPr>
          <w:p>
            <w:pPr>
              <w:pStyle w:val="ySubsection"/>
              <w:spacing w:before="0" w:line="240" w:lineRule="auto"/>
              <w:ind w:left="0" w:firstLine="0"/>
              <w:rPr>
                <w:b/>
              </w:rPr>
            </w:pPr>
            <w:r>
              <w:rPr>
                <w:b/>
              </w:rPr>
              <w:t>Person issuing summons</w:t>
            </w:r>
          </w:p>
        </w:tc>
        <w:tc>
          <w:tcPr>
            <w:tcW w:w="5930" w:type="dxa"/>
            <w:gridSpan w:val="2"/>
            <w:tcBorders>
              <w:bottom w:val="nil"/>
            </w:tcBorders>
          </w:tcPr>
          <w:p>
            <w:pPr>
              <w:pStyle w:val="ySubsection"/>
              <w:spacing w:before="0" w:line="240" w:lineRule="auto"/>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line="240" w:lineRule="auto"/>
              <w:ind w:left="0" w:firstLine="0"/>
              <w:rPr>
                <w:b/>
              </w:rPr>
            </w:pPr>
          </w:p>
        </w:tc>
        <w:tc>
          <w:tcPr>
            <w:tcW w:w="5930" w:type="dxa"/>
            <w:gridSpan w:val="2"/>
            <w:tcBorders>
              <w:bottom w:val="nil"/>
            </w:tcBorders>
          </w:tcPr>
          <w:p>
            <w:pPr>
              <w:pStyle w:val="ySubsection"/>
              <w:spacing w:before="0" w:line="240" w:lineRule="auto"/>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line="240" w:lineRule="auto"/>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line="240" w:lineRule="auto"/>
              <w:ind w:left="0" w:firstLine="0"/>
            </w:pPr>
            <w:r>
              <w:t>Signature:</w:t>
            </w:r>
            <w:r>
              <w:tab/>
              <w:t>Date:</w:t>
            </w:r>
          </w:p>
        </w:tc>
      </w:tr>
    </w:tbl>
    <w:p>
      <w:pPr>
        <w:pStyle w:val="ySubsection"/>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pageBreakBefore/>
              <w:spacing w:before="0" w:line="240" w:lineRule="auto"/>
              <w:ind w:left="0" w:firstLine="0"/>
            </w:pPr>
            <w:r>
              <w:br w:type="page"/>
            </w:r>
            <w:r>
              <w:rPr>
                <w:i/>
              </w:rPr>
              <w:t>Gas Standards (Gasfitting and Consumers’ Gas Installations) Regulations 1999</w:t>
            </w:r>
            <w:r>
              <w:t>, reg. 9(3)</w:t>
            </w:r>
          </w:p>
          <w:p>
            <w:pPr>
              <w:pStyle w:val="ySubsection"/>
              <w:pageBreakBefore/>
              <w:spacing w:before="0" w:line="240" w:lineRule="auto"/>
              <w:ind w:left="0" w:firstLine="0"/>
              <w:rPr>
                <w:b/>
                <w:sz w:val="32"/>
              </w:rPr>
            </w:pPr>
            <w:r>
              <w:rPr>
                <w:b/>
                <w:sz w:val="32"/>
              </w:rPr>
              <w:t>Summons to give evidence at an inquiry</w:t>
            </w:r>
          </w:p>
        </w:tc>
        <w:tc>
          <w:tcPr>
            <w:tcW w:w="1536" w:type="dxa"/>
            <w:tcBorders>
              <w:top w:val="nil"/>
              <w:bottom w:val="nil"/>
              <w:right w:val="nil"/>
            </w:tcBorders>
          </w:tcPr>
          <w:p>
            <w:pPr>
              <w:pStyle w:val="ySubsection"/>
              <w:pageBreakBefore/>
              <w:spacing w:before="0" w:line="240" w:lineRule="auto"/>
              <w:ind w:left="0" w:firstLine="0"/>
            </w:pPr>
          </w:p>
          <w:p>
            <w:pPr>
              <w:pStyle w:val="ySubsection"/>
              <w:pageBreakBefore/>
              <w:spacing w:before="0" w:line="240" w:lineRule="auto"/>
              <w:ind w:left="0" w:firstLine="0"/>
              <w:jc w:val="right"/>
            </w:pPr>
            <w:r>
              <w:t>Form 2</w:t>
            </w:r>
          </w:p>
        </w:tc>
      </w:tr>
      <w:tr>
        <w:trPr>
          <w:cantSplit/>
        </w:trPr>
        <w:tc>
          <w:tcPr>
            <w:tcW w:w="1384" w:type="dxa"/>
            <w:tcBorders>
              <w:top w:val="nil"/>
              <w:left w:val="nil"/>
              <w:bottom w:val="nil"/>
              <w:right w:val="nil"/>
            </w:tcBorders>
          </w:tcPr>
          <w:p>
            <w:pPr>
              <w:pStyle w:val="ySubsection"/>
              <w:spacing w:before="0" w:line="240" w:lineRule="auto"/>
              <w:ind w:left="0" w:firstLine="0"/>
              <w:rPr>
                <w:b/>
              </w:rPr>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1384" w:type="dxa"/>
            <w:vMerge w:val="restart"/>
            <w:tcBorders>
              <w:top w:val="single" w:sz="4" w:space="0" w:color="auto"/>
            </w:tcBorders>
            <w:shd w:val="pct20" w:color="C0C0C0" w:fill="FFFFFF"/>
          </w:tcPr>
          <w:p>
            <w:pPr>
              <w:pStyle w:val="ySubsection"/>
              <w:spacing w:before="0" w:line="240" w:lineRule="auto"/>
              <w:ind w:left="0" w:firstLine="0"/>
              <w:rPr>
                <w:b/>
              </w:rPr>
            </w:pPr>
            <w:r>
              <w:rPr>
                <w:b/>
              </w:rPr>
              <w:t>Person summonsed</w:t>
            </w:r>
          </w:p>
        </w:tc>
        <w:tc>
          <w:tcPr>
            <w:tcW w:w="5930" w:type="dxa"/>
            <w:gridSpan w:val="2"/>
            <w:tcBorders>
              <w:top w:val="single" w:sz="4" w:space="0" w:color="auto"/>
            </w:tcBorders>
          </w:tcPr>
          <w:p>
            <w:pPr>
              <w:pStyle w:val="ySubsection"/>
              <w:spacing w:before="0" w:line="240" w:lineRule="auto"/>
              <w:ind w:left="0" w:firstLine="0"/>
            </w:pPr>
            <w:r>
              <w:t>Name:</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Address:</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861"/>
              </w:tabs>
              <w:spacing w:before="0" w:line="240" w:lineRule="auto"/>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single" w:sz="4" w:space="0" w:color="auto"/>
            </w:tcBorders>
          </w:tcPr>
          <w:p>
            <w:pPr>
              <w:pStyle w:val="ySubsection"/>
              <w:tabs>
                <w:tab w:val="clear" w:pos="879"/>
                <w:tab w:val="left" w:pos="3153"/>
              </w:tabs>
              <w:spacing w:before="0" w:line="240" w:lineRule="auto"/>
              <w:ind w:left="0" w:firstLine="0"/>
            </w:pPr>
            <w:r>
              <w:t>Phone No. (h):</w:t>
            </w:r>
            <w:r>
              <w:tab/>
              <w:t>(w):</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pacing w:before="0" w:line="240" w:lineRule="auto"/>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a person’s certificate of competency, permit or authorization.</w:t>
            </w:r>
          </w:p>
          <w:p>
            <w:pPr>
              <w:pStyle w:val="ySubsection"/>
              <w:spacing w:before="0" w:line="240" w:lineRule="auto"/>
              <w:ind w:left="0" w:firstLine="0"/>
              <w:rPr>
                <w:b/>
                <w:sz w:val="28"/>
              </w:rPr>
            </w:pPr>
            <w:r>
              <w:rPr>
                <w:b/>
                <w:sz w:val="28"/>
              </w:rPr>
              <w:t>You are required to attend the inquiry to give evidence and to produce the documents listed below.</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right w:val="nil"/>
            </w:tcBorders>
          </w:tcPr>
          <w:p>
            <w:pPr>
              <w:pStyle w:val="ySubsection"/>
              <w:spacing w:before="0" w:line="240" w:lineRule="auto"/>
              <w:ind w:left="0" w:firstLine="0"/>
            </w:pPr>
          </w:p>
        </w:tc>
      </w:tr>
      <w:tr>
        <w:trPr>
          <w:cantSplit/>
        </w:trPr>
        <w:tc>
          <w:tcPr>
            <w:tcW w:w="1384" w:type="dxa"/>
            <w:vMerge w:val="restart"/>
            <w:shd w:val="pct20" w:color="C0C0C0" w:fill="FFFFFF"/>
          </w:tcPr>
          <w:p>
            <w:pPr>
              <w:pStyle w:val="ySubsection"/>
              <w:spacing w:before="0" w:line="240" w:lineRule="auto"/>
              <w:ind w:left="0" w:firstLine="0"/>
              <w:rPr>
                <w:b/>
              </w:rPr>
            </w:pPr>
            <w:r>
              <w:rPr>
                <w:b/>
              </w:rPr>
              <w:t>Inquiry</w:t>
            </w:r>
          </w:p>
        </w:tc>
        <w:tc>
          <w:tcPr>
            <w:tcW w:w="5930" w:type="dxa"/>
            <w:gridSpan w:val="2"/>
          </w:tcPr>
          <w:p>
            <w:pPr>
              <w:pStyle w:val="ySubsection"/>
              <w:spacing w:before="0" w:line="240" w:lineRule="auto"/>
              <w:ind w:left="0" w:firstLine="0"/>
            </w:pPr>
            <w:r>
              <w:t>Place:</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152"/>
              </w:tabs>
              <w:spacing w:before="0" w:line="240" w:lineRule="auto"/>
              <w:ind w:left="0" w:firstLine="0"/>
            </w:pPr>
            <w:r>
              <w:t>Date:</w:t>
            </w:r>
            <w:r>
              <w:tab/>
            </w:r>
            <w:r>
              <w:tab/>
              <w:t>Time:</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left w:val="nil"/>
              <w:right w:val="nil"/>
            </w:tcBorders>
          </w:tcPr>
          <w:p>
            <w:pPr>
              <w:pStyle w:val="ySubsection"/>
              <w:spacing w:before="0" w:line="240" w:lineRule="auto"/>
              <w:ind w:left="0" w:firstLine="0"/>
            </w:pPr>
          </w:p>
        </w:tc>
      </w:tr>
      <w:tr>
        <w:trPr>
          <w:cantSplit/>
        </w:trPr>
        <w:tc>
          <w:tcPr>
            <w:tcW w:w="1384" w:type="dxa"/>
            <w:vMerge w:val="restart"/>
            <w:shd w:val="pct20" w:color="C0C0C0" w:fill="FFFFFF"/>
          </w:tcPr>
          <w:p>
            <w:pPr>
              <w:pStyle w:val="ySubsection"/>
              <w:spacing w:before="0" w:line="240" w:lineRule="auto"/>
              <w:ind w:left="0" w:firstLine="0"/>
              <w:rPr>
                <w:b/>
              </w:rPr>
            </w:pPr>
            <w:r>
              <w:rPr>
                <w:b/>
              </w:rPr>
              <w:t>Reason for inquiry</w:t>
            </w:r>
          </w:p>
        </w:tc>
        <w:tc>
          <w:tcPr>
            <w:tcW w:w="5930" w:type="dxa"/>
            <w:gridSpan w:val="2"/>
            <w:tcBorders>
              <w:bottom w:val="nil"/>
            </w:tcBorders>
          </w:tcPr>
          <w:p>
            <w:pPr>
              <w:pStyle w:val="ySubsection"/>
              <w:spacing w:before="0" w:line="240" w:lineRule="auto"/>
              <w:ind w:left="0" w:firstLine="0"/>
            </w:pPr>
            <w:r>
              <w:t>The person who is the subject of the inquiry is:</w:t>
            </w:r>
          </w:p>
          <w:p>
            <w:pPr>
              <w:pStyle w:val="ySubsection"/>
              <w:spacing w:before="0" w:line="240" w:lineRule="auto"/>
              <w:ind w:left="0" w:firstLine="0"/>
            </w:pPr>
          </w:p>
        </w:tc>
      </w:tr>
      <w:tr>
        <w:trPr>
          <w:cantSplit/>
        </w:trPr>
        <w:tc>
          <w:tcPr>
            <w:tcW w:w="1384" w:type="dxa"/>
            <w:vMerge/>
            <w:shd w:val="pct20" w:color="C0C0C0" w:fill="FFFFFF"/>
          </w:tcPr>
          <w:p>
            <w:pPr>
              <w:pStyle w:val="ySubsection"/>
              <w:spacing w:before="0" w:line="240" w:lineRule="auto"/>
              <w:ind w:left="0" w:firstLine="0"/>
              <w:rPr>
                <w:b/>
              </w:rPr>
            </w:pPr>
          </w:p>
        </w:tc>
        <w:tc>
          <w:tcPr>
            <w:tcW w:w="5930" w:type="dxa"/>
            <w:gridSpan w:val="2"/>
            <w:tcBorders>
              <w:bottom w:val="nil"/>
            </w:tcBorders>
          </w:tcPr>
          <w:p>
            <w:pPr>
              <w:pStyle w:val="ySubsection"/>
              <w:spacing w:before="0" w:line="240" w:lineRule="auto"/>
              <w:ind w:left="0" w:firstLine="0"/>
            </w:pPr>
            <w:r>
              <w:t xml:space="preserve">The inquiry is being held because: </w:t>
            </w: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tc>
      </w:tr>
      <w:tr>
        <w:tc>
          <w:tcPr>
            <w:tcW w:w="1384" w:type="dxa"/>
            <w:tcBorders>
              <w:left w:val="nil"/>
              <w:bottom w:val="nil"/>
              <w:right w:val="nil"/>
            </w:tcBorders>
          </w:tcPr>
          <w:p>
            <w:pPr>
              <w:pStyle w:val="ySubsection"/>
              <w:spacing w:before="0" w:line="240" w:lineRule="auto"/>
              <w:ind w:left="0" w:firstLine="0"/>
            </w:pPr>
          </w:p>
        </w:tc>
        <w:tc>
          <w:tcPr>
            <w:tcW w:w="5930" w:type="dxa"/>
            <w:gridSpan w:val="2"/>
            <w:tcBorders>
              <w:left w:val="nil"/>
              <w:bottom w:val="nil"/>
              <w:right w:val="nil"/>
            </w:tcBorders>
          </w:tcPr>
          <w:p>
            <w:pPr>
              <w:pStyle w:val="ySubsection"/>
              <w:spacing w:before="0" w:line="240" w:lineRule="auto"/>
              <w:ind w:left="0" w:firstLine="0"/>
            </w:pPr>
          </w:p>
        </w:tc>
      </w:tr>
      <w:tr>
        <w:tc>
          <w:tcPr>
            <w:tcW w:w="1384" w:type="dxa"/>
            <w:tcBorders>
              <w:left w:val="single" w:sz="4" w:space="0" w:color="auto"/>
              <w:bottom w:val="single" w:sz="4" w:space="0" w:color="auto"/>
              <w:right w:val="single" w:sz="4" w:space="0" w:color="auto"/>
            </w:tcBorders>
            <w:shd w:val="pct20" w:color="C0C0C0" w:fill="FFFFFF"/>
          </w:tcPr>
          <w:p>
            <w:pPr>
              <w:pStyle w:val="ySubsection"/>
              <w:spacing w:before="0" w:line="240" w:lineRule="auto"/>
              <w:ind w:left="0" w:firstLine="0"/>
              <w:rPr>
                <w:b/>
              </w:rPr>
            </w:pPr>
            <w:r>
              <w:rPr>
                <w:b/>
              </w:rPr>
              <w:t>Documents to be produced (if any)</w:t>
            </w:r>
          </w:p>
        </w:tc>
        <w:tc>
          <w:tcPr>
            <w:tcW w:w="5930" w:type="dxa"/>
            <w:gridSpan w:val="2"/>
            <w:tcBorders>
              <w:left w:val="single" w:sz="4" w:space="0" w:color="auto"/>
              <w:bottom w:val="single" w:sz="4" w:space="0" w:color="auto"/>
              <w:right w:val="single" w:sz="4" w:space="0" w:color="auto"/>
            </w:tcBorders>
          </w:tcPr>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bottom w:val="single" w:sz="4" w:space="0" w:color="auto"/>
              <w:right w:val="nil"/>
            </w:tcBorders>
          </w:tcPr>
          <w:p>
            <w:pPr>
              <w:pStyle w:val="ySubsection"/>
              <w:spacing w:before="0" w:line="240" w:lineRule="auto"/>
              <w:ind w:left="0" w:firstLine="0"/>
            </w:pPr>
          </w:p>
        </w:tc>
      </w:tr>
      <w:tr>
        <w:trPr>
          <w:cantSplit/>
          <w:trHeight w:val="267"/>
        </w:trPr>
        <w:tc>
          <w:tcPr>
            <w:tcW w:w="1384" w:type="dxa"/>
            <w:vMerge w:val="restart"/>
            <w:tcBorders>
              <w:bottom w:val="single" w:sz="4" w:space="0" w:color="auto"/>
            </w:tcBorders>
            <w:shd w:val="pct20" w:color="C0C0C0" w:fill="FFFFFF"/>
          </w:tcPr>
          <w:p>
            <w:pPr>
              <w:pStyle w:val="ySubsection"/>
              <w:spacing w:before="0" w:line="240" w:lineRule="auto"/>
              <w:ind w:left="0" w:firstLine="0"/>
              <w:rPr>
                <w:b/>
              </w:rPr>
            </w:pPr>
            <w:r>
              <w:rPr>
                <w:b/>
              </w:rPr>
              <w:t>Person issuing summons</w:t>
            </w:r>
          </w:p>
        </w:tc>
        <w:tc>
          <w:tcPr>
            <w:tcW w:w="5930" w:type="dxa"/>
            <w:gridSpan w:val="2"/>
            <w:tcBorders>
              <w:bottom w:val="nil"/>
            </w:tcBorders>
          </w:tcPr>
          <w:p>
            <w:pPr>
              <w:pStyle w:val="ySubsection"/>
              <w:spacing w:before="0" w:line="240" w:lineRule="auto"/>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line="240" w:lineRule="auto"/>
              <w:ind w:left="0" w:firstLine="0"/>
              <w:rPr>
                <w:b/>
              </w:rPr>
            </w:pPr>
          </w:p>
        </w:tc>
        <w:tc>
          <w:tcPr>
            <w:tcW w:w="5930" w:type="dxa"/>
            <w:gridSpan w:val="2"/>
            <w:tcBorders>
              <w:bottom w:val="nil"/>
            </w:tcBorders>
          </w:tcPr>
          <w:p>
            <w:pPr>
              <w:pStyle w:val="ySubsection"/>
              <w:spacing w:before="0" w:line="240" w:lineRule="auto"/>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line="240" w:lineRule="auto"/>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line="240" w:lineRule="auto"/>
              <w:ind w:left="0" w:firstLine="0"/>
            </w:pPr>
            <w:r>
              <w:t>Signature:</w:t>
            </w:r>
            <w:r>
              <w:tab/>
              <w:t>Date:</w:t>
            </w:r>
          </w:p>
        </w:tc>
      </w:tr>
    </w:tbl>
    <w:p>
      <w:pPr>
        <w:pStyle w:val="ySubsection"/>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pageBreakBefore/>
              <w:spacing w:before="0" w:line="240" w:lineRule="auto"/>
              <w:ind w:left="0" w:firstLine="0"/>
            </w:pPr>
            <w:r>
              <w:br w:type="page"/>
            </w:r>
            <w:r>
              <w:br w:type="page"/>
            </w:r>
            <w:r>
              <w:rPr>
                <w:i/>
              </w:rPr>
              <w:t>Gas Standards (Gasfitting and Consumers’ Gas Installations) Regulations 1999</w:t>
            </w:r>
            <w:r>
              <w:t>, reg. 10</w:t>
            </w:r>
          </w:p>
          <w:p>
            <w:pPr>
              <w:pStyle w:val="ySubsection"/>
              <w:spacing w:before="0" w:line="240" w:lineRule="auto"/>
              <w:ind w:left="0" w:firstLine="0"/>
              <w:rPr>
                <w:b/>
                <w:sz w:val="32"/>
              </w:rPr>
            </w:pPr>
            <w:r>
              <w:rPr>
                <w:b/>
                <w:sz w:val="32"/>
              </w:rPr>
              <w:t xml:space="preserve">Notice of Appeal </w:t>
            </w:r>
          </w:p>
        </w:tc>
        <w:tc>
          <w:tcPr>
            <w:tcW w:w="1536" w:type="dxa"/>
            <w:tcBorders>
              <w:top w:val="nil"/>
              <w:bottom w:val="nil"/>
              <w:right w:val="nil"/>
            </w:tcBorders>
          </w:tcPr>
          <w:p>
            <w:pPr>
              <w:pStyle w:val="ySubsection"/>
              <w:spacing w:before="0" w:line="240" w:lineRule="auto"/>
              <w:ind w:left="0" w:firstLine="0"/>
            </w:pPr>
          </w:p>
          <w:p>
            <w:pPr>
              <w:pStyle w:val="ySubsection"/>
              <w:spacing w:before="0" w:line="240" w:lineRule="auto"/>
              <w:ind w:left="0" w:firstLine="0"/>
              <w:jc w:val="right"/>
            </w:pPr>
            <w:r>
              <w:t>Form 3</w:t>
            </w:r>
          </w:p>
        </w:tc>
      </w:tr>
      <w:tr>
        <w:trPr>
          <w:cantSplit/>
        </w:trPr>
        <w:tc>
          <w:tcPr>
            <w:tcW w:w="1384" w:type="dxa"/>
            <w:tcBorders>
              <w:top w:val="nil"/>
              <w:left w:val="nil"/>
              <w:bottom w:val="nil"/>
              <w:right w:val="nil"/>
            </w:tcBorders>
          </w:tcPr>
          <w:p>
            <w:pPr>
              <w:pStyle w:val="ySubsection"/>
              <w:spacing w:before="0" w:line="240" w:lineRule="auto"/>
              <w:ind w:left="0" w:firstLine="0"/>
              <w:rPr>
                <w:b/>
              </w:rPr>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1384" w:type="dxa"/>
            <w:vMerge w:val="restart"/>
            <w:tcBorders>
              <w:top w:val="single" w:sz="4" w:space="0" w:color="auto"/>
            </w:tcBorders>
            <w:shd w:val="pct20" w:color="C0C0C0" w:fill="FFFFFF"/>
          </w:tcPr>
          <w:p>
            <w:pPr>
              <w:pStyle w:val="ySubsection"/>
              <w:spacing w:before="0" w:line="240" w:lineRule="auto"/>
              <w:ind w:left="0" w:firstLine="0"/>
              <w:rPr>
                <w:b/>
              </w:rPr>
            </w:pPr>
            <w:r>
              <w:rPr>
                <w:b/>
              </w:rPr>
              <w:t xml:space="preserve">Appellant </w:t>
            </w:r>
          </w:p>
        </w:tc>
        <w:tc>
          <w:tcPr>
            <w:tcW w:w="5930" w:type="dxa"/>
            <w:gridSpan w:val="2"/>
            <w:tcBorders>
              <w:top w:val="single" w:sz="4" w:space="0" w:color="auto"/>
            </w:tcBorders>
          </w:tcPr>
          <w:p>
            <w:pPr>
              <w:pStyle w:val="ySubsection"/>
              <w:spacing w:before="0" w:line="240" w:lineRule="auto"/>
              <w:ind w:left="0" w:firstLine="0"/>
            </w:pPr>
            <w:r>
              <w:t>Name:</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Address:</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861"/>
              </w:tabs>
              <w:spacing w:before="0" w:line="240" w:lineRule="auto"/>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single" w:sz="4" w:space="0" w:color="auto"/>
            </w:tcBorders>
          </w:tcPr>
          <w:p>
            <w:pPr>
              <w:pStyle w:val="ySubsection"/>
              <w:tabs>
                <w:tab w:val="clear" w:pos="879"/>
                <w:tab w:val="left" w:pos="3153"/>
              </w:tabs>
              <w:spacing w:before="0" w:line="240" w:lineRule="auto"/>
              <w:ind w:left="0" w:firstLine="0"/>
            </w:pPr>
            <w:r>
              <w:t>Phone No. (h):</w:t>
            </w:r>
            <w:r>
              <w:tab/>
              <w:t>(w):</w:t>
            </w: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Pr>
        <w:tc>
          <w:tcPr>
            <w:tcW w:w="1384" w:type="dxa"/>
            <w:vMerge w:val="restart"/>
            <w:shd w:val="pct20" w:color="C0C0C0" w:fill="FFFFFF"/>
          </w:tcPr>
          <w:p>
            <w:pPr>
              <w:pStyle w:val="ySubsection"/>
              <w:spacing w:before="0" w:line="240" w:lineRule="auto"/>
              <w:ind w:left="0" w:firstLine="0"/>
              <w:rPr>
                <w:b/>
              </w:rPr>
            </w:pPr>
            <w:r>
              <w:rPr>
                <w:b/>
              </w:rPr>
              <w:t>Order appealed against</w:t>
            </w:r>
          </w:p>
        </w:tc>
        <w:tc>
          <w:tcPr>
            <w:tcW w:w="5930" w:type="dxa"/>
            <w:gridSpan w:val="2"/>
          </w:tcPr>
          <w:p>
            <w:pPr>
              <w:pStyle w:val="ySubsection"/>
              <w:spacing w:before="0" w:line="240" w:lineRule="auto"/>
              <w:ind w:left="0" w:firstLine="0"/>
            </w:pPr>
            <w:r>
              <w:t>Order made by:</w:t>
            </w:r>
          </w:p>
        </w:tc>
      </w:tr>
      <w:tr>
        <w:trPr>
          <w:cantSplit/>
        </w:trPr>
        <w:tc>
          <w:tcPr>
            <w:tcW w:w="1384" w:type="dxa"/>
            <w:vMerge/>
            <w:shd w:val="pct20" w:color="C0C0C0" w:fill="FFFFFF"/>
          </w:tcPr>
          <w:p>
            <w:pPr>
              <w:pStyle w:val="ySubsection"/>
              <w:spacing w:before="0" w:line="240" w:lineRule="auto"/>
              <w:ind w:left="0" w:firstLine="0"/>
            </w:pPr>
          </w:p>
        </w:tc>
        <w:tc>
          <w:tcPr>
            <w:tcW w:w="5930" w:type="dxa"/>
            <w:gridSpan w:val="2"/>
          </w:tcPr>
          <w:p>
            <w:pPr>
              <w:pStyle w:val="ySubsection"/>
              <w:spacing w:before="0" w:line="240" w:lineRule="auto"/>
              <w:ind w:left="0" w:firstLine="0"/>
            </w:pPr>
            <w:r>
              <w:t>Date order made:</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595"/>
                <w:tab w:val="clear" w:pos="879"/>
                <w:tab w:val="left" w:pos="176"/>
                <w:tab w:val="left" w:pos="601"/>
                <w:tab w:val="right" w:pos="4428"/>
              </w:tabs>
              <w:spacing w:before="0" w:line="240" w:lineRule="auto"/>
              <w:ind w:left="0" w:firstLine="0"/>
            </w:pPr>
            <w:r>
              <w:t>Order relates to my —</w:t>
            </w:r>
          </w:p>
          <w:p>
            <w:pPr>
              <w:pStyle w:val="ySubsection"/>
              <w:tabs>
                <w:tab w:val="clear" w:pos="595"/>
                <w:tab w:val="clear" w:pos="879"/>
                <w:tab w:val="left" w:pos="176"/>
                <w:tab w:val="left" w:pos="601"/>
                <w:tab w:val="left" w:pos="3152"/>
              </w:tabs>
              <w:spacing w:before="0" w:line="240" w:lineRule="auto"/>
              <w:ind w:left="0" w:firstLine="0"/>
            </w:pPr>
            <w:r>
              <w:tab/>
            </w:r>
            <w:r>
              <w:sym w:font="Monotype Sorts" w:char="F06F"/>
            </w:r>
            <w:r>
              <w:tab/>
              <w:t xml:space="preserve">Certificate of competency no. ___________ </w:t>
            </w:r>
          </w:p>
          <w:p>
            <w:pPr>
              <w:pStyle w:val="ySubsection"/>
              <w:tabs>
                <w:tab w:val="clear" w:pos="595"/>
                <w:tab w:val="clear" w:pos="879"/>
                <w:tab w:val="left" w:pos="176"/>
                <w:tab w:val="left" w:pos="601"/>
                <w:tab w:val="left" w:pos="3152"/>
              </w:tabs>
              <w:spacing w:before="0" w:line="240" w:lineRule="auto"/>
              <w:ind w:left="0" w:firstLine="0"/>
            </w:pPr>
            <w:r>
              <w:tab/>
            </w:r>
            <w:r>
              <w:sym w:font="Monotype Sorts" w:char="F06F"/>
            </w:r>
            <w:r>
              <w:tab/>
              <w:t xml:space="preserve">Permit no. _______________ </w:t>
            </w:r>
          </w:p>
          <w:p>
            <w:pPr>
              <w:pStyle w:val="ySubsection"/>
              <w:tabs>
                <w:tab w:val="clear" w:pos="595"/>
                <w:tab w:val="clear" w:pos="879"/>
                <w:tab w:val="left" w:pos="176"/>
                <w:tab w:val="left" w:pos="601"/>
                <w:tab w:val="left" w:pos="3152"/>
              </w:tabs>
              <w:spacing w:before="0" w:line="240" w:lineRule="auto"/>
              <w:ind w:left="0" w:firstLine="0"/>
            </w:pPr>
            <w:r>
              <w:tab/>
            </w:r>
            <w:r>
              <w:sym w:font="Monotype Sorts" w:char="F06F"/>
            </w:r>
            <w:r>
              <w:tab/>
              <w:t>Authorization no. __________________</w:t>
            </w:r>
          </w:p>
        </w:tc>
      </w:tr>
      <w:tr>
        <w:trPr>
          <w:cantSplit/>
        </w:trPr>
        <w:tc>
          <w:tcPr>
            <w:tcW w:w="1384" w:type="dxa"/>
            <w:vMerge/>
            <w:tcBorders>
              <w:bottom w:val="single" w:sz="4" w:space="0" w:color="auto"/>
            </w:tcBorders>
            <w:shd w:val="pct20" w:color="C0C0C0" w:fill="FFFFFF"/>
          </w:tcPr>
          <w:p>
            <w:pPr>
              <w:pStyle w:val="ySubsection"/>
              <w:spacing w:before="0" w:line="240" w:lineRule="auto"/>
              <w:ind w:left="0" w:firstLine="0"/>
            </w:pPr>
          </w:p>
        </w:tc>
        <w:tc>
          <w:tcPr>
            <w:tcW w:w="5930" w:type="dxa"/>
            <w:gridSpan w:val="2"/>
            <w:tcBorders>
              <w:bottom w:val="nil"/>
            </w:tcBorders>
          </w:tcPr>
          <w:p>
            <w:pPr>
              <w:pStyle w:val="ySubsection"/>
              <w:tabs>
                <w:tab w:val="clear" w:pos="879"/>
                <w:tab w:val="left" w:pos="3152"/>
              </w:tabs>
              <w:spacing w:before="0" w:line="240" w:lineRule="auto"/>
              <w:ind w:left="601" w:hanging="567"/>
            </w:pPr>
            <w:r>
              <w:t>Effect of order:</w:t>
            </w:r>
          </w:p>
          <w:p>
            <w:pPr>
              <w:pStyle w:val="ySubsection"/>
              <w:tabs>
                <w:tab w:val="clear" w:pos="595"/>
                <w:tab w:val="clear" w:pos="879"/>
                <w:tab w:val="left" w:pos="176"/>
                <w:tab w:val="left" w:pos="601"/>
                <w:tab w:val="left" w:pos="3152"/>
              </w:tabs>
              <w:spacing w:before="0" w:line="240" w:lineRule="auto"/>
              <w:ind w:left="601" w:hanging="567"/>
            </w:pPr>
            <w:r>
              <w:tab/>
            </w:r>
            <w:r>
              <w:sym w:font="Monotype Sorts" w:char="F06F"/>
            </w:r>
            <w:r>
              <w:tab/>
              <w:t xml:space="preserve">cancellation of certificate, permit or authorization </w:t>
            </w:r>
          </w:p>
          <w:p>
            <w:pPr>
              <w:pStyle w:val="ySubsection"/>
              <w:tabs>
                <w:tab w:val="clear" w:pos="595"/>
                <w:tab w:val="clear" w:pos="879"/>
                <w:tab w:val="left" w:pos="176"/>
                <w:tab w:val="left" w:pos="601"/>
                <w:tab w:val="left" w:pos="3152"/>
              </w:tabs>
              <w:spacing w:before="0" w:line="240" w:lineRule="auto"/>
              <w:ind w:left="601" w:hanging="567"/>
            </w:pPr>
            <w:r>
              <w:tab/>
            </w:r>
            <w:r>
              <w:sym w:font="Monotype Sorts" w:char="F06F"/>
            </w:r>
            <w:r>
              <w:tab/>
              <w:t>suspension of certificate, permit or authorization</w:t>
            </w:r>
          </w:p>
          <w:p>
            <w:pPr>
              <w:pStyle w:val="ySubsection"/>
              <w:tabs>
                <w:tab w:val="clear" w:pos="595"/>
                <w:tab w:val="clear" w:pos="879"/>
                <w:tab w:val="left" w:pos="176"/>
                <w:tab w:val="left" w:pos="601"/>
                <w:tab w:val="left" w:pos="3152"/>
              </w:tabs>
              <w:spacing w:before="0" w:line="240" w:lineRule="auto"/>
              <w:ind w:left="601" w:hanging="567"/>
            </w:pPr>
            <w:r>
              <w:tab/>
            </w:r>
            <w:r>
              <w:sym w:font="Monotype Sorts" w:char="F06F"/>
            </w:r>
            <w:r>
              <w:tab/>
              <w:t>imposition of conditions on certificate, permit or authorization.  Give details:________________________ ____________________________________________________________________________________________</w:t>
            </w:r>
          </w:p>
          <w:p>
            <w:pPr>
              <w:pStyle w:val="ySubsection"/>
              <w:tabs>
                <w:tab w:val="clear" w:pos="595"/>
                <w:tab w:val="clear" w:pos="879"/>
                <w:tab w:val="left" w:pos="176"/>
                <w:tab w:val="left" w:pos="3152"/>
              </w:tabs>
              <w:spacing w:before="0" w:line="240" w:lineRule="auto"/>
              <w:ind w:left="601" w:hanging="567"/>
            </w:pPr>
            <w:r>
              <w:tab/>
            </w:r>
            <w:r>
              <w:sym w:font="Monotype Sorts" w:char="F06F"/>
            </w:r>
            <w:r>
              <w:tab/>
              <w:t>other.  Give details:______________________________ ____________________________________________________________________________________________</w:t>
            </w:r>
          </w:p>
          <w:p>
            <w:pPr>
              <w:pStyle w:val="ySubsection"/>
              <w:tabs>
                <w:tab w:val="clear" w:pos="879"/>
                <w:tab w:val="left" w:pos="3152"/>
              </w:tabs>
              <w:spacing w:before="0" w:line="240" w:lineRule="auto"/>
              <w:ind w:left="601" w:hanging="567"/>
            </w:pP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left w:val="nil"/>
              <w:bottom w:val="nil"/>
              <w:right w:val="nil"/>
            </w:tcBorders>
          </w:tcPr>
          <w:p>
            <w:pPr>
              <w:pStyle w:val="ySubsection"/>
              <w:spacing w:before="0" w:line="240" w:lineRule="auto"/>
              <w:ind w:left="0" w:firstLine="0"/>
            </w:pPr>
          </w:p>
        </w:tc>
      </w:tr>
      <w:tr>
        <w:trPr>
          <w:cantSplit/>
          <w:trHeight w:val="541"/>
        </w:trPr>
        <w:tc>
          <w:tcPr>
            <w:tcW w:w="1384" w:type="dxa"/>
            <w:shd w:val="pct20" w:color="C0C0C0" w:fill="FFFFFF"/>
          </w:tcPr>
          <w:p>
            <w:pPr>
              <w:pStyle w:val="ySubsection"/>
              <w:spacing w:before="0" w:line="240" w:lineRule="auto"/>
              <w:ind w:left="0" w:firstLine="0"/>
              <w:rPr>
                <w:b/>
              </w:rPr>
            </w:pPr>
            <w:r>
              <w:rPr>
                <w:b/>
              </w:rPr>
              <w:t>Grounds for appeal</w:t>
            </w:r>
          </w:p>
          <w:p>
            <w:pPr>
              <w:pStyle w:val="ySubsection"/>
              <w:spacing w:before="0" w:line="240" w:lineRule="auto"/>
              <w:ind w:left="0" w:firstLine="0"/>
            </w:pPr>
            <w:r>
              <w:t>(Attach extra pages if necessary)</w:t>
            </w:r>
          </w:p>
        </w:tc>
        <w:tc>
          <w:tcPr>
            <w:tcW w:w="5930" w:type="dxa"/>
            <w:gridSpan w:val="2"/>
            <w:tcBorders>
              <w:bottom w:val="single" w:sz="4" w:space="0" w:color="auto"/>
            </w:tcBorders>
          </w:tcPr>
          <w:p>
            <w:pPr>
              <w:pStyle w:val="ySubsection"/>
              <w:spacing w:before="0" w:line="240" w:lineRule="auto"/>
              <w:ind w:left="0" w:firstLine="0"/>
            </w:pPr>
            <w:r>
              <w:t>I appeal against the order because:</w:t>
            </w: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pPr>
          </w:p>
          <w:p>
            <w:pPr>
              <w:pStyle w:val="ySubsection"/>
              <w:spacing w:before="0"/>
            </w:pPr>
          </w:p>
          <w:p>
            <w:pPr>
              <w:pStyle w:val="ySubsection"/>
              <w:spacing w:before="0"/>
            </w:pPr>
          </w:p>
          <w:p>
            <w:pPr>
              <w:pStyle w:val="ySubsection"/>
              <w:spacing w:befor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p>
            <w:pPr>
              <w:pStyle w:val="ySubsection"/>
              <w:spacing w:before="0" w:line="240" w:lineRule="auto"/>
              <w:ind w:left="0" w:firstLine="0"/>
            </w:pPr>
          </w:p>
        </w:tc>
      </w:tr>
      <w:tr>
        <w:tc>
          <w:tcPr>
            <w:tcW w:w="1384" w:type="dxa"/>
            <w:tcBorders>
              <w:top w:val="nil"/>
              <w:left w:val="nil"/>
              <w:bottom w:val="nil"/>
              <w:right w:val="nil"/>
            </w:tcBorders>
          </w:tcPr>
          <w:p>
            <w:pPr>
              <w:pStyle w:val="ySubsection"/>
              <w:spacing w:before="0" w:line="240" w:lineRule="auto"/>
              <w:ind w:left="0" w:firstLine="0"/>
            </w:pPr>
          </w:p>
        </w:tc>
        <w:tc>
          <w:tcPr>
            <w:tcW w:w="5930" w:type="dxa"/>
            <w:gridSpan w:val="2"/>
            <w:tcBorders>
              <w:top w:val="nil"/>
              <w:left w:val="nil"/>
              <w:bottom w:val="nil"/>
              <w:right w:val="nil"/>
            </w:tcBorders>
          </w:tcPr>
          <w:p>
            <w:pPr>
              <w:pStyle w:val="ySubsection"/>
              <w:spacing w:before="0" w:line="240" w:lineRule="auto"/>
              <w:ind w:left="0" w:firstLine="0"/>
            </w:pPr>
          </w:p>
        </w:tc>
      </w:tr>
      <w:tr>
        <w:trPr>
          <w:cantSplit/>
          <w:trHeight w:val="265"/>
        </w:trPr>
        <w:tc>
          <w:tcPr>
            <w:tcW w:w="7314" w:type="dxa"/>
            <w:gridSpan w:val="3"/>
            <w:tcBorders>
              <w:bottom w:val="single" w:sz="4" w:space="0" w:color="auto"/>
            </w:tcBorders>
          </w:tcPr>
          <w:p>
            <w:pPr>
              <w:pStyle w:val="ySubsection"/>
              <w:tabs>
                <w:tab w:val="clear" w:pos="595"/>
                <w:tab w:val="clear" w:pos="879"/>
                <w:tab w:val="left" w:pos="5103"/>
              </w:tabs>
              <w:spacing w:before="0" w:line="240" w:lineRule="auto"/>
              <w:ind w:left="0" w:firstLine="0"/>
            </w:pPr>
            <w:r>
              <w:t>Signature:</w:t>
            </w:r>
            <w:r>
              <w:tab/>
              <w:t>Date:</w:t>
            </w:r>
          </w:p>
          <w:p>
            <w:pPr>
              <w:pStyle w:val="ySubsection"/>
              <w:tabs>
                <w:tab w:val="clear" w:pos="595"/>
                <w:tab w:val="clear" w:pos="879"/>
                <w:tab w:val="left" w:pos="5103"/>
              </w:tabs>
              <w:spacing w:before="0" w:line="240" w:lineRule="auto"/>
              <w:ind w:left="0" w:firstLine="0"/>
            </w:pPr>
          </w:p>
        </w:tc>
      </w:tr>
    </w:tbl>
    <w:p>
      <w:pPr>
        <w:pStyle w:val="yScheduleHeading"/>
      </w:pPr>
      <w:r>
        <w:rPr>
          <w:rStyle w:val="CharSchNo"/>
        </w:rPr>
        <w:t>Schedule 3</w:t>
      </w:r>
      <w:r>
        <w:t xml:space="preserve"> — </w:t>
      </w:r>
      <w:r>
        <w:rPr>
          <w:rStyle w:val="CharSchText"/>
        </w:rPr>
        <w:t>Witness fees and allowances</w:t>
      </w:r>
    </w:p>
    <w:p>
      <w:pPr>
        <w:pStyle w:val="yShoulderClause"/>
      </w:pPr>
      <w:r>
        <w:t>[r. 9(4)]</w:t>
      </w:r>
    </w:p>
    <w:p>
      <w:pPr>
        <w:pStyle w:val="yHeading5"/>
        <w:outlineLvl w:val="9"/>
      </w:pPr>
      <w:bookmarkStart w:id="142" w:name="_Toc447006896"/>
      <w:bookmarkStart w:id="143" w:name="_Toc450366249"/>
      <w:r>
        <w:t>1.</w:t>
      </w:r>
      <w:r>
        <w:tab/>
        <w:t>Daily allowance</w:t>
      </w:r>
      <w:bookmarkEnd w:id="142"/>
      <w:bookmarkEnd w:id="14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44" w:name="_Toc447006897"/>
      <w:bookmarkStart w:id="145" w:name="_Toc450366250"/>
      <w:r>
        <w:t>2.</w:t>
      </w:r>
      <w:r>
        <w:tab/>
        <w:t>Expenses</w:t>
      </w:r>
      <w:bookmarkEnd w:id="144"/>
      <w:bookmarkEnd w:id="145"/>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46" w:name="_Toc447006898"/>
      <w:bookmarkStart w:id="147" w:name="_Toc450366251"/>
      <w:r>
        <w:t>3.</w:t>
      </w:r>
      <w:r>
        <w:tab/>
        <w:t>Expert evidence</w:t>
      </w:r>
      <w:bookmarkEnd w:id="146"/>
      <w:bookmarkEnd w:id="14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r>
        <w:rPr>
          <w:rStyle w:val="CharSchNo"/>
        </w:rPr>
        <w:t>Schedule 4</w:t>
      </w:r>
      <w:r>
        <w:t xml:space="preserve"> — </w:t>
      </w:r>
      <w:r>
        <w:rPr>
          <w:rStyle w:val="CharSchText"/>
        </w:rPr>
        <w:t>Application fees for permits and authorizations</w:t>
      </w:r>
    </w:p>
    <w:p>
      <w:pPr>
        <w:pStyle w:val="yShoulderClause"/>
      </w:pPr>
      <w:r>
        <w:t>[r. 11]</w:t>
      </w:r>
    </w:p>
    <w:p>
      <w:pPr>
        <w:pStyle w:val="ySubsection"/>
      </w:pP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$16.00</w:t>
            </w:r>
          </w:p>
        </w:tc>
      </w:tr>
      <w:tr>
        <w:tc>
          <w:tcPr>
            <w:tcW w:w="5812" w:type="dxa"/>
          </w:tcPr>
          <w:p>
            <w:pPr>
              <w:pStyle w:val="yTable"/>
            </w:pPr>
            <w:r>
              <w:t>Authorization</w:t>
            </w:r>
          </w:p>
        </w:tc>
        <w:tc>
          <w:tcPr>
            <w:tcW w:w="1528" w:type="dxa"/>
          </w:tcPr>
          <w:p>
            <w:pPr>
              <w:pStyle w:val="yTable"/>
              <w:tabs>
                <w:tab w:val="decimal" w:pos="710"/>
              </w:tabs>
            </w:pPr>
            <w:r>
              <w:t>$200.00</w:t>
            </w:r>
          </w:p>
        </w:tc>
      </w:tr>
    </w:tbl>
    <w:p>
      <w:pPr>
        <w:pStyle w:val="ySubsection"/>
      </w:pPr>
    </w:p>
    <w:p>
      <w:pPr>
        <w:pStyle w:val="yScheduleHeading"/>
      </w:pPr>
      <w:r>
        <w:rPr>
          <w:rStyle w:val="CharSchNo"/>
        </w:rPr>
        <w:t>Schedule 5</w:t>
      </w:r>
      <w:r>
        <w:t xml:space="preserve"> — </w:t>
      </w:r>
      <w:r>
        <w:rPr>
          <w:rStyle w:val="CharSchText"/>
        </w:rPr>
        <w:t>Classes of gasfitting work</w:t>
      </w:r>
    </w:p>
    <w:p>
      <w:pPr>
        <w:pStyle w:val="yShoulderClause"/>
      </w:pPr>
      <w:r>
        <w:t xml:space="preserve">[r. </w:t>
      </w:r>
      <w:bookmarkStart w:id="148" w:name="_Hlt430076473"/>
      <w:r>
        <w:t>13(2)</w:t>
      </w:r>
      <w:bookmarkEnd w:id="148"/>
      <w:r>
        <w:t>]</w:t>
      </w:r>
    </w:p>
    <w:p>
      <w:pPr>
        <w:pStyle w:val="ySubsection"/>
      </w:pP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ubsection"/>
      </w:pPr>
    </w:p>
    <w:p>
      <w:pPr>
        <w:pStyle w:val="yScheduleHeading"/>
      </w:pPr>
      <w:r>
        <w:rPr>
          <w:rStyle w:val="CharSchNo"/>
        </w:rPr>
        <w:t>Schedule 6</w:t>
      </w:r>
      <w:r>
        <w:t xml:space="preserve"> — </w:t>
      </w:r>
      <w:r>
        <w:rPr>
          <w:rStyle w:val="CharSchText"/>
        </w:rPr>
        <w:t>Certain requirements as to consumers’ gas installations</w:t>
      </w:r>
    </w:p>
    <w:p>
      <w:pPr>
        <w:pStyle w:val="yShoulderClause"/>
      </w:pPr>
      <w:r>
        <w:t>[r. 32(1)(a)]</w:t>
      </w:r>
    </w:p>
    <w:p>
      <w:pPr>
        <w:pStyle w:val="yHeading3"/>
        <w:outlineLvl w:val="9"/>
      </w:pPr>
      <w:r>
        <w:rPr>
          <w:rStyle w:val="CharDivNo"/>
        </w:rPr>
        <w:t>Division 1</w:t>
      </w:r>
      <w:r>
        <w:t xml:space="preserve"> — </w:t>
      </w:r>
      <w:r>
        <w:rPr>
          <w:rStyle w:val="CharDivText"/>
        </w:rPr>
        <w:t>Interpretation</w:t>
      </w:r>
    </w:p>
    <w:p>
      <w:pPr>
        <w:pStyle w:val="yHeading5"/>
        <w:outlineLvl w:val="9"/>
      </w:pPr>
      <w:bookmarkStart w:id="149" w:name="_Toc447006899"/>
      <w:bookmarkStart w:id="150" w:name="_Toc450366252"/>
      <w:r>
        <w:t>101.</w:t>
      </w:r>
      <w:r>
        <w:tab/>
        <w:t>Definitions</w:t>
      </w:r>
      <w:bookmarkEnd w:id="149"/>
      <w:bookmarkEnd w:id="150"/>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r>
        <w:rPr>
          <w:rStyle w:val="CharDivNo"/>
        </w:rPr>
        <w:t>Division 2</w:t>
      </w:r>
      <w:r>
        <w:t xml:space="preserve"> — Master meters</w:t>
      </w:r>
    </w:p>
    <w:p>
      <w:pPr>
        <w:pStyle w:val="yHeading5"/>
        <w:outlineLvl w:val="9"/>
      </w:pPr>
      <w:bookmarkStart w:id="151" w:name="_Toc447006900"/>
      <w:bookmarkStart w:id="152" w:name="_Toc450366253"/>
      <w:r>
        <w:t>201.</w:t>
      </w:r>
      <w:r>
        <w:tab/>
        <w:t>Application</w:t>
      </w:r>
      <w:bookmarkEnd w:id="151"/>
      <w:bookmarkEnd w:id="152"/>
    </w:p>
    <w:p>
      <w:pPr>
        <w:pStyle w:val="ySubsection"/>
        <w:rPr>
          <w:snapToGrid w:val="0"/>
        </w:rPr>
      </w:pPr>
      <w:r>
        <w:tab/>
      </w:r>
      <w:r>
        <w:tab/>
      </w:r>
      <w:r>
        <w:rPr>
          <w:snapToGrid w:val="0"/>
        </w:rPr>
        <w:t>This Division applies in addition to clause 4.14 of AG 601 — 1998.</w:t>
      </w:r>
    </w:p>
    <w:p>
      <w:pPr>
        <w:pStyle w:val="yHeading5"/>
        <w:outlineLvl w:val="9"/>
      </w:pPr>
      <w:bookmarkStart w:id="153" w:name="_Toc447006901"/>
      <w:bookmarkStart w:id="154" w:name="_Toc450366254"/>
      <w:r>
        <w:t>202.</w:t>
      </w:r>
      <w:r>
        <w:tab/>
        <w:t>Location of master meters</w:t>
      </w:r>
      <w:bookmarkEnd w:id="153"/>
      <w:bookmarkEnd w:id="154"/>
    </w:p>
    <w:p>
      <w:pPr>
        <w:pStyle w:val="ySubsection"/>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outlineLvl w:val="9"/>
      </w:pPr>
      <w:bookmarkStart w:id="155" w:name="_Toc447006902"/>
      <w:bookmarkStart w:id="156" w:name="_Toc450366255"/>
      <w:r>
        <w:t>203.</w:t>
      </w:r>
      <w:r>
        <w:tab/>
        <w:t>Position of master meters generally</w:t>
      </w:r>
      <w:bookmarkEnd w:id="155"/>
      <w:bookmarkEnd w:id="156"/>
    </w:p>
    <w:p>
      <w:pPr>
        <w:pStyle w:val="ySubsection"/>
        <w:keepNext/>
        <w:keepLines/>
        <w:rPr>
          <w:snapToGrid w:val="0"/>
        </w:rPr>
      </w:pPr>
      <w:r>
        <w:tab/>
      </w:r>
      <w:r>
        <w:tab/>
      </w:r>
      <w:r>
        <w:rPr>
          <w:snapToGrid w:val="0"/>
        </w:rPr>
        <w:t xml:space="preserve">A master meter </w:t>
      </w:r>
      <w:r>
        <w:t>must</w:t>
      </w:r>
      <w:r>
        <w:rPr>
          <w:snapToGrid w:val="0"/>
        </w:rPr>
        <w:t xml:space="preserve"> be installed so that —</w:t>
      </w:r>
    </w:p>
    <w:p>
      <w:pPr>
        <w:pStyle w:val="yIndenta"/>
        <w:keepNext/>
      </w:pPr>
      <w:r>
        <w:tab/>
        <w:t>(a)</w:t>
      </w:r>
      <w:r>
        <w:tab/>
      </w:r>
      <w:r>
        <w:rPr>
          <w:snapToGrid w:val="0"/>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157" w:name="_Toc447006903"/>
      <w:bookmarkStart w:id="158" w:name="_Toc450366256"/>
      <w:r>
        <w:t>204.</w:t>
      </w:r>
      <w:r>
        <w:tab/>
        <w:t>Prohibited positions</w:t>
      </w:r>
      <w:bookmarkEnd w:id="157"/>
      <w:bookmarkEnd w:id="158"/>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159" w:name="_Toc447006904"/>
      <w:bookmarkStart w:id="160" w:name="_Toc450366257"/>
      <w:r>
        <w:t>205.</w:t>
      </w:r>
      <w:r>
        <w:tab/>
        <w:t>Master meter boxes</w:t>
      </w:r>
      <w:bookmarkEnd w:id="159"/>
      <w:bookmarkEnd w:id="160"/>
    </w:p>
    <w:p>
      <w:pPr>
        <w:pStyle w:val="ySubsection"/>
        <w:keepNext/>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161" w:name="_Toc447006905"/>
      <w:bookmarkStart w:id="162" w:name="_Toc450366258"/>
      <w:r>
        <w:t>206.</w:t>
      </w:r>
      <w:r>
        <w:tab/>
        <w:t>Master meter boxes in cavity walls</w:t>
      </w:r>
      <w:bookmarkEnd w:id="161"/>
      <w:bookmarkEnd w:id="162"/>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163" w:name="_Toc447006906"/>
      <w:bookmarkStart w:id="164" w:name="_Toc450366259"/>
      <w:r>
        <w:t>207.</w:t>
      </w:r>
      <w:r>
        <w:tab/>
        <w:t>Prepayment meters</w:t>
      </w:r>
      <w:bookmarkEnd w:id="163"/>
      <w:bookmarkEnd w:id="16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165" w:name="_Toc447006907"/>
      <w:bookmarkStart w:id="166" w:name="_Toc450366260"/>
      <w:r>
        <w:t>208.</w:t>
      </w:r>
      <w:r>
        <w:tab/>
        <w:t>Identification of master meters</w:t>
      </w:r>
      <w:bookmarkEnd w:id="165"/>
      <w:bookmarkEnd w:id="166"/>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r>
        <w:rPr>
          <w:rStyle w:val="CharDivNo"/>
        </w:rPr>
        <w:t>Division 3</w:t>
      </w:r>
      <w:r>
        <w:t xml:space="preserve"> — </w:t>
      </w:r>
      <w:r>
        <w:rPr>
          <w:rStyle w:val="CharDivText"/>
        </w:rPr>
        <w:t>LPG cylinders and tanks</w:t>
      </w:r>
    </w:p>
    <w:p>
      <w:pPr>
        <w:pStyle w:val="yHeading5"/>
        <w:outlineLvl w:val="9"/>
      </w:pPr>
      <w:bookmarkStart w:id="167" w:name="_Toc447006908"/>
      <w:bookmarkStart w:id="168" w:name="_Toc450366261"/>
      <w:r>
        <w:t>301.</w:t>
      </w:r>
      <w:r>
        <w:tab/>
        <w:t>Location of cylinders, tanks and regulators</w:t>
      </w:r>
      <w:bookmarkEnd w:id="167"/>
      <w:bookmarkEnd w:id="168"/>
    </w:p>
    <w:p>
      <w:pPr>
        <w:pStyle w:val="ySubsection"/>
        <w:rPr>
          <w:snapToGrid w:val="0"/>
        </w:rPr>
      </w:pPr>
      <w:r>
        <w:tab/>
        <w:t>(1)</w:t>
      </w:r>
      <w:r>
        <w:tab/>
      </w:r>
      <w:r>
        <w:rPr>
          <w:snapToGrid w:val="0"/>
        </w:rPr>
        <w:t xml:space="preserve">The location of cylinders, tanks and regulators </w:t>
      </w:r>
      <w:r>
        <w:t>must</w:t>
      </w:r>
      <w:r>
        <w:rPr>
          <w:snapToGrid w:val="0"/>
        </w:rPr>
        <w:t xml:space="preserve"> comply with AS/NZS 1596: 1997.</w:t>
      </w:r>
    </w:p>
    <w:p>
      <w:pPr>
        <w:pStyle w:val="ySubsection"/>
        <w:rPr>
          <w:snapToGrid w:val="0"/>
        </w:rPr>
      </w:pPr>
      <w:r>
        <w:tab/>
        <w:t>(2)</w:t>
      </w:r>
      <w:r>
        <w:tab/>
      </w:r>
      <w:r>
        <w:rPr>
          <w:snapToGrid w:val="0"/>
        </w:rPr>
        <w:t>This clause applies in addition to clause 6.3.1 of AG 601 — 1998.</w:t>
      </w:r>
    </w:p>
    <w:p>
      <w:pPr>
        <w:pStyle w:val="yHeading5"/>
        <w:outlineLvl w:val="9"/>
      </w:pPr>
      <w:bookmarkStart w:id="169" w:name="_Toc447006909"/>
      <w:bookmarkStart w:id="170" w:name="_Toc450366262"/>
      <w:r>
        <w:t>302.</w:t>
      </w:r>
      <w:r>
        <w:tab/>
        <w:t>Housings</w:t>
      </w:r>
      <w:bookmarkEnd w:id="169"/>
      <w:bookmarkEnd w:id="17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rPr>
          <w:snapToGrid w:val="0"/>
        </w:rPr>
      </w:pPr>
      <w:r>
        <w:tab/>
        <w:t>(2)</w:t>
      </w:r>
      <w:r>
        <w:tab/>
      </w:r>
      <w:r>
        <w:rPr>
          <w:snapToGrid w:val="0"/>
        </w:rPr>
        <w:t>This clause applies in addition to clause 6.3.10 of AG 601 — 1998.</w:t>
      </w:r>
    </w:p>
    <w:p>
      <w:pPr>
        <w:pStyle w:val="yHeading5"/>
        <w:outlineLvl w:val="9"/>
      </w:pPr>
      <w:bookmarkStart w:id="171" w:name="_Toc447006910"/>
      <w:bookmarkStart w:id="172" w:name="_Toc450366263"/>
      <w:r>
        <w:t>303.</w:t>
      </w:r>
      <w:r>
        <w:tab/>
        <w:t>Pressure relief valve outlets</w:t>
      </w:r>
      <w:bookmarkEnd w:id="171"/>
      <w:bookmarkEnd w:id="172"/>
    </w:p>
    <w:p>
      <w:pPr>
        <w:pStyle w:val="ySubsection"/>
        <w:rPr>
          <w:snapToGrid w:val="0"/>
        </w:rPr>
      </w:pPr>
      <w:r>
        <w:tab/>
        <w:t>(1)</w:t>
      </w:r>
      <w:r>
        <w:tab/>
      </w:r>
      <w:r>
        <w:rPr>
          <w:snapToGrid w:val="0"/>
        </w:rPr>
        <w:t>The pressure relief valve outlet of a cylinder or tank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rPr>
          <w:snapToGrid w:val="0"/>
        </w:rPr>
      </w:pPr>
      <w:r>
        <w:tab/>
        <w:t>(3)</w:t>
      </w:r>
      <w:r>
        <w:tab/>
      </w:r>
      <w:r>
        <w:rPr>
          <w:snapToGrid w:val="0"/>
        </w:rPr>
        <w:t>This clause applies in place of clause 6.4 of AG 601 — 1998.</w:t>
      </w:r>
    </w:p>
    <w:p>
      <w:pPr>
        <w:pStyle w:val="yHeading5"/>
        <w:outlineLvl w:val="9"/>
      </w:pPr>
      <w:bookmarkStart w:id="173" w:name="_Toc447006911"/>
      <w:bookmarkStart w:id="174" w:name="_Toc450366264"/>
      <w:r>
        <w:t>304.</w:t>
      </w:r>
      <w:r>
        <w:tab/>
        <w:t>Appliances not to be connected to gas supply for mobile engines</w:t>
      </w:r>
      <w:bookmarkEnd w:id="173"/>
      <w:bookmarkEnd w:id="174"/>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r>
        <w:rPr>
          <w:rStyle w:val="CharDivNo"/>
        </w:rPr>
        <w:t>Division 4</w:t>
      </w:r>
      <w:r>
        <w:t xml:space="preserve"> — </w:t>
      </w:r>
      <w:r>
        <w:rPr>
          <w:rStyle w:val="CharDivText"/>
        </w:rPr>
        <w:t>Fitting lines and fittings</w:t>
      </w:r>
    </w:p>
    <w:p>
      <w:pPr>
        <w:pStyle w:val="yHeading5"/>
        <w:outlineLvl w:val="9"/>
      </w:pPr>
      <w:bookmarkStart w:id="175" w:name="_Toc447006912"/>
      <w:bookmarkStart w:id="176" w:name="_Toc450366265"/>
      <w:r>
        <w:t>401.</w:t>
      </w:r>
      <w:r>
        <w:tab/>
        <w:t>Fitting lines and fittings</w:t>
      </w:r>
      <w:bookmarkEnd w:id="175"/>
      <w:bookmarkEnd w:id="176"/>
    </w:p>
    <w:p>
      <w:pPr>
        <w:pStyle w:val="ySubsection"/>
        <w:ind w:right="295"/>
        <w:rPr>
          <w:snapToGrid w:val="0"/>
        </w:rPr>
      </w:pPr>
      <w:r>
        <w:tab/>
        <w:t>(1)</w:t>
      </w:r>
      <w:r>
        <w:tab/>
      </w:r>
      <w:r>
        <w:rPr>
          <w:snapToGrid w:val="0"/>
        </w:rPr>
        <w:t>A fitting line or fitting on a consumer’s gas installation that is to operate at a pressure of 200 kPa or less must comply with AG 601 — 1998.</w:t>
      </w:r>
    </w:p>
    <w:p>
      <w:pPr>
        <w:pStyle w:val="ySubsection"/>
        <w:ind w:right="153"/>
        <w:rPr>
          <w:snapToGrid w:val="0"/>
        </w:rPr>
      </w:pPr>
      <w:r>
        <w:tab/>
        <w:t>(2)</w:t>
      </w:r>
      <w:r>
        <w:tab/>
      </w:r>
      <w:r>
        <w:rPr>
          <w:snapToGrid w:val="0"/>
        </w:rPr>
        <w:t>A fitting line or fitting on a consumer’s gas installation that is to operate at a pressure exceeding 200 kPa must comply with AS 4041 — 1992.</w:t>
      </w:r>
    </w:p>
    <w:p>
      <w:pPr>
        <w:pStyle w:val="yHeading5"/>
        <w:outlineLvl w:val="9"/>
      </w:pPr>
      <w:bookmarkStart w:id="177" w:name="_Toc447006913"/>
      <w:bookmarkStart w:id="178" w:name="_Toc450366266"/>
      <w:r>
        <w:t>402.</w:t>
      </w:r>
      <w:r>
        <w:tab/>
        <w:t>PVC fitting lines</w:t>
      </w:r>
      <w:bookmarkEnd w:id="177"/>
      <w:bookmarkEnd w:id="178"/>
    </w:p>
    <w:p>
      <w:pPr>
        <w:pStyle w:val="ySubsection"/>
        <w:rPr>
          <w:snapToGrid w:val="0"/>
        </w:rPr>
      </w:pPr>
      <w:r>
        <w:tab/>
        <w:t>(1)</w:t>
      </w:r>
      <w:r>
        <w:tab/>
      </w:r>
      <w:r>
        <w:rPr>
          <w:snapToGrid w:val="0"/>
        </w:rPr>
        <w:t>A PVC fitting line may only be used in such a position as to be readily accessible for the purposes of any repairs and maintenance that become necessary.</w:t>
      </w:r>
    </w:p>
    <w:p>
      <w:pPr>
        <w:pStyle w:val="ySubsection"/>
        <w:rPr>
          <w:snapToGrid w:val="0"/>
        </w:rPr>
      </w:pPr>
      <w:r>
        <w:tab/>
        <w:t>(2)</w:t>
      </w:r>
      <w:r>
        <w:tab/>
      </w:r>
      <w:r>
        <w:rPr>
          <w:snapToGrid w:val="0"/>
        </w:rPr>
        <w:t>This clause applies in addition to Table 3.1 of AG 601 — 1998.</w:t>
      </w:r>
    </w:p>
    <w:p>
      <w:pPr>
        <w:pStyle w:val="yHeading5"/>
        <w:outlineLvl w:val="9"/>
      </w:pPr>
      <w:bookmarkStart w:id="179" w:name="_Toc447006914"/>
      <w:bookmarkStart w:id="180" w:name="_Toc450366267"/>
      <w:r>
        <w:t>403.</w:t>
      </w:r>
      <w:r>
        <w:tab/>
        <w:t>Outlet not in use to be sealed</w:t>
      </w:r>
      <w:bookmarkEnd w:id="179"/>
      <w:bookmarkEnd w:id="180"/>
    </w:p>
    <w:p>
      <w:pPr>
        <w:pStyle w:val="ySubsection"/>
        <w:rPr>
          <w:snapToGrid w:val="0"/>
        </w:rPr>
      </w:pPr>
      <w:r>
        <w:tab/>
      </w:r>
      <w:r>
        <w:tab/>
      </w:r>
      <w:r>
        <w:rPr>
          <w:snapToGrid w:val="0"/>
        </w:rPr>
        <w:t>An outlet provided for the connection of an appliance must be sealed gas-tight in an approved manner or with an approved fitting when an appliance is not connected to it or is not about to be connected to it.</w:t>
      </w:r>
    </w:p>
    <w:p>
      <w:pPr>
        <w:pStyle w:val="yHeading5"/>
        <w:outlineLvl w:val="9"/>
      </w:pPr>
      <w:bookmarkStart w:id="181" w:name="_Toc447006915"/>
      <w:bookmarkStart w:id="182" w:name="_Toc450366268"/>
      <w:r>
        <w:t>404.</w:t>
      </w:r>
      <w:r>
        <w:tab/>
        <w:t>Ventilating or air ducts</w:t>
      </w:r>
      <w:bookmarkEnd w:id="181"/>
      <w:bookmarkEnd w:id="182"/>
    </w:p>
    <w:p>
      <w:pPr>
        <w:pStyle w:val="ySubsection"/>
        <w:rPr>
          <w:snapToGrid w:val="0"/>
        </w:rPr>
      </w:pPr>
      <w:r>
        <w:tab/>
        <w:t>(1)</w:t>
      </w:r>
      <w:r>
        <w:tab/>
      </w:r>
      <w:r>
        <w:rPr>
          <w:snapToGrid w:val="0"/>
        </w:rPr>
        <w:t xml:space="preserve">A fitting line </w:t>
      </w:r>
      <w:r>
        <w:t>must not</w:t>
      </w:r>
      <w:r>
        <w:rPr>
          <w:snapToGrid w:val="0"/>
        </w:rPr>
        <w:t xml:space="preserve"> be installed in or through any ventilating or other air duct.</w:t>
      </w:r>
    </w:p>
    <w:p>
      <w:pPr>
        <w:pStyle w:val="ySubsection"/>
        <w:rPr>
          <w:snapToGrid w:val="0"/>
        </w:rPr>
      </w:pPr>
      <w:r>
        <w:tab/>
        <w:t>(2)</w:t>
      </w:r>
      <w:r>
        <w:tab/>
      </w:r>
      <w:r>
        <w:rPr>
          <w:snapToGrid w:val="0"/>
        </w:rPr>
        <w:t>This clause applies —</w:t>
      </w:r>
    </w:p>
    <w:p>
      <w:pPr>
        <w:pStyle w:val="yIndenta"/>
        <w:rPr>
          <w:snapToGrid w:val="0"/>
        </w:rPr>
      </w:pPr>
      <w:r>
        <w:tab/>
        <w:t>(a)</w:t>
      </w:r>
      <w:r>
        <w:tab/>
      </w:r>
      <w:r>
        <w:rPr>
          <w:snapToGrid w:val="0"/>
        </w:rPr>
        <w:t>in addition to clause 4.11.1 of AG 601 — 1998; and</w:t>
      </w:r>
    </w:p>
    <w:p>
      <w:pPr>
        <w:pStyle w:val="yIndenta"/>
        <w:rPr>
          <w:snapToGrid w:val="0"/>
        </w:rPr>
      </w:pPr>
      <w:r>
        <w:tab/>
        <w:t>(b)</w:t>
      </w:r>
      <w:r>
        <w:tab/>
      </w:r>
      <w:r>
        <w:rPr>
          <w:snapToGrid w:val="0"/>
        </w:rPr>
        <w:t>in place of clause 4.11.17 of AG 601 — 1998.</w:t>
      </w:r>
    </w:p>
    <w:p>
      <w:pPr>
        <w:pStyle w:val="yHeading5"/>
        <w:outlineLvl w:val="9"/>
      </w:pPr>
      <w:bookmarkStart w:id="183" w:name="_Toc447006916"/>
      <w:bookmarkStart w:id="184" w:name="_Toc450366269"/>
      <w:r>
        <w:t>405.</w:t>
      </w:r>
      <w:r>
        <w:tab/>
        <w:t>Pressure holding capability of consumer’s gas installations</w:t>
      </w:r>
      <w:bookmarkEnd w:id="183"/>
      <w:bookmarkEnd w:id="184"/>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185" w:name="_Toc447006917"/>
      <w:bookmarkStart w:id="186" w:name="_Toc450366270"/>
      <w:r>
        <w:t>406.</w:t>
      </w:r>
      <w:r>
        <w:tab/>
        <w:t>Protection from excessive pressure</w:t>
      </w:r>
      <w:bookmarkEnd w:id="185"/>
      <w:bookmarkEnd w:id="18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Subsection"/>
        <w:rPr>
          <w:snapToGrid w:val="0"/>
        </w:rPr>
      </w:pPr>
      <w:r>
        <w:tab/>
        <w:t>(3)</w:t>
      </w:r>
      <w:r>
        <w:tab/>
        <w:t xml:space="preserve">This clause applies in place of clause 4.6 of </w:t>
      </w:r>
      <w:r>
        <w:rPr>
          <w:snapToGrid w:val="0"/>
        </w:rPr>
        <w:t>AG 601 — 1998.</w:t>
      </w:r>
    </w:p>
    <w:p>
      <w:pPr>
        <w:pStyle w:val="yHeading3"/>
        <w:outlineLvl w:val="9"/>
      </w:pPr>
      <w:r>
        <w:rPr>
          <w:rStyle w:val="CharDivNo"/>
        </w:rPr>
        <w:t>Division 5</w:t>
      </w:r>
      <w:r>
        <w:t xml:space="preserve"> — </w:t>
      </w:r>
      <w:r>
        <w:rPr>
          <w:rStyle w:val="CharDivText"/>
        </w:rPr>
        <w:t>Appliances generally</w:t>
      </w:r>
    </w:p>
    <w:p>
      <w:pPr>
        <w:pStyle w:val="yHeading5"/>
        <w:outlineLvl w:val="9"/>
      </w:pPr>
      <w:bookmarkStart w:id="187" w:name="_Toc447006918"/>
      <w:bookmarkStart w:id="188" w:name="_Toc450366271"/>
      <w:r>
        <w:t>501.</w:t>
      </w:r>
      <w:r>
        <w:tab/>
        <w:t>Approval of appliances</w:t>
      </w:r>
      <w:bookmarkEnd w:id="187"/>
      <w:bookmarkEnd w:id="188"/>
    </w:p>
    <w:p>
      <w:pPr>
        <w:pStyle w:val="ySubsection"/>
        <w:keepNext/>
        <w:keepLines/>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keepNext/>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Heading5"/>
        <w:outlineLvl w:val="9"/>
      </w:pPr>
      <w:bookmarkStart w:id="189" w:name="_Toc447006919"/>
      <w:bookmarkStart w:id="190" w:name="_Toc450366272"/>
      <w:r>
        <w:t>502.</w:t>
      </w:r>
      <w:r>
        <w:tab/>
        <w:t>Type of gas</w:t>
      </w:r>
      <w:bookmarkEnd w:id="189"/>
      <w:bookmarkEnd w:id="19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91" w:name="_Toc447006920"/>
      <w:bookmarkStart w:id="192" w:name="_Toc450366273"/>
      <w:r>
        <w:t>503.</w:t>
      </w:r>
      <w:r>
        <w:tab/>
        <w:t>Avoidance of hazards</w:t>
      </w:r>
      <w:bookmarkEnd w:id="191"/>
      <w:bookmarkEnd w:id="19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Heading5"/>
        <w:outlineLvl w:val="9"/>
      </w:pPr>
      <w:bookmarkStart w:id="193" w:name="_Toc447006921"/>
      <w:bookmarkStart w:id="194" w:name="_Toc450366274"/>
      <w:r>
        <w:t>504.</w:t>
      </w:r>
      <w:r>
        <w:tab/>
        <w:t>Restrictions as to certain rooms</w:t>
      </w:r>
      <w:bookmarkEnd w:id="193"/>
      <w:bookmarkEnd w:id="194"/>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mm²;</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bayonet-style outlet plug and a mating socket such that gas is not able to pass from the outlet plug until the plug is inserted in, and locked into, the mating socket.</w:t>
      </w:r>
    </w:p>
    <w:p>
      <w:pPr>
        <w:pStyle w:val="yHeading5"/>
        <w:outlineLvl w:val="9"/>
      </w:pPr>
      <w:bookmarkStart w:id="195" w:name="_Toc447006922"/>
      <w:bookmarkStart w:id="196" w:name="_Toc450366275"/>
      <w:r>
        <w:t>505.</w:t>
      </w:r>
      <w:r>
        <w:tab/>
        <w:t>Safety devices</w:t>
      </w:r>
      <w:bookmarkEnd w:id="195"/>
      <w:bookmarkEnd w:id="19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97" w:name="_Toc447006923"/>
      <w:bookmarkStart w:id="198" w:name="_Toc450366276"/>
      <w:r>
        <w:t>506.</w:t>
      </w:r>
      <w:r>
        <w:tab/>
        <w:t>Flues</w:t>
      </w:r>
      <w:bookmarkEnd w:id="197"/>
      <w:bookmarkEnd w:id="198"/>
    </w:p>
    <w:p>
      <w:pPr>
        <w:pStyle w:val="ySubsection"/>
        <w:keepNext/>
        <w:keepLines/>
        <w:rPr>
          <w:snapToGrid w:val="0"/>
        </w:rPr>
      </w:pPr>
      <w:r>
        <w:tab/>
        <w:t>(1)</w:t>
      </w:r>
      <w:r>
        <w:tab/>
      </w:r>
      <w:r>
        <w:rPr>
          <w:snapToGrid w:val="0"/>
        </w:rPr>
        <w:t xml:space="preserve">Unless otherwise permitted by these regulations, the product of combustion from an appliance must be discharged to the outside atmosphere by means of a flue fitted to the appliance </w:t>
      </w:r>
      <w:r>
        <w:t>that</w:t>
      </w:r>
      <w:r>
        <w:rPr>
          <w:snapToGrid w:val="0"/>
        </w:rPr>
        <w:t xml:space="preserve"> complies with this clause.</w:t>
      </w:r>
    </w:p>
    <w:p>
      <w:pPr>
        <w:pStyle w:val="ySubsection"/>
        <w:rPr>
          <w:snapToGrid w:val="0"/>
        </w:rPr>
      </w:pPr>
      <w:r>
        <w:tab/>
        <w:t>(2)</w:t>
      </w:r>
      <w:r>
        <w:tab/>
      </w:r>
      <w:r>
        <w:rPr>
          <w:snapToGrid w:val="0"/>
        </w:rPr>
        <w:t>A flue must be constructed of material that is —</w:t>
      </w:r>
    </w:p>
    <w:p>
      <w:pPr>
        <w:pStyle w:val="yIndenta"/>
      </w:pPr>
      <w:r>
        <w:tab/>
        <w:t>(a)</w:t>
      </w:r>
      <w:r>
        <w:tab/>
      </w:r>
      <w:r>
        <w:rPr>
          <w:snapToGrid w:val="0"/>
        </w:rPr>
        <w:t>mechanically robust;</w:t>
      </w:r>
    </w:p>
    <w:p>
      <w:pPr>
        <w:pStyle w:val="yIndenta"/>
      </w:pPr>
      <w:r>
        <w:tab/>
        <w:t>(b)</w:t>
      </w:r>
      <w:r>
        <w:tab/>
      </w:r>
      <w:r>
        <w:rPr>
          <w:snapToGrid w:val="0"/>
        </w:rPr>
        <w:t>resistant to internal and external corrosion;</w:t>
      </w:r>
    </w:p>
    <w:p>
      <w:pPr>
        <w:pStyle w:val="yIndenta"/>
      </w:pPr>
      <w:r>
        <w:tab/>
        <w:t>(c)</w:t>
      </w:r>
      <w:r>
        <w:tab/>
      </w:r>
      <w:r>
        <w:rPr>
          <w:snapToGrid w:val="0"/>
        </w:rPr>
        <w:t>durable; and</w:t>
      </w:r>
    </w:p>
    <w:p>
      <w:pPr>
        <w:pStyle w:val="yIndenta"/>
        <w:rPr>
          <w:snapToGrid w:val="0"/>
        </w:rPr>
      </w:pPr>
      <w:r>
        <w:tab/>
        <w:t>(d)</w:t>
      </w:r>
      <w:r>
        <w:tab/>
      </w:r>
      <w:r>
        <w:rPr>
          <w:snapToGrid w:val="0"/>
        </w:rPr>
        <w:t>non</w:t>
      </w:r>
      <w:r>
        <w:rPr>
          <w:snapToGrid w:val="0"/>
        </w:rPr>
        <w:noBreakHyphen/>
        <w:t>combustible.</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Subsection"/>
        <w:rPr>
          <w:snapToGrid w:val="0"/>
        </w:rPr>
      </w:pPr>
      <w:r>
        <w:tab/>
        <w:t>(4)</w:t>
      </w:r>
      <w:r>
        <w:tab/>
      </w:r>
      <w:r>
        <w:rPr>
          <w:snapToGrid w:val="0"/>
        </w:rPr>
        <w:t>If flue gases from 2 or more flue pipes are or may be discharged into a common flue, the flue must be constructed to the satisfaction of an inspector.</w:t>
      </w:r>
    </w:p>
    <w:p>
      <w:pPr>
        <w:pStyle w:val="ySubsection"/>
        <w:rPr>
          <w:snapToGrid w:val="0"/>
        </w:rPr>
      </w:pPr>
      <w:r>
        <w:tab/>
        <w:t>(5)</w:t>
      </w:r>
      <w:r>
        <w:tab/>
      </w:r>
      <w:r>
        <w:rPr>
          <w:snapToGrid w:val="0"/>
        </w:rPr>
        <w:t xml:space="preserve">A flue terminal </w:t>
      </w:r>
      <w:r>
        <w:t>must not</w:t>
      </w:r>
      <w:r>
        <w:rPr>
          <w:snapToGrid w:val="0"/>
        </w:rPr>
        <w:t xml:space="preserve"> be located closer than one metre to —</w:t>
      </w:r>
    </w:p>
    <w:p>
      <w:pPr>
        <w:pStyle w:val="yIndenta"/>
      </w:pPr>
      <w:r>
        <w:tab/>
        <w:t>(a)</w:t>
      </w:r>
      <w:r>
        <w:tab/>
        <w:t>a gas meter;</w:t>
      </w:r>
    </w:p>
    <w:p>
      <w:pPr>
        <w:pStyle w:val="yIndenta"/>
        <w:rPr>
          <w:snapToGrid w:val="0"/>
        </w:rPr>
      </w:pPr>
      <w:r>
        <w:tab/>
        <w:t>(b)</w:t>
      </w:r>
      <w:r>
        <w:tab/>
      </w:r>
      <w:r>
        <w:rPr>
          <w:snapToGrid w:val="0"/>
        </w:rPr>
        <w:t>a liquid fuel or flammable liquid storage tank; or</w:t>
      </w:r>
    </w:p>
    <w:p>
      <w:pPr>
        <w:pStyle w:val="yIndenta"/>
      </w:pPr>
      <w:r>
        <w:tab/>
        <w:t>(c)</w:t>
      </w:r>
      <w:r>
        <w:tab/>
      </w:r>
      <w:r>
        <w:rPr>
          <w:snapToGrid w:val="0"/>
        </w:rPr>
        <w:t>an LPG cylinder.</w:t>
      </w:r>
    </w:p>
    <w:p>
      <w:pPr>
        <w:pStyle w:val="ySubsection"/>
        <w:rPr>
          <w:snapToGrid w:val="0"/>
        </w:rPr>
      </w:pPr>
      <w:r>
        <w:rPr>
          <w:snapToGrid w:val="0"/>
        </w:rPr>
        <w:tab/>
        <w:t>(6)</w:t>
      </w:r>
      <w:r>
        <w:rPr>
          <w:snapToGrid w:val="0"/>
        </w:rPr>
        <w:tab/>
        <w:t xml:space="preserve">A flue </w:t>
      </w:r>
      <w:r>
        <w:t>must not</w:t>
      </w:r>
      <w:r>
        <w:rPr>
          <w:snapToGrid w:val="0"/>
        </w:rPr>
        <w:t xml:space="preserve"> be fitted to an appliance installed in a consumer’s gas installation if the flue has been used as a flue on any other appliance or device that was not using fuel of the same kind.</w:t>
      </w:r>
    </w:p>
    <w:p>
      <w:pPr>
        <w:pStyle w:val="ySubsection"/>
        <w:rPr>
          <w:snapToGrid w:val="0"/>
        </w:rPr>
      </w:pPr>
      <w:r>
        <w:rPr>
          <w:snapToGrid w:val="0"/>
        </w:rPr>
        <w:tab/>
        <w:t>(7)</w:t>
      </w:r>
      <w:r>
        <w:rPr>
          <w:snapToGrid w:val="0"/>
        </w:rPr>
        <w:tab/>
        <w:t>Subclause (6) does not apply to a flue that is clear of obstructions and otherwise complies with the requirements of these regulations for flues.</w:t>
      </w:r>
    </w:p>
    <w:p>
      <w:pPr>
        <w:pStyle w:val="ySubsection"/>
        <w:rPr>
          <w:snapToGrid w:val="0"/>
        </w:rPr>
      </w:pPr>
      <w:r>
        <w:rPr>
          <w:snapToGrid w:val="0"/>
        </w:rPr>
        <w:tab/>
        <w:t>(8)</w:t>
      </w:r>
      <w:r>
        <w:rPr>
          <w:snapToGrid w:val="0"/>
        </w:rPr>
        <w:tab/>
        <w:t>This clause applies in addition to clause 5.13 and Appendix H of AG 601 — 1998.</w:t>
      </w:r>
    </w:p>
    <w:p>
      <w:pPr>
        <w:pStyle w:val="yHeading5"/>
        <w:outlineLvl w:val="9"/>
        <w:rPr>
          <w:snapToGrid w:val="0"/>
        </w:rPr>
      </w:pPr>
      <w:bookmarkStart w:id="199" w:name="_Toc447006924"/>
      <w:bookmarkStart w:id="200" w:name="_Toc450366277"/>
      <w:r>
        <w:rPr>
          <w:snapToGrid w:val="0"/>
        </w:rPr>
        <w:t>507.</w:t>
      </w:r>
      <w:r>
        <w:rPr>
          <w:snapToGrid w:val="0"/>
        </w:rPr>
        <w:tab/>
      </w:r>
      <w:r>
        <w:t>Hoods or canopies</w:t>
      </w:r>
      <w:bookmarkEnd w:id="199"/>
      <w:bookmarkEnd w:id="20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rPr>
          <w:snapToGrid w:val="0"/>
        </w:rPr>
      </w:pPr>
      <w:r>
        <w:rPr>
          <w:snapToGrid w:val="0"/>
        </w:rPr>
        <w:tab/>
        <w:t>(2)</w:t>
      </w:r>
      <w:r>
        <w:rPr>
          <w:snapToGrid w:val="0"/>
        </w:rPr>
        <w:tab/>
        <w:t>This clause applies in addition to clauses 5.12.17 and 5.13.9 of AG 601 — 1998.</w:t>
      </w:r>
    </w:p>
    <w:p>
      <w:pPr>
        <w:pStyle w:val="yHeading5"/>
        <w:outlineLvl w:val="9"/>
        <w:rPr>
          <w:snapToGrid w:val="0"/>
        </w:rPr>
      </w:pPr>
      <w:bookmarkStart w:id="201" w:name="_Toc447006925"/>
      <w:bookmarkStart w:id="202" w:name="_Toc450366278"/>
      <w:r>
        <w:rPr>
          <w:snapToGrid w:val="0"/>
        </w:rPr>
        <w:t>508.</w:t>
      </w:r>
      <w:r>
        <w:rPr>
          <w:snapToGrid w:val="0"/>
        </w:rPr>
        <w:tab/>
      </w:r>
      <w:r>
        <w:t>Electrical</w:t>
      </w:r>
      <w:bookmarkEnd w:id="201"/>
      <w:bookmarkEnd w:id="202"/>
    </w:p>
    <w:p>
      <w:pPr>
        <w:pStyle w:val="ySubsection"/>
        <w:rPr>
          <w:snapToGrid w:val="0"/>
        </w:rPr>
      </w:pPr>
      <w:r>
        <w:rPr>
          <w:snapToGrid w:val="0"/>
        </w:rPr>
        <w:tab/>
        <w:t>(1)</w:t>
      </w:r>
      <w:r>
        <w:rPr>
          <w:snapToGrid w:val="0"/>
        </w:rPr>
        <w:tab/>
        <w:t>An appliance that is installed in a consumer’s gas installation and incorporates electrical apparatus must comply with AS 3100 — 1997.</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Heading3"/>
        <w:outlineLvl w:val="9"/>
        <w:rPr>
          <w:snapToGrid w:val="0"/>
        </w:rPr>
      </w:pPr>
      <w:r>
        <w:rPr>
          <w:rStyle w:val="CharDivNo"/>
        </w:rPr>
        <w:t>Division 6</w:t>
      </w:r>
      <w:r>
        <w:rPr>
          <w:snapToGrid w:val="0"/>
        </w:rPr>
        <w:t xml:space="preserve"> — </w:t>
      </w:r>
      <w:r>
        <w:t>Additional</w:t>
      </w:r>
      <w:r>
        <w:rPr>
          <w:snapToGrid w:val="0"/>
        </w:rPr>
        <w:t xml:space="preserve"> requirements for particular appliances</w:t>
      </w:r>
    </w:p>
    <w:p>
      <w:pPr>
        <w:pStyle w:val="yHeading5"/>
        <w:spacing w:before="180"/>
        <w:outlineLvl w:val="9"/>
        <w:rPr>
          <w:snapToGrid w:val="0"/>
        </w:rPr>
      </w:pPr>
      <w:bookmarkStart w:id="203" w:name="_Toc447006926"/>
      <w:bookmarkStart w:id="204" w:name="_Toc450366279"/>
      <w:r>
        <w:rPr>
          <w:snapToGrid w:val="0"/>
        </w:rPr>
        <w:t>601.</w:t>
      </w:r>
      <w:r>
        <w:rPr>
          <w:snapToGrid w:val="0"/>
        </w:rPr>
        <w:tab/>
        <w:t>Cooking appliances</w:t>
      </w:r>
      <w:bookmarkEnd w:id="203"/>
      <w:bookmarkEnd w:id="20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spacing w:before="120"/>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spacing w:before="120"/>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spacing w:before="120"/>
        <w:rPr>
          <w:snapToGrid w:val="0"/>
        </w:rPr>
      </w:pPr>
      <w:r>
        <w:rPr>
          <w:snapToGrid w:val="0"/>
        </w:rPr>
        <w:tab/>
        <w:t>(5)</w:t>
      </w:r>
      <w:r>
        <w:rPr>
          <w:snapToGrid w:val="0"/>
        </w:rPr>
        <w:tab/>
        <w:t>This clause applies in addition to clause 5.12.4 of AG 601 — 1998.</w:t>
      </w:r>
    </w:p>
    <w:p>
      <w:pPr>
        <w:pStyle w:val="yHeading5"/>
        <w:spacing w:before="180"/>
        <w:outlineLvl w:val="9"/>
        <w:rPr>
          <w:snapToGrid w:val="0"/>
        </w:rPr>
      </w:pPr>
      <w:bookmarkStart w:id="205" w:name="_Toc447006927"/>
      <w:bookmarkStart w:id="206" w:name="_Toc450366280"/>
      <w:r>
        <w:rPr>
          <w:snapToGrid w:val="0"/>
        </w:rPr>
        <w:t>602.</w:t>
      </w:r>
      <w:r>
        <w:rPr>
          <w:snapToGrid w:val="0"/>
        </w:rPr>
        <w:tab/>
        <w:t>Water heating appliances</w:t>
      </w:r>
      <w:bookmarkEnd w:id="205"/>
      <w:bookmarkEnd w:id="206"/>
    </w:p>
    <w:p>
      <w:pPr>
        <w:pStyle w:val="ySubsection"/>
        <w:spacing w:before="120"/>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spacing w:before="120"/>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rPr>
          <w:snapToGrid w:val="0"/>
        </w:rPr>
      </w:pPr>
      <w:r>
        <w:rPr>
          <w:snapToGrid w:val="0"/>
        </w:rPr>
        <w:tab/>
        <w:t>(4)</w:t>
      </w:r>
      <w:r>
        <w:rPr>
          <w:snapToGrid w:val="0"/>
        </w:rPr>
        <w:tab/>
        <w:t>This clause applies in addition to clauses 5.12.5.2 and 5.12.6 of AG 601 — 1998.</w:t>
      </w:r>
    </w:p>
    <w:p>
      <w:pPr>
        <w:pStyle w:val="yHeading5"/>
        <w:outlineLvl w:val="9"/>
        <w:rPr>
          <w:snapToGrid w:val="0"/>
        </w:rPr>
      </w:pPr>
      <w:bookmarkStart w:id="207" w:name="_Toc447006928"/>
      <w:bookmarkStart w:id="208" w:name="_Toc450366281"/>
      <w:r>
        <w:rPr>
          <w:snapToGrid w:val="0"/>
        </w:rPr>
        <w:t>603.</w:t>
      </w:r>
      <w:r>
        <w:rPr>
          <w:snapToGrid w:val="0"/>
        </w:rPr>
        <w:tab/>
        <w:t>Space heating appliances</w:t>
      </w:r>
      <w:bookmarkEnd w:id="207"/>
      <w:bookmarkEnd w:id="20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 carbon dioxide sensing device.</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rPr>
          <w:snapToGrid w:val="0"/>
        </w:rPr>
      </w:pPr>
      <w:r>
        <w:rPr>
          <w:snapToGrid w:val="0"/>
        </w:rPr>
        <w:tab/>
        <w:t>(4)</w:t>
      </w:r>
      <w:r>
        <w:rPr>
          <w:snapToGrid w:val="0"/>
        </w:rPr>
        <w:tab/>
        <w:t>This clause applies in addition to clause 5.12.8 and Appendix L of AG 601 — 1998.</w:t>
      </w:r>
    </w:p>
    <w:p>
      <w:pPr>
        <w:pStyle w:val="yHeading5"/>
        <w:outlineLvl w:val="9"/>
        <w:rPr>
          <w:snapToGrid w:val="0"/>
        </w:rPr>
      </w:pPr>
      <w:bookmarkStart w:id="209" w:name="_Toc447006929"/>
      <w:bookmarkStart w:id="210" w:name="_Toc450366282"/>
      <w:r>
        <w:rPr>
          <w:snapToGrid w:val="0"/>
        </w:rPr>
        <w:t>604.</w:t>
      </w:r>
      <w:r>
        <w:rPr>
          <w:snapToGrid w:val="0"/>
        </w:rPr>
        <w:tab/>
        <w:t>Swimming pool heaters</w:t>
      </w:r>
      <w:bookmarkEnd w:id="209"/>
      <w:bookmarkEnd w:id="210"/>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rPr>
          <w:snapToGrid w:val="0"/>
        </w:rPr>
      </w:pPr>
      <w:r>
        <w:rPr>
          <w:snapToGrid w:val="0"/>
        </w:rPr>
        <w:tab/>
        <w:t>(2)</w:t>
      </w:r>
      <w:r>
        <w:rPr>
          <w:snapToGrid w:val="0"/>
        </w:rPr>
        <w:tab/>
        <w:t>This clause applies in addition to clause 5.12.7 of AG 601 — 1998.</w:t>
      </w:r>
    </w:p>
    <w:p>
      <w:pPr>
        <w:pStyle w:val="yHeading3"/>
        <w:outlineLvl w:val="9"/>
        <w:rPr>
          <w:snapToGrid w:val="0"/>
        </w:rPr>
      </w:pPr>
      <w:r>
        <w:rPr>
          <w:rStyle w:val="CharDivNo"/>
        </w:rPr>
        <w:t>Division 7</w:t>
      </w:r>
      <w:r>
        <w:rPr>
          <w:snapToGrid w:val="0"/>
        </w:rPr>
        <w:t xml:space="preserve"> — Caravans</w:t>
      </w:r>
    </w:p>
    <w:p>
      <w:pPr>
        <w:pStyle w:val="yHeading5"/>
        <w:outlineLvl w:val="9"/>
        <w:rPr>
          <w:snapToGrid w:val="0"/>
        </w:rPr>
      </w:pPr>
      <w:bookmarkStart w:id="211" w:name="_Toc447006930"/>
      <w:bookmarkStart w:id="212" w:name="_Toc450366283"/>
      <w:r>
        <w:rPr>
          <w:snapToGrid w:val="0"/>
        </w:rPr>
        <w:t>701.</w:t>
      </w:r>
      <w:r>
        <w:rPr>
          <w:snapToGrid w:val="0"/>
        </w:rPr>
        <w:tab/>
        <w:t>Application</w:t>
      </w:r>
      <w:bookmarkEnd w:id="211"/>
      <w:bookmarkEnd w:id="212"/>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rPr>
          <w:snapToGrid w:val="0"/>
        </w:rPr>
      </w:pPr>
      <w:r>
        <w:rPr>
          <w:snapToGrid w:val="0"/>
        </w:rPr>
        <w:tab/>
        <w:t>(2)</w:t>
      </w:r>
      <w:r>
        <w:rPr>
          <w:snapToGrid w:val="0"/>
        </w:rPr>
        <w:tab/>
        <w:t>This Division applies in addition to clause 6.6 of AG 601 — 1998.</w:t>
      </w:r>
    </w:p>
    <w:p>
      <w:pPr>
        <w:pStyle w:val="yHeading5"/>
        <w:outlineLvl w:val="9"/>
        <w:rPr>
          <w:snapToGrid w:val="0"/>
        </w:rPr>
      </w:pPr>
      <w:bookmarkStart w:id="213" w:name="_Toc447006931"/>
      <w:bookmarkStart w:id="214" w:name="_Toc450366284"/>
      <w:r>
        <w:rPr>
          <w:snapToGrid w:val="0"/>
        </w:rPr>
        <w:t>702.</w:t>
      </w:r>
      <w:r>
        <w:rPr>
          <w:snapToGrid w:val="0"/>
        </w:rPr>
        <w:tab/>
        <w:t>Cylinders and associated equipment</w:t>
      </w:r>
      <w:bookmarkEnd w:id="213"/>
      <w:bookmarkEnd w:id="214"/>
    </w:p>
    <w:p>
      <w:pPr>
        <w:pStyle w:val="ySubsection"/>
        <w:rPr>
          <w:snapToGrid w:val="0"/>
        </w:rPr>
      </w:pPr>
      <w:r>
        <w:rPr>
          <w:snapToGrid w:val="0"/>
        </w:rPr>
        <w:tab/>
      </w:r>
      <w:r>
        <w:rPr>
          <w:snapToGrid w:val="0"/>
        </w:rPr>
        <w:tab/>
        <w:t>If a gas cylinder, its valve and regulating equipment, or any part of a consumer’s gas installation between the cylinder and the outlet of the primary pressure regulator is mounted in a compartment or recess, the compartment or recess must be —</w:t>
      </w:r>
    </w:p>
    <w:p>
      <w:pPr>
        <w:pStyle w:val="yIndenta"/>
        <w:rPr>
          <w:snapToGrid w:val="0"/>
        </w:rPr>
      </w:pPr>
      <w:r>
        <w:rPr>
          <w:snapToGrid w:val="0"/>
        </w:rPr>
        <w:tab/>
        <w:t>(a)</w:t>
      </w:r>
      <w:r>
        <w:rPr>
          <w:snapToGrid w:val="0"/>
        </w:rPr>
        <w:tab/>
        <w:t>lined with a fire resistant material; and</w:t>
      </w:r>
    </w:p>
    <w:p>
      <w:pPr>
        <w:pStyle w:val="yIndenta"/>
        <w:rPr>
          <w:snapToGrid w:val="0"/>
        </w:rPr>
      </w:pPr>
      <w:r>
        <w:rPr>
          <w:snapToGrid w:val="0"/>
        </w:rPr>
        <w:tab/>
        <w:t>(b)</w:t>
      </w:r>
      <w:r>
        <w:rPr>
          <w:snapToGrid w:val="0"/>
        </w:rPr>
        <w:tab/>
        <w:t>not accessible from the inside of the caravan.</w:t>
      </w:r>
    </w:p>
    <w:p>
      <w:pPr>
        <w:pStyle w:val="yHeading5"/>
        <w:outlineLvl w:val="9"/>
        <w:rPr>
          <w:snapToGrid w:val="0"/>
        </w:rPr>
      </w:pPr>
      <w:bookmarkStart w:id="215" w:name="_Toc447006932"/>
      <w:bookmarkStart w:id="216" w:name="_Toc450366285"/>
      <w:r>
        <w:rPr>
          <w:snapToGrid w:val="0"/>
        </w:rPr>
        <w:t>703.</w:t>
      </w:r>
      <w:r>
        <w:rPr>
          <w:snapToGrid w:val="0"/>
        </w:rPr>
        <w:tab/>
        <w:t>Location of appliances</w:t>
      </w:r>
      <w:bookmarkEnd w:id="215"/>
      <w:bookmarkEnd w:id="21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217" w:name="_Toc447006933"/>
      <w:bookmarkStart w:id="218" w:name="_Toc450366286"/>
      <w:r>
        <w:rPr>
          <w:snapToGrid w:val="0"/>
        </w:rPr>
        <w:t>704.</w:t>
      </w:r>
      <w:r>
        <w:rPr>
          <w:snapToGrid w:val="0"/>
        </w:rPr>
        <w:tab/>
        <w:t>Pressure</w:t>
      </w:r>
      <w:bookmarkEnd w:id="217"/>
      <w:bookmarkEnd w:id="21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keepLines/>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219" w:name="_Toc447006934"/>
      <w:bookmarkStart w:id="220" w:name="_Toc450366287"/>
      <w:r>
        <w:rPr>
          <w:snapToGrid w:val="0"/>
        </w:rPr>
        <w:t>705.</w:t>
      </w:r>
      <w:r>
        <w:rPr>
          <w:snapToGrid w:val="0"/>
        </w:rPr>
        <w:tab/>
        <w:t>Warnings</w:t>
      </w:r>
      <w:bookmarkEnd w:id="219"/>
      <w:bookmarkEnd w:id="220"/>
    </w:p>
    <w:p>
      <w:pPr>
        <w:pStyle w:val="ySubsection"/>
        <w:rPr>
          <w:snapToGrid w:val="0"/>
        </w:rPr>
      </w:pPr>
      <w:r>
        <w:rPr>
          <w:snapToGrid w:val="0"/>
        </w:rPr>
        <w:tab/>
        <w:t>(1)</w:t>
      </w:r>
      <w:r>
        <w:rPr>
          <w:snapToGrid w:val="0"/>
        </w:rPr>
        <w:tab/>
        <w:t>The notice referred to in clause 6.6.8.3 of AG 601 — 1998 must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rPr>
          <w:snapToGrid w:val="0"/>
        </w:rPr>
      </w:pPr>
      <w:r>
        <w:rPr>
          <w:snapToGrid w:val="0"/>
        </w:rPr>
        <w:tab/>
        <w:t>(2)</w:t>
      </w:r>
      <w:r>
        <w:rPr>
          <w:snapToGrid w:val="0"/>
        </w:rPr>
        <w:tab/>
        <w:t>There must be kept in a conspicuous position adjacent to the fuel tank filler of a self-propelled caravan in which there is installed any appliance,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sz w:val="22"/>
              </w:rPr>
            </w:pPr>
            <w:r>
              <w:rPr>
                <w:b/>
                <w:snapToGrid w:val="0"/>
                <w:sz w:val="22"/>
              </w:rPr>
              <w:t>DANGER</w:t>
            </w:r>
          </w:p>
          <w:p>
            <w:pPr>
              <w:pStyle w:val="Table"/>
              <w:spacing w:before="0" w:line="240" w:lineRule="auto"/>
              <w:jc w:val="center"/>
              <w:rPr>
                <w:b/>
              </w:rPr>
            </w:pPr>
            <w:r>
              <w:rPr>
                <w:b/>
                <w:snapToGrid w:val="0"/>
                <w:sz w:val="22"/>
              </w:rPr>
              <w:t>Ensure all gas appliances are turned off before refuelling.</w:t>
            </w:r>
          </w:p>
        </w:tc>
      </w:tr>
    </w:tbl>
    <w:p>
      <w:pPr>
        <w:pStyle w:val="yHeading3"/>
        <w:outlineLvl w:val="9"/>
        <w:rPr>
          <w:snapToGrid w:val="0"/>
        </w:rPr>
      </w:pPr>
      <w:r>
        <w:rPr>
          <w:rStyle w:val="CharDivNo"/>
        </w:rPr>
        <w:t>Division 8</w:t>
      </w:r>
      <w:r>
        <w:rPr>
          <w:snapToGrid w:val="0"/>
        </w:rPr>
        <w:t xml:space="preserve"> — Marine craft</w:t>
      </w:r>
    </w:p>
    <w:p>
      <w:pPr>
        <w:pStyle w:val="yHeading5"/>
        <w:outlineLvl w:val="9"/>
        <w:rPr>
          <w:snapToGrid w:val="0"/>
        </w:rPr>
      </w:pPr>
      <w:bookmarkStart w:id="221" w:name="_Toc447006935"/>
      <w:bookmarkStart w:id="222" w:name="_Toc450366288"/>
      <w:r>
        <w:rPr>
          <w:snapToGrid w:val="0"/>
        </w:rPr>
        <w:t>801.</w:t>
      </w:r>
      <w:r>
        <w:rPr>
          <w:snapToGrid w:val="0"/>
        </w:rPr>
        <w:tab/>
        <w:t>Application</w:t>
      </w:r>
      <w:bookmarkEnd w:id="221"/>
      <w:bookmarkEnd w:id="22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rPr>
          <w:snapToGrid w:val="0"/>
        </w:rPr>
      </w:pPr>
      <w:r>
        <w:rPr>
          <w:snapToGrid w:val="0"/>
        </w:rPr>
        <w:tab/>
        <w:t>(2)</w:t>
      </w:r>
      <w:r>
        <w:rPr>
          <w:snapToGrid w:val="0"/>
        </w:rPr>
        <w:tab/>
        <w:t>This Division applies in addition to clause 6.7 and Appendix K of AG 601 — 1998.</w:t>
      </w:r>
    </w:p>
    <w:p>
      <w:pPr>
        <w:pStyle w:val="yHeading5"/>
        <w:outlineLvl w:val="9"/>
        <w:rPr>
          <w:snapToGrid w:val="0"/>
        </w:rPr>
      </w:pPr>
      <w:bookmarkStart w:id="223" w:name="_Toc447006936"/>
      <w:bookmarkStart w:id="224" w:name="_Toc450366289"/>
      <w:r>
        <w:rPr>
          <w:snapToGrid w:val="0"/>
        </w:rPr>
        <w:t>802.</w:t>
      </w:r>
      <w:r>
        <w:rPr>
          <w:snapToGrid w:val="0"/>
        </w:rPr>
        <w:tab/>
        <w:t>Accessibility</w:t>
      </w:r>
      <w:bookmarkEnd w:id="223"/>
      <w:bookmarkEnd w:id="22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225" w:name="_Toc447006937"/>
      <w:bookmarkStart w:id="226" w:name="_Toc450366290"/>
      <w:r>
        <w:rPr>
          <w:snapToGrid w:val="0"/>
        </w:rPr>
        <w:t>803.</w:t>
      </w:r>
      <w:r>
        <w:rPr>
          <w:snapToGrid w:val="0"/>
        </w:rPr>
        <w:tab/>
        <w:t>Cylinders and associated equipment</w:t>
      </w:r>
      <w:bookmarkEnd w:id="225"/>
      <w:bookmarkEnd w:id="226"/>
    </w:p>
    <w:p>
      <w:pPr>
        <w:pStyle w:val="ySubsection"/>
        <w:rPr>
          <w:snapToGrid w:val="0"/>
        </w:rPr>
      </w:pPr>
      <w:r>
        <w:rPr>
          <w:snapToGrid w:val="0"/>
        </w:rPr>
        <w:tab/>
        <w:t>(1)</w:t>
      </w:r>
      <w:r>
        <w:rPr>
          <w:snapToGrid w:val="0"/>
        </w:rPr>
        <w:tab/>
        <w:t>For the purposes of clause 6.7.3.3 of AG 601 — 1998, a cylinder compartment drain —</w:t>
      </w:r>
    </w:p>
    <w:p>
      <w:pPr>
        <w:pStyle w:val="yIndenta"/>
        <w:rPr>
          <w:snapToGrid w:val="0"/>
        </w:rPr>
      </w:pPr>
      <w:r>
        <w:rPr>
          <w:snapToGrid w:val="0"/>
        </w:rPr>
        <w:tab/>
        <w:t>(a)</w:t>
      </w:r>
      <w:r>
        <w:rPr>
          <w:snapToGrid w:val="0"/>
        </w:rPr>
        <w:tab/>
        <w:t>must be connected directly to the outside of the marine craft; and</w:t>
      </w:r>
    </w:p>
    <w:p>
      <w:pPr>
        <w:pStyle w:val="yIndenta"/>
        <w:rPr>
          <w:snapToGrid w:val="0"/>
        </w:rPr>
      </w:pPr>
      <w:r>
        <w:rPr>
          <w:snapToGrid w:val="0"/>
        </w:rPr>
        <w:tab/>
        <w:t>(b)</w:t>
      </w:r>
      <w:r>
        <w:rPr>
          <w:snapToGrid w:val="0"/>
        </w:rPr>
        <w:tab/>
        <w:t>must terminate above the water line.</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outlineLvl w:val="9"/>
        <w:rPr>
          <w:snapToGrid w:val="0"/>
        </w:rPr>
      </w:pPr>
      <w:bookmarkStart w:id="227" w:name="_Toc447006938"/>
      <w:bookmarkStart w:id="228" w:name="_Toc450366291"/>
      <w:r>
        <w:rPr>
          <w:snapToGrid w:val="0"/>
        </w:rPr>
        <w:t>804.</w:t>
      </w:r>
      <w:r>
        <w:rPr>
          <w:snapToGrid w:val="0"/>
        </w:rPr>
        <w:tab/>
        <w:t>Restricted spaces</w:t>
      </w:r>
      <w:bookmarkEnd w:id="227"/>
      <w:bookmarkEnd w:id="228"/>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229" w:name="_Toc447006939"/>
      <w:bookmarkStart w:id="230" w:name="_Toc450366292"/>
      <w:r>
        <w:rPr>
          <w:snapToGrid w:val="0"/>
        </w:rPr>
        <w:t>805.</w:t>
      </w:r>
      <w:r>
        <w:rPr>
          <w:snapToGrid w:val="0"/>
        </w:rPr>
        <w:tab/>
        <w:t>Fitting lines</w:t>
      </w:r>
      <w:bookmarkEnd w:id="229"/>
      <w:bookmarkEnd w:id="23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231" w:name="_Toc447006940"/>
      <w:bookmarkStart w:id="232" w:name="_Toc450366293"/>
      <w:r>
        <w:rPr>
          <w:snapToGrid w:val="0"/>
        </w:rPr>
        <w:t>806.</w:t>
      </w:r>
      <w:r>
        <w:rPr>
          <w:snapToGrid w:val="0"/>
        </w:rPr>
        <w:tab/>
        <w:t>Location of appliances</w:t>
      </w:r>
      <w:bookmarkEnd w:id="231"/>
      <w:bookmarkEnd w:id="23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233" w:name="_Toc447006941"/>
      <w:bookmarkStart w:id="234" w:name="_Toc450366294"/>
      <w:r>
        <w:rPr>
          <w:snapToGrid w:val="0"/>
        </w:rPr>
        <w:t>807.</w:t>
      </w:r>
      <w:r>
        <w:rPr>
          <w:snapToGrid w:val="0"/>
        </w:rPr>
        <w:tab/>
        <w:t>Pressure</w:t>
      </w:r>
      <w:bookmarkEnd w:id="233"/>
      <w:bookmarkEnd w:id="234"/>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235" w:name="_Toc447006942"/>
      <w:bookmarkStart w:id="236" w:name="_Toc450366295"/>
      <w:r>
        <w:rPr>
          <w:snapToGrid w:val="0"/>
        </w:rPr>
        <w:t>808.</w:t>
      </w:r>
      <w:r>
        <w:rPr>
          <w:snapToGrid w:val="0"/>
        </w:rPr>
        <w:tab/>
        <w:t>Ventilation</w:t>
      </w:r>
      <w:bookmarkEnd w:id="235"/>
      <w:bookmarkEnd w:id="23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keepNext/>
        <w:keepLines/>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keepLines w:val="0"/>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keepLines w:val="0"/>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237" w:name="_Toc447006943"/>
      <w:bookmarkStart w:id="238" w:name="_Toc450366296"/>
      <w:r>
        <w:rPr>
          <w:snapToGrid w:val="0"/>
        </w:rPr>
        <w:t>809.</w:t>
      </w:r>
      <w:r>
        <w:rPr>
          <w:snapToGrid w:val="0"/>
        </w:rPr>
        <w:tab/>
        <w:t>Flues</w:t>
      </w:r>
      <w:bookmarkEnd w:id="237"/>
      <w:bookmarkEnd w:id="23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239" w:name="_Toc447006944"/>
      <w:bookmarkStart w:id="240" w:name="_Toc450366297"/>
      <w:r>
        <w:rPr>
          <w:snapToGrid w:val="0"/>
        </w:rPr>
        <w:t>810.</w:t>
      </w:r>
      <w:r>
        <w:rPr>
          <w:snapToGrid w:val="0"/>
        </w:rPr>
        <w:tab/>
        <w:t>Water or room heaters</w:t>
      </w:r>
      <w:bookmarkEnd w:id="239"/>
      <w:bookmarkEnd w:id="24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241" w:name="_Toc447006945"/>
      <w:bookmarkStart w:id="242" w:name="_Toc450366298"/>
      <w:r>
        <w:rPr>
          <w:snapToGrid w:val="0"/>
        </w:rPr>
        <w:t>811.</w:t>
      </w:r>
      <w:r>
        <w:rPr>
          <w:snapToGrid w:val="0"/>
        </w:rPr>
        <w:tab/>
        <w:t>Cooking appliances</w:t>
      </w:r>
      <w:bookmarkEnd w:id="241"/>
      <w:bookmarkEnd w:id="24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243" w:name="_Toc447006946"/>
      <w:bookmarkStart w:id="244" w:name="_Toc450366299"/>
      <w:r>
        <w:rPr>
          <w:snapToGrid w:val="0"/>
        </w:rPr>
        <w:t>812.</w:t>
      </w:r>
      <w:r>
        <w:rPr>
          <w:snapToGrid w:val="0"/>
        </w:rPr>
        <w:tab/>
        <w:t>Warnings</w:t>
      </w:r>
      <w:bookmarkEnd w:id="243"/>
      <w:bookmarkEnd w:id="244"/>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sz w:val="22"/>
              </w:rPr>
              <w:t>Approval of an inspector is required before appliances may be altered.</w:t>
            </w:r>
          </w:p>
        </w:tc>
      </w:tr>
    </w:tbl>
    <w:p>
      <w:pPr>
        <w:pStyle w:val="yScheduleHeading"/>
      </w:pPr>
      <w:r>
        <w:rPr>
          <w:rStyle w:val="CharSchNo"/>
        </w:rPr>
        <w:t>Schedule 7</w:t>
      </w:r>
      <w:r>
        <w:t xml:space="preserve"> — </w:t>
      </w:r>
      <w:r>
        <w:rPr>
          <w:rStyle w:val="CharSchText"/>
        </w:rPr>
        <w:t>Codes and standards containing requirements for consumers’ gas installations</w:t>
      </w:r>
    </w:p>
    <w:p>
      <w:pPr>
        <w:pStyle w:val="yShoulderClause"/>
      </w:pPr>
      <w:r>
        <w:t>[r. 32(1)(b)]</w:t>
      </w:r>
    </w:p>
    <w:p>
      <w:pPr>
        <w:pStyle w:val="ySubsection"/>
      </w:pPr>
    </w:p>
    <w:tbl>
      <w:tblPr>
        <w:tblW w:w="0" w:type="auto"/>
        <w:tblInd w:w="15" w:type="dxa"/>
        <w:tblLayout w:type="fixed"/>
        <w:tblCellMar>
          <w:left w:w="141" w:type="dxa"/>
          <w:right w:w="141" w:type="dxa"/>
        </w:tblCellMar>
        <w:tblLook w:val="0000" w:firstRow="0" w:lastRow="0" w:firstColumn="0" w:lastColumn="0" w:noHBand="0" w:noVBand="0"/>
      </w:tblPr>
      <w:tblGrid>
        <w:gridCol w:w="5088"/>
        <w:gridCol w:w="2236"/>
      </w:tblGrid>
      <w:tr>
        <w:tc>
          <w:tcPr>
            <w:tcW w:w="5088" w:type="dxa"/>
          </w:tcPr>
          <w:p>
            <w:pPr>
              <w:pStyle w:val="yTable"/>
              <w:keepNext/>
              <w:keepLines/>
              <w:spacing w:before="160"/>
              <w:rPr>
                <w:b/>
                <w:i/>
              </w:rPr>
            </w:pPr>
            <w:r>
              <w:rPr>
                <w:b/>
                <w:i/>
              </w:rPr>
              <w:t>Title</w:t>
            </w:r>
          </w:p>
        </w:tc>
        <w:tc>
          <w:tcPr>
            <w:tcW w:w="2236" w:type="dxa"/>
          </w:tcPr>
          <w:p>
            <w:pPr>
              <w:pStyle w:val="yTable"/>
              <w:keepNext/>
              <w:keepLines/>
              <w:spacing w:before="160"/>
              <w:rPr>
                <w:b/>
                <w:i/>
              </w:rPr>
            </w:pPr>
            <w:r>
              <w:rPr>
                <w:b/>
                <w:i/>
              </w:rPr>
              <w:t>Code or Standard</w:t>
            </w:r>
          </w:p>
        </w:tc>
      </w:tr>
      <w:tr>
        <w:tc>
          <w:tcPr>
            <w:tcW w:w="5088" w:type="dxa"/>
          </w:tcPr>
          <w:p>
            <w:pPr>
              <w:pStyle w:val="yTable"/>
              <w:keepNext/>
              <w:keepLines/>
            </w:pPr>
            <w:r>
              <w:t>Gas Installation Code</w:t>
            </w:r>
          </w:p>
        </w:tc>
        <w:tc>
          <w:tcPr>
            <w:tcW w:w="2236" w:type="dxa"/>
          </w:tcPr>
          <w:p>
            <w:pPr>
              <w:pStyle w:val="yTable"/>
              <w:keepNext/>
              <w:keepLines/>
              <w:rPr>
                <w:rStyle w:val="note"/>
                <w:rFonts w:ascii="Times New Roman" w:hAnsi="Times New Roman"/>
                <w:spacing w:val="-2"/>
              </w:rPr>
            </w:pPr>
            <w:r>
              <w:rPr>
                <w:rStyle w:val="note"/>
                <w:rFonts w:ascii="Times New Roman" w:hAnsi="Times New Roman"/>
                <w:spacing w:val="-2"/>
              </w:rPr>
              <w:t>AG 601 — 1998</w:t>
            </w:r>
          </w:p>
        </w:tc>
      </w:tr>
      <w:tr>
        <w:tc>
          <w:tcPr>
            <w:tcW w:w="5088" w:type="dxa"/>
          </w:tcPr>
          <w:p>
            <w:pPr>
              <w:pStyle w:val="yTable"/>
              <w:ind w:right="-141"/>
            </w:pPr>
            <w:r>
              <w:t>Code for industrial and commercial gas</w:t>
            </w:r>
            <w:r>
              <w:noBreakHyphen/>
              <w:t>fired appliances</w:t>
            </w:r>
          </w:p>
        </w:tc>
        <w:tc>
          <w:tcPr>
            <w:tcW w:w="2236" w:type="dxa"/>
          </w:tcPr>
          <w:p>
            <w:pPr>
              <w:pStyle w:val="yTable"/>
              <w:rPr>
                <w:rStyle w:val="note"/>
                <w:rFonts w:ascii="Times New Roman" w:hAnsi="Times New Roman"/>
                <w:spacing w:val="-2"/>
              </w:rPr>
            </w:pPr>
            <w:r>
              <w:t>AS3814 — 1998/</w:t>
            </w:r>
            <w:r>
              <w:br/>
              <w:t>AG 501 — 1998</w:t>
            </w:r>
          </w:p>
        </w:tc>
      </w:tr>
      <w:tr>
        <w:tc>
          <w:tcPr>
            <w:tcW w:w="5088" w:type="dxa"/>
          </w:tcPr>
          <w:p>
            <w:pPr>
              <w:pStyle w:val="yTable"/>
            </w:pPr>
            <w:r>
              <w:t>Storage and handling of LP Gas</w:t>
            </w:r>
          </w:p>
        </w:tc>
        <w:tc>
          <w:tcPr>
            <w:tcW w:w="2236" w:type="dxa"/>
          </w:tcPr>
          <w:p>
            <w:pPr>
              <w:pStyle w:val="yTable"/>
            </w:pPr>
            <w:r>
              <w:t>AS/NZS 1596:1997</w:t>
            </w:r>
          </w:p>
        </w:tc>
      </w:tr>
      <w:tr>
        <w:tc>
          <w:tcPr>
            <w:tcW w:w="5088" w:type="dxa"/>
          </w:tcPr>
          <w:p>
            <w:pPr>
              <w:pStyle w:val="yTable"/>
            </w:pPr>
            <w:r>
              <w:t>LP Gas fuel systems for vehicle engines</w:t>
            </w:r>
          </w:p>
        </w:tc>
        <w:tc>
          <w:tcPr>
            <w:tcW w:w="2236" w:type="dxa"/>
          </w:tcPr>
          <w:p>
            <w:pPr>
              <w:pStyle w:val="yTable"/>
            </w:pPr>
            <w:r>
              <w:t>AS/NZS 1425:1999</w:t>
            </w:r>
          </w:p>
        </w:tc>
      </w:tr>
      <w:tr>
        <w:tc>
          <w:tcPr>
            <w:tcW w:w="5088" w:type="dxa"/>
          </w:tcPr>
          <w:p>
            <w:pPr>
              <w:pStyle w:val="yTable"/>
            </w:pPr>
            <w:r>
              <w:t>Natural gas fuel systems for vehicle engines</w:t>
            </w:r>
          </w:p>
        </w:tc>
        <w:tc>
          <w:tcPr>
            <w:tcW w:w="2236" w:type="dxa"/>
          </w:tcPr>
          <w:p>
            <w:pPr>
              <w:pStyle w:val="yTable"/>
            </w:pPr>
            <w:r>
              <w:t>AS 2739 — 1992</w:t>
            </w:r>
          </w:p>
        </w:tc>
      </w:tr>
      <w:tr>
        <w:tc>
          <w:tcPr>
            <w:tcW w:w="5088" w:type="dxa"/>
          </w:tcPr>
          <w:p>
            <w:pPr>
              <w:pStyle w:val="yTable"/>
            </w:pPr>
            <w:r>
              <w:t>Code of Practice for NGV Refuelling Stations</w:t>
            </w:r>
          </w:p>
        </w:tc>
        <w:tc>
          <w:tcPr>
            <w:tcW w:w="2236" w:type="dxa"/>
          </w:tcPr>
          <w:p>
            <w:pPr>
              <w:pStyle w:val="yTable"/>
            </w:pPr>
            <w:r>
              <w:t xml:space="preserve">AG 901 — </w:t>
            </w:r>
            <w:r>
              <w:rPr>
                <w:rStyle w:val="note"/>
                <w:rFonts w:ascii="Times New Roman" w:hAnsi="Times New Roman"/>
                <w:spacing w:val="-2"/>
              </w:rPr>
              <w:t>1996</w:t>
            </w:r>
          </w:p>
        </w:tc>
      </w:tr>
      <w:tr>
        <w:tc>
          <w:tcPr>
            <w:tcW w:w="5088" w:type="dxa"/>
          </w:tcPr>
          <w:p>
            <w:pPr>
              <w:pStyle w:val="yTable"/>
            </w:pPr>
            <w:r>
              <w:t>SAA Gas Pipeline Code</w:t>
            </w:r>
          </w:p>
        </w:tc>
        <w:tc>
          <w:tcPr>
            <w:tcW w:w="2236" w:type="dxa"/>
          </w:tcPr>
          <w:p>
            <w:pPr>
              <w:pStyle w:val="yTable"/>
              <w:rPr>
                <w:rStyle w:val="note"/>
                <w:rFonts w:ascii="Times New Roman" w:hAnsi="Times New Roman"/>
                <w:spacing w:val="-2"/>
              </w:rPr>
            </w:pPr>
            <w:r>
              <w:t>AS 1697 — 1981</w:t>
            </w:r>
          </w:p>
        </w:tc>
      </w:tr>
      <w:tr>
        <w:tc>
          <w:tcPr>
            <w:tcW w:w="5088" w:type="dxa"/>
          </w:tcPr>
          <w:p>
            <w:pPr>
              <w:pStyle w:val="yTable"/>
            </w:pPr>
            <w:r>
              <w:t>Pipelines — Gas and liquid petroleum</w:t>
            </w:r>
            <w:r>
              <w:br/>
              <w:t>Part 1: Design and construction</w:t>
            </w:r>
          </w:p>
        </w:tc>
        <w:tc>
          <w:tcPr>
            <w:tcW w:w="2236" w:type="dxa"/>
          </w:tcPr>
          <w:p>
            <w:pPr>
              <w:pStyle w:val="yTable"/>
              <w:rPr>
                <w:rStyle w:val="note"/>
                <w:rFonts w:ascii="Times New Roman" w:hAnsi="Times New Roman"/>
                <w:spacing w:val="-2"/>
              </w:rPr>
            </w:pPr>
            <w:r>
              <w:br/>
              <w:t>AS 2885.1 — 1997</w:t>
            </w:r>
          </w:p>
        </w:tc>
      </w:tr>
      <w:tr>
        <w:tc>
          <w:tcPr>
            <w:tcW w:w="5088" w:type="dxa"/>
          </w:tcPr>
          <w:p>
            <w:pPr>
              <w:pStyle w:val="yTable"/>
            </w:pPr>
            <w:r>
              <w:t>Pipelines — Gas and liquid petroleum</w:t>
            </w:r>
            <w:r>
              <w:br/>
              <w:t>Part 2: Welding</w:t>
            </w:r>
          </w:p>
        </w:tc>
        <w:tc>
          <w:tcPr>
            <w:tcW w:w="2236" w:type="dxa"/>
          </w:tcPr>
          <w:p>
            <w:pPr>
              <w:pStyle w:val="yTable"/>
            </w:pPr>
            <w:r>
              <w:br/>
              <w:t>AS 2885.2 —1995</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Gas Standards (Gasfitting and Consumers' Gas Installations) Regulations 1999</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before="40" w:after="40"/>
              <w:rPr>
                <w:sz w:val="19"/>
              </w:rPr>
            </w:pPr>
            <w:r>
              <w:rPr>
                <w:i/>
                <w:sz w:val="19"/>
              </w:rPr>
              <w:t>Gas Standards (Gasfitting and Consumers' Gas Installations) Regulations 1999</w:t>
            </w:r>
          </w:p>
        </w:tc>
        <w:tc>
          <w:tcPr>
            <w:tcW w:w="1276" w:type="dxa"/>
            <w:tcBorders>
              <w:top w:val="single" w:sz="8" w:space="0" w:color="auto"/>
              <w:bottom w:val="single" w:sz="8" w:space="0" w:color="auto"/>
            </w:tcBorders>
          </w:tcPr>
          <w:p>
            <w:pPr>
              <w:pStyle w:val="nTable"/>
              <w:spacing w:before="40" w:after="40"/>
              <w:rPr>
                <w:sz w:val="19"/>
              </w:rPr>
            </w:pPr>
            <w:r>
              <w:rPr>
                <w:sz w:val="19"/>
              </w:rPr>
              <w:t>27 Apr 1999 pp.1745-85</w:t>
            </w:r>
          </w:p>
        </w:tc>
        <w:tc>
          <w:tcPr>
            <w:tcW w:w="2693" w:type="dxa"/>
            <w:tcBorders>
              <w:top w:val="single" w:sz="8" w:space="0" w:color="auto"/>
              <w:bottom w:val="single" w:sz="8" w:space="0" w:color="auto"/>
            </w:tcBorders>
          </w:tcPr>
          <w:p>
            <w:pPr>
              <w:pStyle w:val="nTable"/>
              <w:spacing w:before="40" w:after="40"/>
              <w:rPr>
                <w:sz w:val="19"/>
              </w:rPr>
            </w:pPr>
            <w:r>
              <w:rPr>
                <w:sz w:val="19"/>
              </w:rPr>
              <w:t>1 May 1999 (see regulation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Consumers'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rPr>
              <w:b w:val="0"/>
            </w:rPr>
            <w:fldChar w:fldCharType="begin"/>
          </w:r>
          <w:r>
            <w:rPr>
              <w:b w:val="0"/>
            </w:rPr>
            <w:instrText xml:space="preserve"> STYLEREF CharSchText \* MERGEFORMAT </w:instrText>
          </w:r>
          <w:r>
            <w:rPr>
              <w:b w:val="0"/>
            </w:rPr>
            <w:fldChar w:fldCharType="separate"/>
          </w:r>
          <w:r>
            <w:rPr>
              <w:b w:val="0"/>
              <w:noProof/>
            </w:rPr>
            <w:t>Type A appliances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5812"/>
      <w:gridCol w:w="18"/>
      <w:gridCol w:w="1516"/>
      <w:gridCol w:w="36"/>
    </w:tblGrid>
    <w:tr>
      <w:trPr>
        <w:gridAfter w:val="1"/>
        <w:wAfter w:w="36" w:type="dxa"/>
        <w:cantSplit/>
      </w:trPr>
      <w:tc>
        <w:tcPr>
          <w:tcW w:w="7346" w:type="dxa"/>
          <w:gridSpan w:val="3"/>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blPrEx>
        <w:tblCellMar>
          <w:left w:w="72" w:type="dxa"/>
          <w:right w:w="72" w:type="dxa"/>
        </w:tblCellMar>
      </w:tblPrEx>
      <w:tc>
        <w:tcPr>
          <w:tcW w:w="5830" w:type="dxa"/>
          <w:gridSpan w:val="2"/>
        </w:tcPr>
        <w:p>
          <w:pPr>
            <w:pStyle w:val="HeaderTextRight"/>
          </w:pPr>
        </w:p>
      </w:tc>
      <w:tc>
        <w:tcPr>
          <w:tcW w:w="1552" w:type="dxa"/>
          <w:gridSpan w:val="2"/>
        </w:tcPr>
        <w:p>
          <w:pPr>
            <w:pStyle w:val="HeaderNumberRight"/>
          </w:pPr>
        </w:p>
      </w:tc>
    </w:tr>
    <w:tr>
      <w:tblPrEx>
        <w:tblCellMar>
          <w:left w:w="72" w:type="dxa"/>
          <w:right w:w="72" w:type="dxa"/>
        </w:tblCellMar>
      </w:tblPrEx>
      <w:tc>
        <w:tcPr>
          <w:tcW w:w="583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cantSplit/>
      </w:trPr>
      <w:tc>
        <w:tcPr>
          <w:tcW w:w="5812" w:type="dxa"/>
        </w:tcPr>
        <w:p>
          <w:pPr>
            <w:pStyle w:val="HeaderSectionLeft"/>
            <w:jc w:val="right"/>
          </w:pPr>
          <w:r>
            <w:rPr>
              <w:b w:val="0"/>
            </w:rPr>
            <w:fldChar w:fldCharType="begin"/>
          </w:r>
          <w:r>
            <w:rPr>
              <w:b w:val="0"/>
            </w:rPr>
            <w:instrText xml:space="preserve"> STYLEREF CharSchText \* MERGEFORMAT </w:instrText>
          </w:r>
          <w:r>
            <w:rPr>
              <w:b w:val="0"/>
            </w:rPr>
            <w:fldChar w:fldCharType="separate"/>
          </w:r>
          <w:r>
            <w:rPr>
              <w:b w:val="0"/>
              <w:noProof/>
            </w:rPr>
            <w:t>Type A appliances</w:t>
          </w:r>
          <w:r>
            <w:rPr>
              <w:b w:val="0"/>
            </w:rPr>
            <w:fldChar w:fldCharType="end"/>
          </w:r>
        </w:p>
      </w:tc>
      <w:tc>
        <w:tcPr>
          <w:tcW w:w="1570" w:type="dxa"/>
          <w:gridSpan w:val="3"/>
        </w:tcPr>
        <w:p>
          <w:pPr>
            <w:pStyle w:val="HeaderSectionLeft"/>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Consumers'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A194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5">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10"/>
    <w:docVar w:name="WAFER_20151211132610" w:val="RemoveTrackChanges"/>
    <w:docVar w:name="WAFER_20151211132610_GUID" w:val="52daf932-4ebf-4e31-89df-2baf3d2336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360" w:after="120" w:line="240" w:lineRule="auto"/>
      <w:ind w:left="646" w:right="289"/>
      <w:outlineLvl w:val="9"/>
    </w:pPr>
    <w:rPr>
      <w:noProof/>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character" w:customStyle="1" w:styleId="note">
    <w:name w:val="note"/>
    <w:basedOn w:val="DefaultParagraphFont"/>
    <w:rPr>
      <w:rFonts w:ascii="Courier" w:hAnsi="Courier"/>
      <w:noProof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360" w:after="120" w:line="240" w:lineRule="auto"/>
      <w:ind w:left="646" w:right="289"/>
      <w:outlineLvl w:val="9"/>
    </w:pPr>
    <w:rPr>
      <w:noProof/>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character" w:customStyle="1" w:styleId="note">
    <w:name w:val="note"/>
    <w:basedOn w:val="DefaultParagraphFont"/>
    <w:rPr>
      <w:rFonts w:ascii="Courier" w:hAnsi="Courier"/>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12412</Words>
  <Characters>60820</Characters>
  <Application>Microsoft Office Word</Application>
  <DocSecurity>0</DocSecurity>
  <Lines>1788</Lines>
  <Paragraphs>1109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Consumers' Gas Installations) Regulations 1999 - 00-a0-04</dc:title>
  <dc:subject/>
  <dc:creator/>
  <cp:keywords/>
  <dc:description/>
  <cp:lastModifiedBy>svcMRProcess</cp:lastModifiedBy>
  <cp:revision>4</cp:revision>
  <cp:lastPrinted>2006-04-19T01:43:00Z</cp:lastPrinted>
  <dcterms:created xsi:type="dcterms:W3CDTF">2018-09-12T03:40:00Z</dcterms:created>
  <dcterms:modified xsi:type="dcterms:W3CDTF">2018-09-12T03:41:00Z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1999 pp.1745-85</vt:lpwstr>
  </property>
  <property fmtid="{D5CDD505-2E9C-101B-9397-08002B2CF9AE}" pid="3" name="CommencementDate">
    <vt:lpwstr>19990501</vt:lpwstr>
  </property>
  <property fmtid="{D5CDD505-2E9C-101B-9397-08002B2CF9AE}" pid="4" name="DocumentType">
    <vt:lpwstr>Reg</vt:lpwstr>
  </property>
  <property fmtid="{D5CDD505-2E9C-101B-9397-08002B2CF9AE}" pid="5" name="AsAtDate">
    <vt:lpwstr>01 May 1999</vt:lpwstr>
  </property>
  <property fmtid="{D5CDD505-2E9C-101B-9397-08002B2CF9AE}" pid="6" name="Suffix">
    <vt:lpwstr>00-a0-04</vt:lpwstr>
  </property>
</Properties>
</file>