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_Toc487190103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_Toc487190104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_Toc487190105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_Toc487190106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_Toc487190107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_Toc487190108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_Toc487190109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_Toc487190110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_Toc487190111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_Toc487190112 \h </w:instrText>
      </w:r>
      <w:r>
        <w:fldChar w:fldCharType="separate"/>
      </w:r>
      <w:r>
        <w:t>5</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_Toc487190113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_Toc487190114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_Toc487190115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_Toc487190116 \h </w:instrText>
      </w:r>
      <w:r>
        <w:fldChar w:fldCharType="separate"/>
      </w:r>
      <w:r>
        <w:t>7</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_Toc487190117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_Toc487190123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487190103"/>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487190104"/>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487190105"/>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6" w:name="_Toc487190106"/>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7" w:name="_Toc451756122"/>
      <w:bookmarkStart w:id="8" w:name="_Toc487190107"/>
      <w:r>
        <w:rPr>
          <w:rStyle w:val="CharSectno"/>
        </w:rPr>
        <w:t>5</w:t>
      </w:r>
      <w:r>
        <w:t>.</w:t>
      </w:r>
      <w:r>
        <w:tab/>
        <w:t>Exemptions</w:t>
      </w:r>
      <w:bookmarkEnd w:id="7"/>
      <w:bookmarkEnd w:id="8"/>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9" w:name="_Toc487190108"/>
      <w:r>
        <w:rPr>
          <w:rStyle w:val="CharSectno"/>
        </w:rPr>
        <w:t>6</w:t>
      </w:r>
      <w:r>
        <w:t>.</w:t>
      </w:r>
      <w:r>
        <w:tab/>
        <w:t>Some fees subject to conditions or must be waived</w:t>
      </w:r>
      <w:bookmarkEnd w:id="9"/>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0" w:name="_Toc487190109"/>
      <w:r>
        <w:rPr>
          <w:rStyle w:val="CharSectno"/>
        </w:rPr>
        <w:t>7</w:t>
      </w:r>
      <w:r>
        <w:t>.</w:t>
      </w:r>
      <w:r>
        <w:tab/>
      </w:r>
      <w:r>
        <w:rPr>
          <w:rStyle w:val="CharSectno"/>
        </w:rPr>
        <w:t>F</w:t>
      </w:r>
      <w:r>
        <w:rPr>
          <w:snapToGrid w:val="0"/>
        </w:rPr>
        <w:t>ees to be paid before documents etc. filed in civil cases</w:t>
      </w:r>
      <w:bookmarkEnd w:id="10"/>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1" w:name="_Toc451756124"/>
      <w:bookmarkStart w:id="12" w:name="_Toc487190110"/>
      <w:r>
        <w:rPr>
          <w:rStyle w:val="CharSectno"/>
        </w:rPr>
        <w:t>8</w:t>
      </w:r>
      <w:r>
        <w:t>.</w:t>
      </w:r>
      <w:r>
        <w:tab/>
        <w:t>Who is an eligible individual</w:t>
      </w:r>
      <w:bookmarkEnd w:id="11"/>
      <w:bookmarkEnd w:id="12"/>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13" w:name="_Toc451756125"/>
      <w:bookmarkStart w:id="14" w:name="_Toc487190111"/>
      <w:r>
        <w:rPr>
          <w:rStyle w:val="CharSectno"/>
        </w:rPr>
        <w:t>9A</w:t>
      </w:r>
      <w:r>
        <w:t>.</w:t>
      </w:r>
      <w:r>
        <w:tab/>
        <w:t>Application to be recognised as eligible individual</w:t>
      </w:r>
      <w:bookmarkEnd w:id="13"/>
      <w:bookmarkEnd w:id="14"/>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15" w:name="_Toc451756126"/>
      <w:bookmarkStart w:id="16" w:name="_Toc487190112"/>
      <w:r>
        <w:rPr>
          <w:rStyle w:val="CharSectno"/>
        </w:rPr>
        <w:t>9B</w:t>
      </w:r>
      <w:r>
        <w:t>.</w:t>
      </w:r>
      <w:r>
        <w:tab/>
        <w:t>Recognition as eligible individual</w:t>
      </w:r>
      <w:bookmarkEnd w:id="15"/>
      <w:bookmarkEnd w:id="16"/>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17" w:name="_Toc451756127"/>
      <w:bookmarkStart w:id="18" w:name="_Toc487190113"/>
      <w:r>
        <w:rPr>
          <w:rStyle w:val="CharSectno"/>
        </w:rPr>
        <w:t>9C</w:t>
      </w:r>
      <w:r>
        <w:t>.</w:t>
      </w:r>
      <w:r>
        <w:tab/>
        <w:t>False or misleading statements</w:t>
      </w:r>
      <w:bookmarkEnd w:id="17"/>
      <w:bookmarkEnd w:id="18"/>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19" w:name="_Toc451756128"/>
      <w:bookmarkStart w:id="20" w:name="_Toc487190114"/>
      <w:r>
        <w:rPr>
          <w:rStyle w:val="CharSectno"/>
        </w:rPr>
        <w:t>9D</w:t>
      </w:r>
      <w:r>
        <w:t>.</w:t>
      </w:r>
      <w:r>
        <w:tab/>
        <w:t>Refunds</w:t>
      </w:r>
      <w:bookmarkEnd w:id="19"/>
      <w:bookmarkEnd w:id="20"/>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21" w:name="_Toc451756129"/>
      <w:bookmarkStart w:id="22" w:name="_Toc487190115"/>
      <w:r>
        <w:rPr>
          <w:rStyle w:val="CharSectno"/>
        </w:rPr>
        <w:t>9</w:t>
      </w:r>
      <w:r>
        <w:t>.</w:t>
      </w:r>
      <w:r>
        <w:tab/>
        <w:t>Waiving fee for copy of document or transcript</w:t>
      </w:r>
      <w:bookmarkEnd w:id="21"/>
      <w:bookmarkEnd w:id="22"/>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23" w:name="_Toc487190116"/>
      <w:r>
        <w:rPr>
          <w:rStyle w:val="CharSectno"/>
        </w:rPr>
        <w:t>10</w:t>
      </w:r>
      <w:r>
        <w:t>.</w:t>
      </w:r>
      <w:r>
        <w:tab/>
        <w:t>Disputes as to fees, determination of</w:t>
      </w:r>
      <w:bookmarkEnd w:id="23"/>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24" w:name="_Toc487190117"/>
      <w:r>
        <w:rPr>
          <w:rStyle w:val="CharSectno"/>
        </w:rPr>
        <w:t>11</w:t>
      </w:r>
      <w:r>
        <w:t>.</w:t>
      </w:r>
      <w:r>
        <w:tab/>
        <w:t>Unpaid fees, recovery of</w:t>
      </w:r>
      <w:bookmarkEnd w:id="24"/>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 w:name="_Toc484597446"/>
      <w:bookmarkStart w:id="26" w:name="_Toc484597499"/>
      <w:bookmarkStart w:id="27" w:name="_Toc484598052"/>
      <w:bookmarkStart w:id="28" w:name="_Toc484598105"/>
      <w:bookmarkStart w:id="29" w:name="_Toc484787466"/>
      <w:bookmarkStart w:id="30" w:name="_Toc487187180"/>
      <w:bookmarkStart w:id="31" w:name="_Toc487190118"/>
      <w:bookmarkStart w:id="32" w:name="_Toc473808672"/>
      <w:bookmarkStart w:id="33" w:name="_Toc486427387"/>
      <w:bookmarkStart w:id="34" w:name="_Toc455057587"/>
      <w:bookmarkStart w:id="35" w:name="_Toc455057723"/>
      <w:bookmarkStart w:id="36" w:name="_Toc455057859"/>
      <w:bookmarkStart w:id="37" w:name="_Toc455563682"/>
      <w:r>
        <w:rPr>
          <w:rStyle w:val="CharSchNo"/>
        </w:rPr>
        <w:t>Schedule 1</w:t>
      </w:r>
      <w:r>
        <w:t> — </w:t>
      </w:r>
      <w:r>
        <w:rPr>
          <w:rStyle w:val="CharSchText"/>
        </w:rPr>
        <w:t>Fees</w:t>
      </w:r>
      <w:bookmarkEnd w:id="25"/>
      <w:bookmarkEnd w:id="26"/>
      <w:bookmarkEnd w:id="27"/>
      <w:bookmarkEnd w:id="28"/>
      <w:bookmarkEnd w:id="29"/>
      <w:bookmarkEnd w:id="30"/>
      <w:bookmarkEnd w:id="31"/>
    </w:p>
    <w:p>
      <w:pPr>
        <w:pStyle w:val="yShoulderClause"/>
      </w:pPr>
      <w:r>
        <w:t>[r. 4]</w:t>
      </w:r>
    </w:p>
    <w:p>
      <w:pPr>
        <w:pStyle w:val="yFootnoteheading"/>
        <w:rPr>
          <w:sz w:val="24"/>
        </w:rPr>
      </w:pPr>
      <w:r>
        <w:tab/>
        <w:t>[Heading inserted in Gazette 7 Jul 2017 p. 3726.]</w:t>
      </w:r>
    </w:p>
    <w:p>
      <w:pPr>
        <w:pStyle w:val="yHeading3"/>
      </w:pPr>
      <w:bookmarkStart w:id="38" w:name="_Toc484597447"/>
      <w:bookmarkStart w:id="39" w:name="_Toc484597500"/>
      <w:bookmarkStart w:id="40" w:name="_Toc484598053"/>
      <w:bookmarkStart w:id="41" w:name="_Toc484598106"/>
      <w:bookmarkStart w:id="42" w:name="_Toc484787467"/>
      <w:bookmarkStart w:id="43" w:name="_Toc487187181"/>
      <w:bookmarkStart w:id="44" w:name="_Toc487190119"/>
      <w:r>
        <w:rPr>
          <w:rStyle w:val="CharSDivNo"/>
        </w:rPr>
        <w:t>Division 1</w:t>
      </w:r>
      <w:r>
        <w:t> — </w:t>
      </w:r>
      <w:r>
        <w:rPr>
          <w:rStyle w:val="CharSDivText"/>
        </w:rPr>
        <w:t>General</w:t>
      </w:r>
      <w:bookmarkEnd w:id="38"/>
      <w:bookmarkEnd w:id="39"/>
      <w:bookmarkEnd w:id="40"/>
      <w:bookmarkEnd w:id="41"/>
      <w:bookmarkEnd w:id="42"/>
      <w:bookmarkEnd w:id="43"/>
      <w:bookmarkEnd w:id="44"/>
    </w:p>
    <w:p>
      <w:pPr>
        <w:pStyle w:val="yFootnoteheading"/>
      </w:pPr>
      <w:r>
        <w:tab/>
        <w:t>[Heading inserted in Gazette 7 Jul 2017 p. 3726.]</w:t>
      </w:r>
    </w:p>
    <w:tbl>
      <w:tblPr>
        <w:tblW w:w="7088" w:type="dxa"/>
        <w:tblInd w:w="108" w:type="dxa"/>
        <w:tblLayout w:type="fixed"/>
        <w:tblLook w:val="0000" w:firstRow="0" w:lastRow="0" w:firstColumn="0" w:lastColumn="0" w:noHBand="0" w:noVBand="0"/>
      </w:tblPr>
      <w:tblGrid>
        <w:gridCol w:w="709"/>
        <w:gridCol w:w="3686"/>
        <w:gridCol w:w="1417"/>
        <w:gridCol w:w="127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3686" w:type="dxa"/>
            <w:tcBorders>
              <w:top w:val="single" w:sz="4" w:space="0" w:color="auto"/>
              <w:bottom w:val="single" w:sz="4" w:space="0" w:color="auto"/>
            </w:tcBorders>
          </w:tcPr>
          <w:p>
            <w:pPr>
              <w:pStyle w:val="yTableNAm"/>
              <w:jc w:val="center"/>
              <w:rPr>
                <w:b/>
              </w:rPr>
            </w:pPr>
            <w:r>
              <w:rPr>
                <w:b/>
              </w:rPr>
              <w:t>Matter</w:t>
            </w:r>
          </w:p>
        </w:tc>
        <w:tc>
          <w:tcPr>
            <w:tcW w:w="1417"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686" w:type="dxa"/>
            <w:tcBorders>
              <w:top w:val="single" w:sz="4" w:space="0" w:color="auto"/>
            </w:tcBorders>
          </w:tcPr>
          <w:p>
            <w:pPr>
              <w:pStyle w:val="yTableNAm"/>
              <w:tabs>
                <w:tab w:val="clear" w:pos="567"/>
                <w:tab w:val="left" w:pos="459"/>
                <w:tab w:val="right" w:leader="dot" w:pos="4536"/>
              </w:tabs>
              <w:ind w:left="459" w:hanging="459"/>
            </w:pPr>
            <w:r>
              <w:t>(a)</w:t>
            </w:r>
            <w:r>
              <w:tab/>
              <w:t xml:space="preserve">for every order or conviction drawn up in the Court’s criminal jurisdiction </w:t>
            </w:r>
            <w:r>
              <w:tab/>
            </w:r>
          </w:p>
          <w:p>
            <w:pPr>
              <w:pStyle w:val="yTableNAm"/>
              <w:tabs>
                <w:tab w:val="clear" w:pos="567"/>
                <w:tab w:val="left" w:pos="459"/>
                <w:tab w:val="right" w:leader="dot" w:pos="4536"/>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16.40</w:t>
            </w:r>
          </w:p>
          <w:p>
            <w:pPr>
              <w:pStyle w:val="yTableNAm"/>
              <w:jc w:val="center"/>
            </w:pPr>
            <w:r>
              <w:br/>
              <w:t>16.40</w:t>
            </w:r>
          </w:p>
        </w:tc>
        <w:tc>
          <w:tcPr>
            <w:tcW w:w="1276" w:type="dxa"/>
            <w:tcBorders>
              <w:top w:val="single" w:sz="4" w:space="0" w:color="auto"/>
            </w:tcBorders>
          </w:tcPr>
          <w:p>
            <w:pPr>
              <w:pStyle w:val="yTableNAm"/>
              <w:jc w:val="center"/>
            </w:pPr>
            <w:r>
              <w:br/>
            </w:r>
            <w:r>
              <w:br/>
              <w:t>4.95</w:t>
            </w:r>
          </w:p>
          <w:p>
            <w:pPr>
              <w:pStyle w:val="yTableNAm"/>
              <w:jc w:val="center"/>
            </w:pPr>
            <w:r>
              <w:br/>
              <w:t>4.95</w:t>
            </w:r>
          </w:p>
        </w:tc>
      </w:tr>
      <w:tr>
        <w:trPr>
          <w:cantSplit/>
        </w:trPr>
        <w:tc>
          <w:tcPr>
            <w:tcW w:w="709" w:type="dxa"/>
          </w:tcPr>
          <w:p>
            <w:pPr>
              <w:pStyle w:val="yTableNAm"/>
            </w:pPr>
            <w:r>
              <w:t>2.</w:t>
            </w:r>
          </w:p>
        </w:tc>
        <w:tc>
          <w:tcPr>
            <w:tcW w:w="3686" w:type="dxa"/>
          </w:tcPr>
          <w:p>
            <w:pPr>
              <w:pStyle w:val="yTableNAm"/>
              <w:tabs>
                <w:tab w:val="right" w:leader="dot" w:pos="4536"/>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t>71.50</w:t>
            </w:r>
          </w:p>
        </w:tc>
        <w:tc>
          <w:tcPr>
            <w:tcW w:w="1276" w:type="dxa"/>
          </w:tcPr>
          <w:p>
            <w:pPr>
              <w:pStyle w:val="yTableNAm"/>
              <w:jc w:val="center"/>
            </w:pPr>
            <w:r>
              <w:br/>
            </w:r>
            <w:r>
              <w:br/>
            </w:r>
            <w:r>
              <w:br/>
              <w:t>71.50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686" w:type="dxa"/>
          </w:tcPr>
          <w:p>
            <w:pPr>
              <w:pStyle w:val="yTableNAm"/>
              <w:tabs>
                <w:tab w:val="right" w:leader="dot" w:pos="4536"/>
              </w:tabs>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r>
              <w:br/>
            </w:r>
            <w:r>
              <w:br/>
            </w:r>
            <w:r>
              <w:br/>
            </w:r>
            <w:r>
              <w:br/>
            </w:r>
            <w:r>
              <w:br/>
            </w:r>
            <w:r>
              <w:br/>
            </w:r>
            <w:r>
              <w:br/>
            </w:r>
            <w:r>
              <w:br/>
            </w:r>
          </w:p>
        </w:tc>
        <w:tc>
          <w:tcPr>
            <w:tcW w:w="1276" w:type="dxa"/>
          </w:tcPr>
          <w:p>
            <w:pPr>
              <w:pStyle w:val="yTableNAm"/>
              <w:jc w:val="center"/>
            </w:pPr>
            <w:r>
              <w:br/>
            </w:r>
            <w:r>
              <w:br/>
            </w:r>
            <w:r>
              <w:br/>
            </w:r>
            <w:r>
              <w:br/>
            </w:r>
            <w:r>
              <w:br/>
            </w:r>
            <w:r>
              <w:br/>
            </w:r>
            <w:r>
              <w:br/>
            </w:r>
            <w:r>
              <w:br/>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(a)</w:t>
            </w:r>
            <w:r>
              <w:tab/>
              <w:t xml:space="preserve">for each kilometre travelled (1 way) in the metropolitan area </w:t>
            </w:r>
            <w:r>
              <w:tab/>
            </w:r>
          </w:p>
          <w:p>
            <w:pPr>
              <w:pStyle w:val="yTableNAm"/>
              <w:tabs>
                <w:tab w:val="clear" w:pos="567"/>
                <w:tab w:val="right" w:leader="dot" w:pos="4536"/>
              </w:tabs>
              <w:ind w:left="459" w:hanging="425"/>
            </w:pPr>
            <w:r>
              <w:t>(b)</w:t>
            </w:r>
            <w:r>
              <w:tab/>
              <w:t xml:space="preserve">for each kilometre travelled (1 way) outside the metropolitan area </w:t>
            </w:r>
            <w:r>
              <w:tab/>
            </w:r>
          </w:p>
        </w:tc>
        <w:tc>
          <w:tcPr>
            <w:tcW w:w="1417" w:type="dxa"/>
          </w:tcPr>
          <w:p>
            <w:pPr>
              <w:pStyle w:val="yTableNAm"/>
              <w:jc w:val="center"/>
            </w:pPr>
            <w:r>
              <w:br/>
              <w:t>1.85</w:t>
            </w:r>
          </w:p>
          <w:p>
            <w:pPr>
              <w:pStyle w:val="yTableNAm"/>
              <w:jc w:val="center"/>
            </w:pPr>
            <w:r>
              <w:br/>
            </w:r>
            <w:r>
              <w:br/>
              <w:t>2.05</w:t>
            </w:r>
          </w:p>
        </w:tc>
        <w:tc>
          <w:tcPr>
            <w:tcW w:w="1276" w:type="dxa"/>
          </w:tcPr>
          <w:p>
            <w:pPr>
              <w:pStyle w:val="yTableNAm"/>
              <w:jc w:val="center"/>
            </w:pPr>
            <w:r>
              <w:br/>
              <w:t>1.85</w:t>
            </w:r>
          </w:p>
          <w:p>
            <w:pPr>
              <w:pStyle w:val="yTableNAm"/>
              <w:jc w:val="center"/>
            </w:pPr>
            <w:r>
              <w:br/>
            </w:r>
            <w:r>
              <w:br/>
              <w:t>2.05</w:t>
            </w:r>
          </w:p>
        </w:tc>
      </w:tr>
      <w:tr>
        <w:trPr>
          <w:cantSplit/>
        </w:trPr>
        <w:tc>
          <w:tcPr>
            <w:tcW w:w="7088" w:type="dxa"/>
            <w:gridSpan w:val="4"/>
          </w:tcPr>
          <w:p>
            <w:pPr>
              <w:pStyle w:val="yTableNAm"/>
            </w:pPr>
            <w:r>
              <w:t>NOTE</w:t>
            </w:r>
          </w:p>
          <w:p>
            <w:pPr>
              <w:pStyle w:val="yTableNAm"/>
            </w:pPr>
            <w: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686" w:type="dxa"/>
          </w:tcPr>
          <w:p>
            <w:pPr>
              <w:pStyle w:val="yTableNAm"/>
              <w:tabs>
                <w:tab w:val="clear" w:pos="567"/>
                <w:tab w:val="left" w:pos="459"/>
                <w:tab w:val="right" w:leader="dot" w:pos="4536"/>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jc w:val="center"/>
            </w:pPr>
            <w:r>
              <w:br/>
            </w:r>
            <w:r>
              <w:br/>
            </w:r>
            <w:r>
              <w:br/>
            </w:r>
            <w:r>
              <w:br/>
              <w:t>41.40</w:t>
            </w:r>
          </w:p>
        </w:tc>
        <w:tc>
          <w:tcPr>
            <w:tcW w:w="1276" w:type="dxa"/>
          </w:tcPr>
          <w:p>
            <w:pPr>
              <w:pStyle w:val="yTableNAm"/>
              <w:jc w:val="center"/>
            </w:pPr>
            <w:r>
              <w:br/>
            </w:r>
            <w:r>
              <w:br/>
            </w:r>
            <w:r>
              <w:br/>
            </w:r>
            <w:r>
              <w:br/>
              <w:t>12.40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536"/>
              </w:tabs>
            </w:pPr>
            <w:r>
              <w:t xml:space="preserve">and in addition to the search fee, for each hour of the officer’s time </w:t>
            </w:r>
            <w:r>
              <w:tab/>
            </w:r>
          </w:p>
        </w:tc>
        <w:tc>
          <w:tcPr>
            <w:tcW w:w="1417" w:type="dxa"/>
          </w:tcPr>
          <w:p>
            <w:pPr>
              <w:pStyle w:val="yTableNAm"/>
              <w:jc w:val="center"/>
            </w:pPr>
            <w:r>
              <w:br/>
            </w:r>
            <w:r>
              <w:br/>
            </w:r>
            <w:r>
              <w:br/>
              <w:t>41.40</w:t>
            </w:r>
          </w:p>
          <w:p>
            <w:pPr>
              <w:pStyle w:val="yTableNAm"/>
              <w:jc w:val="center"/>
            </w:pPr>
            <w:r>
              <w:br/>
              <w:t>103.00</w:t>
            </w:r>
          </w:p>
        </w:tc>
        <w:tc>
          <w:tcPr>
            <w:tcW w:w="1276" w:type="dxa"/>
          </w:tcPr>
          <w:p>
            <w:pPr>
              <w:pStyle w:val="yTableNAm"/>
              <w:jc w:val="center"/>
            </w:pPr>
            <w:r>
              <w:br/>
            </w:r>
            <w:r>
              <w:br/>
            </w:r>
            <w:r>
              <w:br/>
              <w:t>12.40</w:t>
            </w:r>
          </w:p>
          <w:p>
            <w:pPr>
              <w:pStyle w:val="yTableNAm"/>
              <w:jc w:val="center"/>
            </w:pPr>
            <w:r>
              <w:br/>
              <w:t>30.80</w:t>
            </w:r>
          </w:p>
        </w:tc>
      </w:tr>
      <w:tr>
        <w:trPr>
          <w:cantSplit/>
        </w:trPr>
        <w:tc>
          <w:tcPr>
            <w:tcW w:w="709" w:type="dxa"/>
          </w:tcPr>
          <w:p>
            <w:pPr>
              <w:pStyle w:val="yTableNAm"/>
            </w:pPr>
            <w:r>
              <w:t>5.</w:t>
            </w:r>
          </w:p>
        </w:tc>
        <w:tc>
          <w:tcPr>
            <w:tcW w:w="3686" w:type="dxa"/>
          </w:tcPr>
          <w:p>
            <w:pPr>
              <w:pStyle w:val="yTableNAm"/>
              <w:tabs>
                <w:tab w:val="clear" w:pos="567"/>
                <w:tab w:val="left" w:pos="459"/>
                <w:tab w:val="right" w:leader="dot" w:pos="4536"/>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jc w:val="center"/>
            </w:pPr>
            <w:r>
              <w:br/>
            </w:r>
            <w:r>
              <w:br/>
            </w:r>
            <w:r>
              <w:br/>
            </w:r>
            <w:r>
              <w:br/>
              <w:t>61.00</w:t>
            </w:r>
          </w:p>
        </w:tc>
        <w:tc>
          <w:tcPr>
            <w:tcW w:w="1276" w:type="dxa"/>
          </w:tcPr>
          <w:p>
            <w:pPr>
              <w:pStyle w:val="yTableNAm"/>
              <w:jc w:val="center"/>
            </w:pPr>
            <w:r>
              <w:br/>
            </w:r>
            <w:r>
              <w:br/>
            </w:r>
            <w:r>
              <w:br/>
            </w:r>
            <w:r>
              <w:br/>
              <w:t>18.30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r>
              <w:tab/>
            </w:r>
          </w:p>
        </w:tc>
        <w:tc>
          <w:tcPr>
            <w:tcW w:w="1417" w:type="dxa"/>
          </w:tcPr>
          <w:p>
            <w:pPr>
              <w:pStyle w:val="yTableNAm"/>
              <w:jc w:val="center"/>
            </w:pPr>
            <w:r>
              <w:br/>
            </w:r>
            <w:r>
              <w:br/>
            </w:r>
            <w:r>
              <w:br/>
            </w:r>
            <w:r>
              <w:br/>
            </w:r>
            <w:r>
              <w:br/>
            </w:r>
            <w:r>
              <w:br/>
            </w:r>
            <w:r>
              <w:br/>
              <w:t>91.00</w:t>
            </w:r>
          </w:p>
        </w:tc>
        <w:tc>
          <w:tcPr>
            <w:tcW w:w="1276" w:type="dxa"/>
          </w:tcPr>
          <w:p>
            <w:pPr>
              <w:pStyle w:val="yTableNAm"/>
              <w:jc w:val="center"/>
            </w:pPr>
            <w:r>
              <w:br/>
            </w:r>
            <w:r>
              <w:br/>
            </w:r>
            <w:r>
              <w:br/>
            </w:r>
            <w:r>
              <w:br/>
            </w:r>
            <w:r>
              <w:br/>
            </w:r>
            <w:r>
              <w:br/>
            </w:r>
            <w:r>
              <w:br/>
              <w:t>27.30</w:t>
            </w:r>
          </w:p>
        </w:tc>
      </w:tr>
      <w:tr>
        <w:trPr>
          <w:cantSplit/>
        </w:trPr>
        <w:tc>
          <w:tcPr>
            <w:tcW w:w="709" w:type="dxa"/>
          </w:tcPr>
          <w:p>
            <w:pPr>
              <w:pStyle w:val="yTableNAm"/>
            </w:pPr>
            <w:r>
              <w:t>6.</w:t>
            </w:r>
          </w:p>
        </w:tc>
        <w:tc>
          <w:tcPr>
            <w:tcW w:w="3686" w:type="dxa"/>
          </w:tcPr>
          <w:p>
            <w:pPr>
              <w:pStyle w:val="yTableNAm"/>
              <w:tabs>
                <w:tab w:val="clear" w:pos="567"/>
                <w:tab w:val="left" w:pos="459"/>
                <w:tab w:val="right" w:leader="dot" w:pos="4536"/>
              </w:tabs>
              <w:ind w:left="459" w:hanging="459"/>
            </w:pPr>
            <w:r>
              <w:t>(a)</w:t>
            </w:r>
            <w:r>
              <w:tab/>
              <w:t xml:space="preserve">copies of documents or exhibits for each page or part of a page </w:t>
            </w:r>
            <w:r>
              <w:tab/>
            </w:r>
          </w:p>
        </w:tc>
        <w:tc>
          <w:tcPr>
            <w:tcW w:w="1417" w:type="dxa"/>
          </w:tcPr>
          <w:p>
            <w:pPr>
              <w:pStyle w:val="yTableNAm"/>
              <w:jc w:val="center"/>
            </w:pPr>
            <w:r>
              <w:br/>
              <w:t>1.70</w:t>
            </w:r>
          </w:p>
        </w:tc>
        <w:tc>
          <w:tcPr>
            <w:tcW w:w="1276" w:type="dxa"/>
          </w:tcPr>
          <w:p>
            <w:pPr>
              <w:pStyle w:val="yTableNAm"/>
              <w:jc w:val="center"/>
            </w:pPr>
            <w:r>
              <w:br/>
              <w:t>0.50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 copy of reasons for judgment — </w:t>
            </w:r>
          </w:p>
          <w:p>
            <w:pPr>
              <w:pStyle w:val="yTableNAm"/>
              <w:tabs>
                <w:tab w:val="clear" w:pos="567"/>
                <w:tab w:val="left" w:pos="459"/>
                <w:tab w:val="left" w:pos="884"/>
                <w:tab w:val="right" w:leader="dot" w:pos="4536"/>
              </w:tabs>
              <w:ind w:left="884" w:hanging="884"/>
            </w:pPr>
            <w:r>
              <w:tab/>
              <w:t>(i)</w:t>
            </w:r>
            <w:r>
              <w:tab/>
              <w:t xml:space="preserve">for each copy consisting of not more than 10 pages issued to a person not a party to the proceedings and for each copy in excess of 1 copy issued to a party to the proceedings </w:t>
            </w:r>
            <w:r>
              <w:tab/>
            </w:r>
          </w:p>
        </w:tc>
        <w:tc>
          <w:tcPr>
            <w:tcW w:w="1417" w:type="dxa"/>
          </w:tcPr>
          <w:p>
            <w:pPr>
              <w:pStyle w:val="yTableNAm"/>
              <w:jc w:val="center"/>
            </w:pPr>
            <w:r>
              <w:br/>
            </w:r>
          </w:p>
          <w:p>
            <w:pPr>
              <w:pStyle w:val="yTableNAm"/>
              <w:jc w:val="center"/>
            </w:pPr>
            <w:r>
              <w:br/>
            </w:r>
            <w:r>
              <w:br/>
            </w:r>
            <w:r>
              <w:br/>
            </w:r>
            <w:r>
              <w:br/>
            </w:r>
            <w:r>
              <w:br/>
            </w:r>
            <w:r>
              <w:br/>
              <w:t>14.40</w:t>
            </w:r>
          </w:p>
        </w:tc>
        <w:tc>
          <w:tcPr>
            <w:tcW w:w="1276" w:type="dxa"/>
          </w:tcPr>
          <w:p>
            <w:pPr>
              <w:pStyle w:val="yTableNAm"/>
              <w:jc w:val="center"/>
            </w:pPr>
            <w:r>
              <w:br/>
            </w:r>
          </w:p>
          <w:p>
            <w:pPr>
              <w:pStyle w:val="yTableNAm"/>
              <w:jc w:val="center"/>
            </w:pPr>
            <w:r>
              <w:br/>
            </w:r>
            <w:r>
              <w:br/>
            </w:r>
            <w:r>
              <w:br/>
            </w:r>
            <w:r>
              <w:br/>
            </w:r>
            <w:r>
              <w:br/>
            </w:r>
            <w:r>
              <w:br/>
              <w:t>4.40</w:t>
            </w:r>
          </w:p>
        </w:tc>
      </w:tr>
      <w:tr>
        <w:trPr>
          <w:cantSplit/>
        </w:trPr>
        <w:tc>
          <w:tcPr>
            <w:tcW w:w="709" w:type="dxa"/>
          </w:tcPr>
          <w:p>
            <w:pPr>
              <w:pStyle w:val="yTableNAm"/>
            </w:pPr>
          </w:p>
        </w:tc>
        <w:tc>
          <w:tcPr>
            <w:tcW w:w="3686" w:type="dxa"/>
          </w:tcPr>
          <w:p>
            <w:pPr>
              <w:pStyle w:val="yTableNAm"/>
              <w:tabs>
                <w:tab w:val="clear" w:pos="567"/>
                <w:tab w:val="right" w:leader="dot" w:pos="4536"/>
              </w:tabs>
              <w:ind w:left="884" w:hanging="425"/>
            </w:pPr>
            <w:r>
              <w:t>(ii)</w:t>
            </w:r>
            <w:r>
              <w:tab/>
              <w:t xml:space="preserve">for each copy consisting of 10 or more pages an additional fee per page of </w:t>
            </w:r>
            <w:r>
              <w:tab/>
            </w:r>
          </w:p>
        </w:tc>
        <w:tc>
          <w:tcPr>
            <w:tcW w:w="1417" w:type="dxa"/>
          </w:tcPr>
          <w:p>
            <w:pPr>
              <w:pStyle w:val="yTableNAm"/>
              <w:jc w:val="center"/>
            </w:pPr>
            <w:r>
              <w:br/>
            </w:r>
            <w:r>
              <w:br/>
              <w:t>1.85</w:t>
            </w:r>
          </w:p>
        </w:tc>
        <w:tc>
          <w:tcPr>
            <w:tcW w:w="1276" w:type="dxa"/>
          </w:tcPr>
          <w:p>
            <w:pPr>
              <w:pStyle w:val="yTableNAm"/>
              <w:jc w:val="center"/>
            </w:pPr>
            <w:r>
              <w:br/>
            </w:r>
            <w:r>
              <w:br/>
              <w:t>0.55</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(c)</w:t>
            </w:r>
            <w:r>
              <w:tab/>
              <w:t xml:space="preserve">for certifying that a document is a true copy, an additional fee of </w:t>
            </w:r>
            <w:r>
              <w:tab/>
            </w:r>
          </w:p>
        </w:tc>
        <w:tc>
          <w:tcPr>
            <w:tcW w:w="1417" w:type="dxa"/>
          </w:tcPr>
          <w:p>
            <w:pPr>
              <w:pStyle w:val="yTableNAm"/>
              <w:jc w:val="center"/>
            </w:pPr>
            <w:r>
              <w:br/>
              <w:t>19.95</w:t>
            </w:r>
          </w:p>
        </w:tc>
        <w:tc>
          <w:tcPr>
            <w:tcW w:w="1276" w:type="dxa"/>
          </w:tcPr>
          <w:p>
            <w:pPr>
              <w:pStyle w:val="yTableNAm"/>
              <w:jc w:val="center"/>
            </w:pPr>
            <w:r>
              <w:br/>
              <w:t>6.00</w:t>
            </w:r>
          </w:p>
        </w:tc>
      </w:tr>
      <w:tr>
        <w:trPr>
          <w:cantSplit/>
        </w:trPr>
        <w:tc>
          <w:tcPr>
            <w:tcW w:w="7088" w:type="dxa"/>
            <w:gridSpan w:val="4"/>
          </w:tcPr>
          <w:p>
            <w:pPr>
              <w:pStyle w:val="yTableNAm"/>
            </w:pPr>
            <w:r>
              <w:t>NOTE</w:t>
            </w:r>
          </w:p>
          <w:p>
            <w:pPr>
              <w:pStyle w:val="yTableNAm"/>
            </w:pPr>
            <w:r>
              <w:t>Fee under item 6(a) for a copy of an application is not payable where circumstances under regulation 6(4) exist.</w:t>
            </w:r>
          </w:p>
        </w:tc>
      </w:tr>
      <w:tr>
        <w:trPr>
          <w:cantSplit/>
        </w:trPr>
        <w:tc>
          <w:tcPr>
            <w:tcW w:w="709" w:type="dxa"/>
          </w:tcPr>
          <w:p>
            <w:pPr>
              <w:pStyle w:val="yTableNAm"/>
            </w:pPr>
            <w:r>
              <w:t>7.</w:t>
            </w:r>
          </w:p>
        </w:tc>
        <w:tc>
          <w:tcPr>
            <w:tcW w:w="3686" w:type="dxa"/>
          </w:tcPr>
          <w:p>
            <w:pPr>
              <w:pStyle w:val="yTableNAm"/>
              <w:tabs>
                <w:tab w:val="clear" w:pos="567"/>
                <w:tab w:val="left" w:pos="459"/>
                <w:tab w:val="right" w:leader="dot" w:pos="4536"/>
              </w:tabs>
              <w:ind w:left="459" w:hanging="459"/>
            </w:pPr>
            <w:r>
              <w:t>(a)</w:t>
            </w:r>
            <w:r>
              <w:tab/>
              <w:t xml:space="preserve">For a copy of a transcript, or part of a transcript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provided within 1 day after the day on which the fee is paid; or </w:t>
            </w:r>
            <w:r>
              <w:tab/>
            </w:r>
          </w:p>
        </w:tc>
        <w:tc>
          <w:tcPr>
            <w:tcW w:w="1417" w:type="dxa"/>
          </w:tcPr>
          <w:p>
            <w:pPr>
              <w:pStyle w:val="yTableNAm"/>
              <w:jc w:val="center"/>
            </w:pPr>
            <w:r>
              <w:br/>
              <w:t xml:space="preserve">19.10 plus </w:t>
            </w:r>
            <w:r>
              <w:br/>
              <w:t>7.85 per page</w:t>
            </w:r>
          </w:p>
        </w:tc>
        <w:tc>
          <w:tcPr>
            <w:tcW w:w="1276" w:type="dxa"/>
          </w:tcPr>
          <w:p>
            <w:pPr>
              <w:pStyle w:val="yTableNAm"/>
              <w:jc w:val="center"/>
            </w:pPr>
            <w:r>
              <w:br/>
              <w:t xml:space="preserve">5.70 plus </w:t>
            </w:r>
            <w:r>
              <w:br/>
              <w:t>2.35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provided within 4 days after the day on which the fee is paid; or </w:t>
            </w:r>
            <w:r>
              <w:tab/>
            </w:r>
          </w:p>
        </w:tc>
        <w:tc>
          <w:tcPr>
            <w:tcW w:w="1417" w:type="dxa"/>
          </w:tcPr>
          <w:p>
            <w:pPr>
              <w:pStyle w:val="yTableNAm"/>
              <w:jc w:val="center"/>
            </w:pPr>
            <w:r>
              <w:br/>
              <w:t>19.10 plus</w:t>
            </w:r>
            <w:r>
              <w:br/>
              <w:t>6.80 per page</w:t>
            </w:r>
          </w:p>
        </w:tc>
        <w:tc>
          <w:tcPr>
            <w:tcW w:w="1276" w:type="dxa"/>
          </w:tcPr>
          <w:p>
            <w:pPr>
              <w:pStyle w:val="yTableNAm"/>
              <w:jc w:val="center"/>
            </w:pPr>
            <w:r>
              <w:br/>
              <w:t xml:space="preserve">5.70 plus </w:t>
            </w:r>
            <w:r>
              <w:br/>
              <w:t>2.05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(iii)</w:t>
            </w:r>
            <w:r>
              <w:tab/>
              <w:t xml:space="preserve">provided within 7 days after the day on which the fee is paid </w:t>
            </w:r>
            <w:r>
              <w:tab/>
            </w:r>
          </w:p>
        </w:tc>
        <w:tc>
          <w:tcPr>
            <w:tcW w:w="1417" w:type="dxa"/>
          </w:tcPr>
          <w:p>
            <w:pPr>
              <w:pStyle w:val="yTableNAm"/>
              <w:jc w:val="center"/>
            </w:pPr>
            <w:r>
              <w:br/>
              <w:t xml:space="preserve">19.10 plus </w:t>
            </w:r>
            <w:r>
              <w:br/>
              <w:t>6.55 per page</w:t>
            </w:r>
          </w:p>
        </w:tc>
        <w:tc>
          <w:tcPr>
            <w:tcW w:w="1276" w:type="dxa"/>
          </w:tcPr>
          <w:p>
            <w:pPr>
              <w:pStyle w:val="yTableNAm"/>
              <w:jc w:val="center"/>
            </w:pPr>
            <w:r>
              <w:br/>
              <w:t xml:space="preserve">5.70 plus </w:t>
            </w:r>
            <w:r>
              <w:br/>
              <w:t>2.00 per page</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an additional copy of the transcript, or part of the transcript, provided under paragraph (a)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in electronic format </w:t>
            </w:r>
            <w:r>
              <w:tab/>
            </w:r>
          </w:p>
        </w:tc>
        <w:tc>
          <w:tcPr>
            <w:tcW w:w="1417" w:type="dxa"/>
          </w:tcPr>
          <w:p>
            <w:pPr>
              <w:pStyle w:val="yTableNAm"/>
              <w:jc w:val="center"/>
            </w:pPr>
            <w:r>
              <w:t>19.95</w:t>
            </w:r>
          </w:p>
        </w:tc>
        <w:tc>
          <w:tcPr>
            <w:tcW w:w="1276" w:type="dxa"/>
          </w:tcPr>
          <w:p>
            <w:pPr>
              <w:pStyle w:val="yTableNAm"/>
              <w:jc w:val="center"/>
            </w:pPr>
            <w:r>
              <w:t>6.00</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paper copy </w:t>
            </w:r>
            <w:r>
              <w:tab/>
            </w:r>
          </w:p>
        </w:tc>
        <w:tc>
          <w:tcPr>
            <w:tcW w:w="1417" w:type="dxa"/>
          </w:tcPr>
          <w:p>
            <w:pPr>
              <w:pStyle w:val="yTableNAm"/>
              <w:jc w:val="center"/>
            </w:pPr>
            <w:r>
              <w:t>1.95 per page</w:t>
            </w:r>
          </w:p>
        </w:tc>
        <w:tc>
          <w:tcPr>
            <w:tcW w:w="1276" w:type="dxa"/>
          </w:tcPr>
          <w:p>
            <w:pPr>
              <w:pStyle w:val="yTableNAm"/>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rPr>
          <w:rStyle w:val="CharSDivNo"/>
          <w:b/>
        </w:rPr>
      </w:pPr>
      <w:bookmarkStart w:id="45" w:name="_Toc484597448"/>
      <w:bookmarkStart w:id="46" w:name="_Toc484597501"/>
      <w:bookmarkStart w:id="47" w:name="_Toc484598054"/>
      <w:bookmarkStart w:id="48" w:name="_Toc484598107"/>
      <w:bookmarkStart w:id="49" w:name="_Toc484787468"/>
      <w:r>
        <w:tab/>
        <w:t>[Division 1 inserted in Gazette 7 Jul 2017 p. 3726</w:t>
      </w:r>
      <w:r>
        <w:noBreakHyphen/>
        <w:t>30.]</w:t>
      </w:r>
    </w:p>
    <w:p>
      <w:pPr>
        <w:pStyle w:val="yHeading3"/>
      </w:pPr>
      <w:bookmarkStart w:id="50" w:name="_Toc487187182"/>
      <w:bookmarkStart w:id="51" w:name="_Toc487190120"/>
      <w:r>
        <w:rPr>
          <w:rStyle w:val="CharSDivNo"/>
        </w:rPr>
        <w:t>Division 2</w:t>
      </w:r>
      <w:r>
        <w:t> — </w:t>
      </w:r>
      <w:r>
        <w:rPr>
          <w:rStyle w:val="CharSDivText"/>
        </w:rPr>
        <w:t>Civil jurisdiction</w:t>
      </w:r>
      <w:bookmarkEnd w:id="45"/>
      <w:bookmarkEnd w:id="46"/>
      <w:bookmarkEnd w:id="47"/>
      <w:bookmarkEnd w:id="48"/>
      <w:bookmarkEnd w:id="49"/>
      <w:bookmarkEnd w:id="50"/>
      <w:bookmarkEnd w:id="51"/>
    </w:p>
    <w:p>
      <w:pPr>
        <w:pStyle w:val="yFootnoteheading"/>
        <w:keepNext/>
      </w:pPr>
      <w:r>
        <w:tab/>
        <w:t>[Heading inserted in Gazette 7 Jul 2017 p. 3730.]</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keepNext/>
              <w:keepLines/>
              <w:widowControl w:val="0"/>
              <w:rPr>
                <w:b/>
              </w:rPr>
            </w:pPr>
            <w:r>
              <w:rPr>
                <w:b/>
              </w:rPr>
              <w:t>Item</w:t>
            </w:r>
          </w:p>
        </w:tc>
        <w:tc>
          <w:tcPr>
            <w:tcW w:w="3512" w:type="dxa"/>
            <w:tcBorders>
              <w:top w:val="single" w:sz="4" w:space="0" w:color="auto"/>
              <w:bottom w:val="single" w:sz="4" w:space="0" w:color="auto"/>
            </w:tcBorders>
          </w:tcPr>
          <w:p>
            <w:pPr>
              <w:pStyle w:val="yTableNAm"/>
              <w:keepNext/>
              <w:keepLines/>
              <w:widowControl w:val="0"/>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41" w:type="dxa"/>
          </w:tcPr>
          <w:p>
            <w:pPr>
              <w:pStyle w:val="yTableNAm"/>
              <w:keepNext/>
              <w:keepLines/>
              <w:widowControl w:val="0"/>
            </w:pPr>
            <w:r>
              <w:t>1.</w:t>
            </w:r>
          </w:p>
        </w:tc>
        <w:tc>
          <w:tcPr>
            <w:tcW w:w="3512" w:type="dxa"/>
          </w:tcPr>
          <w:p>
            <w:pPr>
              <w:pStyle w:val="yTableNAm"/>
              <w:keepNext/>
              <w:keepLines/>
              <w:widowControl w:val="0"/>
              <w:tabs>
                <w:tab w:val="left" w:leader="dot" w:pos="4536"/>
              </w:tabs>
            </w:pPr>
            <w:r>
              <w:t xml:space="preserve">On filing an application for a misconduct restraining order under the </w:t>
            </w:r>
            <w:r>
              <w:rPr>
                <w:i/>
                <w:iCs/>
              </w:rPr>
              <w:t>Restraining Orders Act 1997</w:t>
            </w:r>
            <w:r>
              <w:t xml:space="preserve"> </w:t>
            </w:r>
            <w:r>
              <w:tab/>
            </w:r>
          </w:p>
        </w:tc>
        <w:tc>
          <w:tcPr>
            <w:tcW w:w="1276" w:type="dxa"/>
          </w:tcPr>
          <w:p>
            <w:pPr>
              <w:pStyle w:val="yTableNAm"/>
              <w:keepNext/>
              <w:keepLines/>
              <w:widowControl w:val="0"/>
              <w:jc w:val="center"/>
            </w:pPr>
            <w:r>
              <w:br/>
            </w:r>
            <w:r>
              <w:br/>
              <w:t>119.00</w:t>
            </w:r>
          </w:p>
        </w:tc>
        <w:tc>
          <w:tcPr>
            <w:tcW w:w="1559" w:type="dxa"/>
          </w:tcPr>
          <w:p>
            <w:pPr>
              <w:pStyle w:val="yTableNAm"/>
              <w:keepNext/>
              <w:keepLines/>
              <w:widowControl w:val="0"/>
              <w:jc w:val="center"/>
            </w:pPr>
            <w:r>
              <w:br/>
            </w:r>
            <w:r>
              <w:br/>
              <w:t>35.70</w:t>
            </w:r>
          </w:p>
        </w:tc>
      </w:tr>
      <w:tr>
        <w:trPr>
          <w:cantSplit/>
        </w:trPr>
        <w:tc>
          <w:tcPr>
            <w:tcW w:w="741" w:type="dxa"/>
          </w:tcPr>
          <w:p>
            <w:pPr>
              <w:pStyle w:val="yTableNAm"/>
            </w:pPr>
            <w:r>
              <w:t>2.</w:t>
            </w:r>
          </w:p>
        </w:tc>
        <w:tc>
          <w:tcPr>
            <w:tcW w:w="3512" w:type="dxa"/>
          </w:tcPr>
          <w:p>
            <w:pPr>
              <w:pStyle w:val="yTableNAm"/>
              <w:tabs>
                <w:tab w:val="left" w:leader="dot" w:pos="4536"/>
              </w:tabs>
            </w:pPr>
            <w:r>
              <w:t xml:space="preserve">On the execution of an arrest warrant of any kind — </w:t>
            </w:r>
          </w:p>
        </w:tc>
        <w:tc>
          <w:tcPr>
            <w:tcW w:w="1276" w:type="dxa"/>
          </w:tcPr>
          <w:p>
            <w:pPr>
              <w:pStyle w:val="yTableNAm"/>
              <w:jc w:val="center"/>
            </w:pPr>
          </w:p>
        </w:tc>
        <w:tc>
          <w:tcPr>
            <w:tcW w:w="1559" w:type="dxa"/>
          </w:tcPr>
          <w:p>
            <w:pPr>
              <w:pStyle w:val="yTableNAm"/>
              <w:jc w:val="center"/>
            </w:pP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(a)</w:t>
            </w:r>
            <w:r>
              <w:tab/>
              <w:t xml:space="preserve">for arresting the person </w:t>
            </w:r>
            <w:r>
              <w:tab/>
            </w:r>
          </w:p>
        </w:tc>
        <w:tc>
          <w:tcPr>
            <w:tcW w:w="1276" w:type="dxa"/>
          </w:tcPr>
          <w:p>
            <w:pPr>
              <w:pStyle w:val="yTableNAm"/>
              <w:jc w:val="center"/>
            </w:pPr>
            <w:r>
              <w:t>130.00</w:t>
            </w:r>
          </w:p>
        </w:tc>
        <w:tc>
          <w:tcPr>
            <w:tcW w:w="1559" w:type="dxa"/>
          </w:tcPr>
          <w:p>
            <w:pPr>
              <w:pStyle w:val="yTableNAm"/>
              <w:jc w:val="center"/>
            </w:pPr>
            <w:r>
              <w:t>130.00</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t>130.00</w:t>
            </w:r>
          </w:p>
        </w:tc>
        <w:tc>
          <w:tcPr>
            <w:tcW w:w="1559" w:type="dxa"/>
          </w:tcPr>
          <w:p>
            <w:pPr>
              <w:pStyle w:val="yTableNAm"/>
              <w:jc w:val="center"/>
            </w:pPr>
            <w:r>
              <w:br/>
            </w:r>
            <w:r>
              <w:br/>
            </w:r>
            <w:r>
              <w:br/>
              <w:t>130.00</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t>34.50</w:t>
            </w:r>
          </w:p>
        </w:tc>
        <w:tc>
          <w:tcPr>
            <w:tcW w:w="1559" w:type="dxa"/>
          </w:tcPr>
          <w:p>
            <w:pPr>
              <w:pStyle w:val="yTableNAm"/>
              <w:jc w:val="center"/>
            </w:pPr>
            <w:r>
              <w:br/>
            </w:r>
            <w:r>
              <w:br/>
            </w:r>
            <w:r>
              <w:br/>
            </w:r>
            <w:r>
              <w:br/>
            </w:r>
            <w:r>
              <w:br/>
              <w:t>34.50</w:t>
            </w:r>
          </w:p>
        </w:tc>
      </w:tr>
      <w:tr>
        <w:trPr>
          <w:cantSplit/>
        </w:trPr>
        <w:tc>
          <w:tcPr>
            <w:tcW w:w="7088" w:type="dxa"/>
            <w:gridSpan w:val="4"/>
          </w:tcPr>
          <w:p>
            <w:pPr>
              <w:pStyle w:val="yTableNAm"/>
              <w:rPr>
                <w:szCs w:val="22"/>
              </w:rPr>
            </w:pPr>
            <w:r>
              <w:rPr>
                <w:szCs w:val="22"/>
              </w:rPr>
              <w:t>NOTE 1</w:t>
            </w:r>
          </w:p>
          <w:p>
            <w:pPr>
              <w:pStyle w:val="yTableNAm"/>
              <w:rPr>
                <w:szCs w:val="22"/>
              </w:rPr>
            </w:pPr>
            <w:r>
              <w:rPr>
                <w:szCs w:val="22"/>
              </w:rP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Cs w:val="22"/>
              </w:rPr>
            </w:pPr>
            <w:r>
              <w:rPr>
                <w:szCs w:val="22"/>
              </w:rPr>
              <w:t>NOTE 2</w:t>
            </w:r>
          </w:p>
          <w:p>
            <w:pPr>
              <w:pStyle w:val="yTableNAm"/>
              <w:rPr>
                <w:szCs w:val="22"/>
              </w:rPr>
            </w:pPr>
            <w:r>
              <w:rPr>
                <w:szCs w:val="22"/>
              </w:rPr>
              <w:t xml:space="preserve">The fee under paragraph (a) includes — </w:t>
            </w:r>
          </w:p>
          <w:p>
            <w:pPr>
              <w:pStyle w:val="yTableNAm"/>
              <w:tabs>
                <w:tab w:val="clear" w:pos="567"/>
                <w:tab w:val="left" w:pos="459"/>
              </w:tabs>
              <w:rPr>
                <w:szCs w:val="22"/>
              </w:rPr>
            </w:pPr>
            <w:r>
              <w:rPr>
                <w:szCs w:val="22"/>
              </w:rPr>
              <w:t>(a)</w:t>
            </w:r>
            <w:r>
              <w:rPr>
                <w:szCs w:val="22"/>
              </w:rPr>
              <w:tab/>
              <w:t>receipt of the warrant; and</w:t>
            </w:r>
          </w:p>
          <w:p>
            <w:pPr>
              <w:pStyle w:val="yTableNAm"/>
              <w:tabs>
                <w:tab w:val="clear" w:pos="567"/>
                <w:tab w:val="left" w:pos="459"/>
              </w:tabs>
              <w:rPr>
                <w:szCs w:val="22"/>
              </w:rPr>
            </w:pPr>
            <w:r>
              <w:rPr>
                <w:szCs w:val="22"/>
              </w:rPr>
              <w:t>(b)</w:t>
            </w:r>
            <w:r>
              <w:rPr>
                <w:szCs w:val="22"/>
              </w:rPr>
              <w:tab/>
              <w:t>attendances and inquiries before attempting arrest; and</w:t>
            </w:r>
          </w:p>
          <w:p>
            <w:pPr>
              <w:pStyle w:val="yTableNAm"/>
              <w:tabs>
                <w:tab w:val="clear" w:pos="567"/>
                <w:tab w:val="left" w:pos="459"/>
              </w:tabs>
              <w:rPr>
                <w:szCs w:val="22"/>
              </w:rPr>
            </w:pPr>
            <w:r>
              <w:rPr>
                <w:szCs w:val="22"/>
              </w:rPr>
              <w:t>(c)</w:t>
            </w:r>
            <w:r>
              <w:rPr>
                <w:szCs w:val="22"/>
              </w:rPr>
              <w:tab/>
              <w:t>giving any notice; and</w:t>
            </w:r>
          </w:p>
          <w:p>
            <w:pPr>
              <w:pStyle w:val="yTableNAm"/>
              <w:tabs>
                <w:tab w:val="clear" w:pos="567"/>
                <w:tab w:val="left" w:pos="459"/>
              </w:tabs>
              <w:rPr>
                <w:sz w:val="18"/>
                <w:szCs w:val="18"/>
              </w:rPr>
            </w:pPr>
            <w:r>
              <w:rPr>
                <w:szCs w:val="22"/>
              </w:rPr>
              <w:t>(d)</w:t>
            </w:r>
            <w:r>
              <w:rPr>
                <w:szCs w:val="22"/>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left" w:leader="dot" w:pos="4536"/>
              </w:tabs>
            </w:pPr>
            <w:r>
              <w:t xml:space="preserve">For an application for an extraordinary drivers licence </w:t>
            </w:r>
            <w:r>
              <w:tab/>
            </w:r>
          </w:p>
        </w:tc>
        <w:tc>
          <w:tcPr>
            <w:tcW w:w="1276" w:type="dxa"/>
            <w:tcBorders>
              <w:bottom w:val="single" w:sz="4" w:space="0" w:color="auto"/>
            </w:tcBorders>
          </w:tcPr>
          <w:p>
            <w:pPr>
              <w:pStyle w:val="yTableNAm"/>
              <w:jc w:val="center"/>
            </w:pPr>
            <w:r>
              <w:br/>
              <w:t>196.50</w:t>
            </w:r>
          </w:p>
        </w:tc>
        <w:tc>
          <w:tcPr>
            <w:tcW w:w="1559" w:type="dxa"/>
            <w:tcBorders>
              <w:bottom w:val="single" w:sz="4" w:space="0" w:color="auto"/>
            </w:tcBorders>
          </w:tcPr>
          <w:p>
            <w:pPr>
              <w:pStyle w:val="yTableNAm"/>
              <w:jc w:val="center"/>
            </w:pPr>
            <w:r>
              <w:br/>
              <w:t>61.50</w:t>
            </w:r>
          </w:p>
        </w:tc>
      </w:tr>
    </w:tbl>
    <w:p>
      <w:pPr>
        <w:pStyle w:val="yFootnotesection"/>
      </w:pPr>
      <w:bookmarkStart w:id="52" w:name="_Toc484597449"/>
      <w:bookmarkStart w:id="53" w:name="_Toc484597502"/>
      <w:bookmarkStart w:id="54" w:name="_Toc484598055"/>
      <w:bookmarkStart w:id="55" w:name="_Toc484598108"/>
      <w:bookmarkStart w:id="56" w:name="_Toc484787469"/>
      <w:r>
        <w:tab/>
        <w:t>[Division 2 inserted in Gazette 7 Jul 2017 p. 3730</w:t>
      </w:r>
      <w:r>
        <w:noBreakHyphen/>
        <w:t>1.]</w:t>
      </w:r>
    </w:p>
    <w:p>
      <w:pPr>
        <w:pStyle w:val="yHeading3"/>
        <w:rPr>
          <w:rStyle w:val="CharSDivText"/>
          <w:b w:val="0"/>
        </w:rPr>
      </w:pPr>
      <w:bookmarkStart w:id="57" w:name="_Toc487187183"/>
      <w:bookmarkStart w:id="58" w:name="_Toc487190121"/>
      <w:r>
        <w:rPr>
          <w:rStyle w:val="CharSDivNo"/>
        </w:rPr>
        <w:t>Division 3</w:t>
      </w:r>
      <w:r>
        <w:t> — </w:t>
      </w:r>
      <w:r>
        <w:rPr>
          <w:rStyle w:val="CharSDivText"/>
        </w:rPr>
        <w:t>Criminal jurisdiction</w:t>
      </w:r>
      <w:bookmarkEnd w:id="52"/>
      <w:bookmarkEnd w:id="53"/>
      <w:bookmarkEnd w:id="54"/>
      <w:bookmarkEnd w:id="55"/>
      <w:bookmarkEnd w:id="56"/>
      <w:bookmarkEnd w:id="57"/>
      <w:bookmarkEnd w:id="58"/>
    </w:p>
    <w:p>
      <w:pPr>
        <w:pStyle w:val="yFootnoteheading"/>
      </w:pPr>
      <w:r>
        <w:tab/>
        <w:t>[Heading inserted in Gazette 7 Jul 2017 p. 3732.]</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keepNext/>
              <w:jc w:val="center"/>
              <w:rPr>
                <w:b/>
              </w:rPr>
            </w:pPr>
            <w:r>
              <w:rPr>
                <w:b/>
              </w:rPr>
              <w:t>Item</w:t>
            </w:r>
          </w:p>
        </w:tc>
        <w:tc>
          <w:tcPr>
            <w:tcW w:w="3455" w:type="dxa"/>
            <w:tcBorders>
              <w:top w:val="single" w:sz="4" w:space="0" w:color="auto"/>
              <w:bottom w:val="single" w:sz="4" w:space="0" w:color="auto"/>
            </w:tcBorders>
          </w:tcPr>
          <w:p>
            <w:pPr>
              <w:pStyle w:val="yTableNAm"/>
              <w:keepNext/>
              <w:jc w:val="center"/>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98" w:type="dxa"/>
          </w:tcPr>
          <w:p>
            <w:pPr>
              <w:pStyle w:val="yTableNAm"/>
              <w:keepNext/>
            </w:pPr>
            <w:r>
              <w:t>1.</w:t>
            </w:r>
          </w:p>
        </w:tc>
        <w:tc>
          <w:tcPr>
            <w:tcW w:w="3455" w:type="dxa"/>
          </w:tcPr>
          <w:p>
            <w:pPr>
              <w:pStyle w:val="yTableNAm"/>
              <w:keepNext/>
              <w:tabs>
                <w:tab w:val="right" w:leader="dot" w:pos="4536"/>
              </w:tabs>
            </w:pPr>
            <w:r>
              <w:t xml:space="preserve">On filing — </w:t>
            </w:r>
          </w:p>
        </w:tc>
        <w:tc>
          <w:tcPr>
            <w:tcW w:w="1276" w:type="dxa"/>
          </w:tcPr>
          <w:p>
            <w:pPr>
              <w:pStyle w:val="yTableNAm"/>
              <w:keepNext/>
              <w:jc w:val="center"/>
            </w:pPr>
          </w:p>
        </w:tc>
        <w:tc>
          <w:tcPr>
            <w:tcW w:w="1559" w:type="dxa"/>
          </w:tcPr>
          <w:p>
            <w:pPr>
              <w:pStyle w:val="yTableNAm"/>
              <w:keepNext/>
              <w:jc w:val="center"/>
            </w:pP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(a)</w:t>
            </w:r>
            <w:r>
              <w:tab/>
              <w:t xml:space="preserve">a prosecution notice </w:t>
            </w:r>
            <w:r>
              <w:tab/>
            </w:r>
          </w:p>
        </w:tc>
        <w:tc>
          <w:tcPr>
            <w:tcW w:w="1276" w:type="dxa"/>
          </w:tcPr>
          <w:p>
            <w:pPr>
              <w:pStyle w:val="yTableNAm"/>
              <w:jc w:val="center"/>
            </w:pPr>
            <w:r>
              <w:t>100.00</w:t>
            </w:r>
          </w:p>
        </w:tc>
        <w:tc>
          <w:tcPr>
            <w:tcW w:w="1559" w:type="dxa"/>
          </w:tcPr>
          <w:p>
            <w:pPr>
              <w:pStyle w:val="yTableNAm"/>
              <w:jc w:val="center"/>
            </w:pPr>
            <w:r>
              <w:t>29.90</w:t>
            </w: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(b)</w:t>
            </w:r>
            <w:r>
              <w:tab/>
              <w:t xml:space="preserve">an application under the </w:t>
            </w:r>
            <w:r>
              <w:rPr>
                <w:i/>
              </w:rPr>
              <w:t>Criminal Procedure Act 2004</w:t>
            </w:r>
            <w:r>
              <w:t xml:space="preserve"> section 71 </w:t>
            </w:r>
            <w:r>
              <w:rPr>
                <w:szCs w:val="22"/>
              </w:rPr>
              <w:tab/>
            </w:r>
          </w:p>
        </w:tc>
        <w:tc>
          <w:tcPr>
            <w:tcW w:w="1276" w:type="dxa"/>
          </w:tcPr>
          <w:p>
            <w:pPr>
              <w:pStyle w:val="yTableNAm"/>
              <w:jc w:val="center"/>
            </w:pPr>
            <w:r>
              <w:br/>
            </w:r>
            <w:r>
              <w:br/>
              <w:t>100.00</w:t>
            </w:r>
          </w:p>
        </w:tc>
        <w:tc>
          <w:tcPr>
            <w:tcW w:w="1559" w:type="dxa"/>
          </w:tcPr>
          <w:p>
            <w:pPr>
              <w:pStyle w:val="yTableNAm"/>
              <w:jc w:val="center"/>
            </w:pPr>
            <w:r>
              <w:br/>
            </w:r>
            <w:r>
              <w:br/>
              <w:t>29.90</w:t>
            </w:r>
          </w:p>
        </w:tc>
      </w:tr>
      <w:tr>
        <w:trPr>
          <w:cantSplit/>
        </w:trPr>
        <w:tc>
          <w:tcPr>
            <w:tcW w:w="798" w:type="dxa"/>
          </w:tcPr>
          <w:p>
            <w:pPr>
              <w:pStyle w:val="yTableNAm"/>
            </w:pPr>
            <w:r>
              <w:t>2.</w:t>
            </w:r>
          </w:p>
        </w:tc>
        <w:tc>
          <w:tcPr>
            <w:tcW w:w="3455" w:type="dxa"/>
          </w:tcPr>
          <w:p>
            <w:pPr>
              <w:pStyle w:val="yTableNAm"/>
              <w:tabs>
                <w:tab w:val="right" w:leader="dot" w:pos="4536"/>
              </w:tabs>
            </w:pPr>
            <w:r>
              <w:t xml:space="preserve">For the issue of a summons or court hearing notice to an accused </w:t>
            </w:r>
            <w:r>
              <w:tab/>
            </w:r>
          </w:p>
        </w:tc>
        <w:tc>
          <w:tcPr>
            <w:tcW w:w="1276" w:type="dxa"/>
          </w:tcPr>
          <w:p>
            <w:pPr>
              <w:pStyle w:val="yTableNAm"/>
              <w:jc w:val="center"/>
            </w:pPr>
            <w:r>
              <w:br/>
              <w:t>19.15</w:t>
            </w:r>
          </w:p>
        </w:tc>
        <w:tc>
          <w:tcPr>
            <w:tcW w:w="1559" w:type="dxa"/>
          </w:tcPr>
          <w:p>
            <w:pPr>
              <w:pStyle w:val="yTableNAm"/>
              <w:jc w:val="center"/>
            </w:pPr>
            <w:r>
              <w:br/>
              <w:t>5.70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right" w:leader="dot" w:pos="4536"/>
              </w:tabs>
            </w:pPr>
            <w:r>
              <w:t xml:space="preserve">For a warrant of any kind — </w:t>
            </w:r>
          </w:p>
          <w:p>
            <w:pPr>
              <w:pStyle w:val="yTableNAm"/>
              <w:tabs>
                <w:tab w:val="clear" w:pos="567"/>
                <w:tab w:val="left" w:pos="459"/>
                <w:tab w:val="right" w:leader="dot" w:pos="4536"/>
              </w:tabs>
              <w:ind w:left="459" w:hanging="459"/>
            </w:pPr>
            <w:r>
              <w:t>(a)</w:t>
            </w:r>
            <w:r>
              <w:tab/>
              <w:t xml:space="preserve">issue of it </w:t>
            </w:r>
            <w:r>
              <w:tab/>
            </w:r>
          </w:p>
          <w:p>
            <w:pPr>
              <w:pStyle w:val="yTableNAm"/>
              <w:tabs>
                <w:tab w:val="clear" w:pos="567"/>
                <w:tab w:val="left" w:pos="459"/>
                <w:tab w:val="right" w:leader="dot" w:pos="4536"/>
              </w:tabs>
              <w:ind w:left="459" w:hanging="45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pPr>
            <w:r>
              <w:t>100.00</w:t>
            </w:r>
          </w:p>
          <w:p>
            <w:pPr>
              <w:pStyle w:val="yTableNAm"/>
              <w:jc w:val="center"/>
            </w:pPr>
            <w:r>
              <w:t>130.00</w:t>
            </w:r>
          </w:p>
        </w:tc>
        <w:tc>
          <w:tcPr>
            <w:tcW w:w="1559" w:type="dxa"/>
            <w:tcBorders>
              <w:bottom w:val="single" w:sz="4" w:space="0" w:color="auto"/>
            </w:tcBorders>
          </w:tcPr>
          <w:p>
            <w:pPr>
              <w:pStyle w:val="yTableNAm"/>
              <w:jc w:val="center"/>
            </w:pPr>
          </w:p>
          <w:p>
            <w:pPr>
              <w:pStyle w:val="yTableNAm"/>
              <w:jc w:val="center"/>
            </w:pPr>
            <w:r>
              <w:t>29.90</w:t>
            </w:r>
          </w:p>
          <w:p>
            <w:pPr>
              <w:pStyle w:val="yTableNAm"/>
              <w:jc w:val="center"/>
            </w:pPr>
            <w:r>
              <w:t>130.00</w:t>
            </w:r>
          </w:p>
        </w:tc>
      </w:tr>
    </w:tbl>
    <w:p>
      <w:pPr>
        <w:pStyle w:val="yFootnotesection"/>
        <w:rPr>
          <w:rStyle w:val="DraftersNotes"/>
          <w:b w:val="0"/>
          <w:sz w:val="24"/>
        </w:rPr>
      </w:pPr>
      <w:r>
        <w:tab/>
        <w:t>[Division 3 inserted in Gazette 7 Jul 2017 p. 3732.]</w:t>
      </w:r>
    </w:p>
    <w:bookmarkEnd w:id="32"/>
    <w:bookmarkEnd w:id="33"/>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0" w:name="_Toc473808676"/>
      <w:bookmarkStart w:id="61" w:name="_Toc486427391"/>
      <w:bookmarkStart w:id="62" w:name="_Toc487187184"/>
      <w:bookmarkStart w:id="63" w:name="_Toc487190122"/>
      <w:r>
        <w:t>Notes</w:t>
      </w:r>
      <w:bookmarkEnd w:id="34"/>
      <w:bookmarkEnd w:id="35"/>
      <w:bookmarkEnd w:id="36"/>
      <w:bookmarkEnd w:id="37"/>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4" w:name="_Toc487190123"/>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2</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6" w:name="_Toc455563684"/>
      <w:bookmarkStart w:id="67" w:name="_Toc473808678"/>
      <w:bookmarkStart w:id="68" w:name="_Toc486427393"/>
      <w:bookmarkStart w:id="69" w:name="_Toc487187186"/>
      <w:bookmarkStart w:id="70" w:name="_Toc487190124"/>
      <w:r>
        <w:rPr>
          <w:sz w:val="28"/>
        </w:rPr>
        <w:t>Defined terms</w:t>
      </w:r>
      <w:bookmarkEnd w:id="66"/>
      <w:bookmarkEnd w:id="67"/>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1344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3775</Words>
  <Characters>17521</Characters>
  <Application>Microsoft Office Word</Application>
  <DocSecurity>0</DocSecurity>
  <Lines>922</Lines>
  <Paragraphs>483</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2005 - 02-i0-00</dc:title>
  <dc:subject/>
  <dc:creator/>
  <cp:keywords/>
  <dc:description/>
  <cp:lastModifiedBy>svcMRProcess</cp:lastModifiedBy>
  <cp:revision>4</cp:revision>
  <cp:lastPrinted>2012-06-26T00:02:00Z</cp:lastPrinted>
  <dcterms:created xsi:type="dcterms:W3CDTF">2018-09-10T06:42:00Z</dcterms:created>
  <dcterms:modified xsi:type="dcterms:W3CDTF">2018-09-10T06:42:00Z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AsAtDate">
    <vt:lpwstr>08 Jul 2017</vt:lpwstr>
  </property>
  <property fmtid="{D5CDD505-2E9C-101B-9397-08002B2CF9AE}" pid="8" name="Suffix">
    <vt:lpwstr>02-i0-00</vt:lpwstr>
  </property>
  <property fmtid="{D5CDD505-2E9C-101B-9397-08002B2CF9AE}" pid="9" name="CommencementDate">
    <vt:lpwstr>20170708</vt:lpwstr>
  </property>
</Properties>
</file>