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Coroners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Coroners Regulations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Coroners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_Toc487189986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_Toc487189987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_Toc487189988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Pathologist</w:t>
      </w:r>
      <w:r>
        <w:tab/>
      </w:r>
      <w:r>
        <w:fldChar w:fldCharType="begin"/>
      </w:r>
      <w:r>
        <w:instrText xml:space="preserve"> PAGEREF _Toc487189989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State Coroner — form of oath of office</w:t>
      </w:r>
      <w:r>
        <w:tab/>
      </w:r>
      <w:r>
        <w:fldChar w:fldCharType="begin"/>
      </w:r>
      <w:r>
        <w:instrText xml:space="preserve"> PAGEREF _Toc487189990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w:t>
      </w:r>
      <w:r>
        <w:t>i</w:t>
      </w:r>
      <w:r>
        <w:rPr>
          <w:snapToGrid w:val="0"/>
        </w:rPr>
        <w:t>on on delegation</w:t>
      </w:r>
      <w:r>
        <w:tab/>
      </w:r>
      <w:r>
        <w:fldChar w:fldCharType="begin"/>
      </w:r>
      <w:r>
        <w:instrText xml:space="preserve"> PAGEREF _Toc487189991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 of record of investigation into a death</w:t>
      </w:r>
      <w:r>
        <w:tab/>
      </w:r>
      <w:r>
        <w:fldChar w:fldCharType="begin"/>
      </w:r>
      <w:r>
        <w:instrText xml:space="preserve"> PAGEREF _Toc487189992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 of certificate of disposal of body</w:t>
      </w:r>
      <w:r>
        <w:tab/>
      </w:r>
      <w:r>
        <w:fldChar w:fldCharType="begin"/>
      </w:r>
      <w:r>
        <w:instrText xml:space="preserve"> PAGEREF _Toc487189993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Request that post mortem be performed</w:t>
      </w:r>
      <w:r>
        <w:tab/>
      </w:r>
      <w:r>
        <w:fldChar w:fldCharType="begin"/>
      </w:r>
      <w:r>
        <w:instrText xml:space="preserve"> PAGEREF _Toc487189994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Direction to perform post mortem</w:t>
      </w:r>
      <w:r>
        <w:tab/>
      </w:r>
      <w:r>
        <w:fldChar w:fldCharType="begin"/>
      </w:r>
      <w:r>
        <w:instrText xml:space="preserve"> PAGEREF _Toc487189995 \h </w:instrText>
      </w:r>
      <w:r>
        <w:fldChar w:fldCharType="separate"/>
      </w:r>
      <w:r>
        <w:t>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order for exhumation</w:t>
      </w:r>
      <w:r>
        <w:tab/>
      </w:r>
      <w:r>
        <w:fldChar w:fldCharType="begin"/>
      </w:r>
      <w:r>
        <w:instrText xml:space="preserve"> PAGEREF _Toc487189996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Request not to exhume</w:t>
      </w:r>
      <w:r>
        <w:tab/>
      </w:r>
      <w:r>
        <w:fldChar w:fldCharType="begin"/>
      </w:r>
      <w:r>
        <w:instrText xml:space="preserve"> PAGEREF _Toc487189997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Form of notice of restriction of access to area</w:t>
      </w:r>
      <w:r>
        <w:tab/>
      </w:r>
      <w:r>
        <w:fldChar w:fldCharType="begin"/>
      </w:r>
      <w:r>
        <w:instrText xml:space="preserve"> PAGEREF _Toc487189998 \h </w:instrText>
      </w:r>
      <w:r>
        <w:fldChar w:fldCharType="separate"/>
      </w:r>
      <w:r>
        <w:t>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Form of agreement of coroner to restricted access to area</w:t>
      </w:r>
      <w:r>
        <w:tab/>
      </w:r>
      <w:r>
        <w:fldChar w:fldCharType="begin"/>
      </w:r>
      <w:r>
        <w:instrText xml:space="preserve"> PAGEREF _Toc487189999 \h </w:instrText>
      </w:r>
      <w:r>
        <w:fldChar w:fldCharType="separate"/>
      </w:r>
      <w:r>
        <w:t>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Form of authorisation, form of undertaking and requests for release of things</w:t>
      </w:r>
      <w:r>
        <w:tab/>
      </w:r>
      <w:r>
        <w:fldChar w:fldCharType="begin"/>
      </w:r>
      <w:r>
        <w:instrText xml:space="preserve"> PAGEREF _Toc487190000 \h </w:instrText>
      </w:r>
      <w:r>
        <w:fldChar w:fldCharType="separate"/>
      </w:r>
      <w:r>
        <w:t>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Request for an inquest into a death</w:t>
      </w:r>
      <w:r>
        <w:tab/>
      </w:r>
      <w:r>
        <w:fldChar w:fldCharType="begin"/>
      </w:r>
      <w:r>
        <w:instrText xml:space="preserve"> PAGEREF _Toc487190001 \h </w:instrText>
      </w:r>
      <w:r>
        <w:fldChar w:fldCharType="separate"/>
      </w:r>
      <w:r>
        <w:t>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summons and warrant, and service of summons</w:t>
      </w:r>
      <w:r>
        <w:tab/>
      </w:r>
      <w:r>
        <w:fldChar w:fldCharType="begin"/>
      </w:r>
      <w:r>
        <w:instrText xml:space="preserve"> PAGEREF _Toc487190002 \h </w:instrText>
      </w:r>
      <w:r>
        <w:fldChar w:fldCharType="separate"/>
      </w:r>
      <w:r>
        <w:t>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Interested persons for the purposes of section 44(3)</w:t>
      </w:r>
      <w:r>
        <w:tab/>
      </w:r>
      <w:r>
        <w:fldChar w:fldCharType="begin"/>
      </w:r>
      <w:r>
        <w:instrText xml:space="preserve"> PAGEREF _Toc487190003 \h </w:instrText>
      </w:r>
      <w:r>
        <w:fldChar w:fldCharType="separate"/>
      </w:r>
      <w:r>
        <w:t>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order of exclusion from an inquest</w:t>
      </w:r>
      <w:r>
        <w:tab/>
      </w:r>
      <w:r>
        <w:fldChar w:fldCharType="begin"/>
      </w:r>
      <w:r>
        <w:instrText xml:space="preserve"> PAGEREF _Toc487190004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records</w:t>
      </w:r>
      <w:r>
        <w:tab/>
      </w:r>
      <w:r>
        <w:fldChar w:fldCharType="begin"/>
      </w:r>
      <w:r>
        <w:instrText xml:space="preserve"> PAGEREF _Toc487190005 \h </w:instrText>
      </w:r>
      <w:r>
        <w:fldChar w:fldCharType="separate"/>
      </w:r>
      <w:r>
        <w:t>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Form of oath or affirmation for witness</w:t>
      </w:r>
      <w:r>
        <w:tab/>
      </w:r>
      <w:r>
        <w:fldChar w:fldCharType="begin"/>
      </w:r>
      <w:r>
        <w:instrText xml:space="preserve"> PAGEREF _Toc487190006 \h </w:instrText>
      </w:r>
      <w:r>
        <w:fldChar w:fldCharType="separate"/>
      </w:r>
      <w:r>
        <w:t>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Fees for post mortem services</w:t>
      </w:r>
      <w:r>
        <w:tab/>
      </w:r>
      <w:r>
        <w:fldChar w:fldCharType="begin"/>
      </w:r>
      <w:r>
        <w:instrText xml:space="preserve"> PAGEREF _Toc487190007 \h </w:instrText>
      </w:r>
      <w:r>
        <w:fldChar w:fldCharType="separate"/>
      </w:r>
      <w:r>
        <w:t>5</w:t>
      </w:r>
      <w:r>
        <w:fldChar w:fldCharType="end"/>
      </w:r>
    </w:p>
    <w:p>
      <w:pPr>
        <w:pStyle w:val="TOC8"/>
        <w:rPr>
          <w:rFonts w:asciiTheme="minorHAnsi" w:eastAsiaTheme="minorEastAsia" w:hAnsiTheme="minorHAnsi" w:cstheme="minorBidi"/>
          <w:szCs w:val="22"/>
        </w:rPr>
      </w:pPr>
      <w:r>
        <w:t>22.</w:t>
      </w:r>
      <w:r>
        <w:tab/>
        <w:t>Other fees</w:t>
      </w:r>
      <w:r>
        <w:tab/>
      </w:r>
      <w:r>
        <w:fldChar w:fldCharType="begin"/>
      </w:r>
      <w:r>
        <w:instrText xml:space="preserve"> PAGEREF _Toc487190008 \h </w:instrText>
      </w:r>
      <w:r>
        <w:fldChar w:fldCharType="separate"/>
      </w:r>
      <w:r>
        <w:t>6</w:t>
      </w:r>
      <w:r>
        <w:fldChar w:fldCharType="end"/>
      </w:r>
    </w:p>
    <w:p>
      <w:pPr>
        <w:pStyle w:val="TOC8"/>
        <w:rPr>
          <w:rFonts w:asciiTheme="minorHAnsi" w:eastAsiaTheme="minorEastAsia" w:hAnsiTheme="minorHAnsi" w:cstheme="minorBidi"/>
          <w:szCs w:val="22"/>
        </w:rPr>
      </w:pPr>
      <w:r>
        <w:t>23A.</w:t>
      </w:r>
      <w:r>
        <w:tab/>
        <w:t>Fee exemptions</w:t>
      </w:r>
      <w:r>
        <w:tab/>
      </w:r>
      <w:r>
        <w:fldChar w:fldCharType="begin"/>
      </w:r>
      <w:r>
        <w:instrText xml:space="preserve"> PAGEREF _Toc487190009 \h </w:instrText>
      </w:r>
      <w:r>
        <w:fldChar w:fldCharType="separate"/>
      </w:r>
      <w:r>
        <w:t>6</w:t>
      </w:r>
      <w:r>
        <w:fldChar w:fldCharType="end"/>
      </w:r>
    </w:p>
    <w:p>
      <w:pPr>
        <w:pStyle w:val="TOC8"/>
        <w:rPr>
          <w:rFonts w:asciiTheme="minorHAnsi" w:eastAsiaTheme="minorEastAsia" w:hAnsiTheme="minorHAnsi" w:cstheme="minorBidi"/>
          <w:szCs w:val="22"/>
        </w:rPr>
      </w:pPr>
      <w:r>
        <w:t>23B.</w:t>
      </w:r>
      <w:r>
        <w:tab/>
        <w:t>Who is an eligible individual</w:t>
      </w:r>
      <w:r>
        <w:tab/>
      </w:r>
      <w:r>
        <w:fldChar w:fldCharType="begin"/>
      </w:r>
      <w:r>
        <w:instrText xml:space="preserve"> PAGEREF _Toc487190010 \h </w:instrText>
      </w:r>
      <w:r>
        <w:fldChar w:fldCharType="separate"/>
      </w:r>
      <w:r>
        <w:t>6</w:t>
      </w:r>
      <w:r>
        <w:fldChar w:fldCharType="end"/>
      </w:r>
    </w:p>
    <w:p>
      <w:pPr>
        <w:pStyle w:val="TOC8"/>
        <w:rPr>
          <w:rFonts w:asciiTheme="minorHAnsi" w:eastAsiaTheme="minorEastAsia" w:hAnsiTheme="minorHAnsi" w:cstheme="minorBidi"/>
          <w:szCs w:val="22"/>
        </w:rPr>
      </w:pPr>
      <w:r>
        <w:t>23C.</w:t>
      </w:r>
      <w:r>
        <w:tab/>
        <w:t>Application to be recognised as eligible individual</w:t>
      </w:r>
      <w:r>
        <w:tab/>
      </w:r>
      <w:r>
        <w:fldChar w:fldCharType="begin"/>
      </w:r>
      <w:r>
        <w:instrText xml:space="preserve"> PAGEREF _Toc487190011 \h </w:instrText>
      </w:r>
      <w:r>
        <w:fldChar w:fldCharType="separate"/>
      </w:r>
      <w:r>
        <w:t>7</w:t>
      </w:r>
      <w:r>
        <w:fldChar w:fldCharType="end"/>
      </w:r>
    </w:p>
    <w:p>
      <w:pPr>
        <w:pStyle w:val="TOC8"/>
        <w:rPr>
          <w:rFonts w:asciiTheme="minorHAnsi" w:eastAsiaTheme="minorEastAsia" w:hAnsiTheme="minorHAnsi" w:cstheme="minorBidi"/>
          <w:szCs w:val="22"/>
        </w:rPr>
      </w:pPr>
      <w:r>
        <w:t>23D.</w:t>
      </w:r>
      <w:r>
        <w:tab/>
        <w:t>Recognition as eligible individual</w:t>
      </w:r>
      <w:r>
        <w:tab/>
      </w:r>
      <w:r>
        <w:fldChar w:fldCharType="begin"/>
      </w:r>
      <w:r>
        <w:instrText xml:space="preserve"> PAGEREF _Toc487190012 \h </w:instrText>
      </w:r>
      <w:r>
        <w:fldChar w:fldCharType="separate"/>
      </w:r>
      <w:r>
        <w:t>8</w:t>
      </w:r>
      <w:r>
        <w:fldChar w:fldCharType="end"/>
      </w:r>
    </w:p>
    <w:p>
      <w:pPr>
        <w:pStyle w:val="TOC8"/>
        <w:rPr>
          <w:rFonts w:asciiTheme="minorHAnsi" w:eastAsiaTheme="minorEastAsia" w:hAnsiTheme="minorHAnsi" w:cstheme="minorBidi"/>
          <w:szCs w:val="22"/>
        </w:rPr>
      </w:pPr>
      <w:r>
        <w:t>23E.</w:t>
      </w:r>
      <w:r>
        <w:tab/>
        <w:t>False or misleading statements</w:t>
      </w:r>
      <w:r>
        <w:tab/>
      </w:r>
      <w:r>
        <w:fldChar w:fldCharType="begin"/>
      </w:r>
      <w:r>
        <w:instrText xml:space="preserve"> PAGEREF _Toc487190013 \h </w:instrText>
      </w:r>
      <w:r>
        <w:fldChar w:fldCharType="separate"/>
      </w:r>
      <w:r>
        <w:t>8</w:t>
      </w:r>
      <w:r>
        <w:fldChar w:fldCharType="end"/>
      </w:r>
    </w:p>
    <w:p>
      <w:pPr>
        <w:pStyle w:val="TOC8"/>
        <w:rPr>
          <w:rFonts w:asciiTheme="minorHAnsi" w:eastAsiaTheme="minorEastAsia" w:hAnsiTheme="minorHAnsi" w:cstheme="minorBidi"/>
          <w:szCs w:val="22"/>
        </w:rPr>
      </w:pPr>
      <w:r>
        <w:t>23.</w:t>
      </w:r>
      <w:r>
        <w:tab/>
        <w:t>Refunds</w:t>
      </w:r>
      <w:r>
        <w:tab/>
      </w:r>
      <w:r>
        <w:fldChar w:fldCharType="begin"/>
      </w:r>
      <w:r>
        <w:instrText xml:space="preserve"> PAGEREF _Toc487190014 \h </w:instrText>
      </w:r>
      <w:r>
        <w:fldChar w:fldCharType="separate"/>
      </w:r>
      <w:r>
        <w:t>9</w:t>
      </w:r>
      <w:r>
        <w:fldChar w:fldCharType="end"/>
      </w:r>
    </w:p>
    <w:p>
      <w:pPr>
        <w:pStyle w:val="TOC8"/>
        <w:rPr>
          <w:rFonts w:asciiTheme="minorHAnsi" w:eastAsiaTheme="minorEastAsia" w:hAnsiTheme="minorHAnsi" w:cstheme="minorBidi"/>
          <w:szCs w:val="22"/>
        </w:rPr>
      </w:pPr>
      <w:r>
        <w:t>23A.</w:t>
      </w:r>
      <w:r>
        <w:tab/>
        <w:t>Waiving fee for copy of document or transcript</w:t>
      </w:r>
      <w:r>
        <w:tab/>
      </w:r>
      <w:r>
        <w:fldChar w:fldCharType="begin"/>
      </w:r>
      <w:r>
        <w:instrText xml:space="preserve"> PAGEREF _Toc487190015 \h </w:instrText>
      </w:r>
      <w:r>
        <w:fldChar w:fldCharType="separate"/>
      </w:r>
      <w:r>
        <w:t>9</w:t>
      </w:r>
      <w:r>
        <w:fldChar w:fldCharType="end"/>
      </w:r>
    </w:p>
    <w:p>
      <w:pPr>
        <w:pStyle w:val="TOC8"/>
        <w:rPr>
          <w:rFonts w:asciiTheme="minorHAnsi" w:eastAsiaTheme="minorEastAsia" w:hAnsiTheme="minorHAnsi" w:cstheme="minorBidi"/>
          <w:szCs w:val="22"/>
        </w:rPr>
      </w:pPr>
      <w:r>
        <w:t>24.</w:t>
      </w:r>
      <w:r>
        <w:tab/>
        <w:t>Resolution of disputes as to fees</w:t>
      </w:r>
      <w:r>
        <w:tab/>
      </w:r>
      <w:r>
        <w:fldChar w:fldCharType="begin"/>
      </w:r>
      <w:r>
        <w:instrText xml:space="preserve"> PAGEREF _Toc487190016 \h </w:instrText>
      </w:r>
      <w:r>
        <w:fldChar w:fldCharType="separate"/>
      </w:r>
      <w:r>
        <w:t>10</w:t>
      </w:r>
      <w:r>
        <w:fldChar w:fldCharType="end"/>
      </w:r>
    </w:p>
    <w:p>
      <w:pPr>
        <w:pStyle w:val="TOC8"/>
        <w:rPr>
          <w:rFonts w:asciiTheme="minorHAnsi" w:eastAsiaTheme="minorEastAsia" w:hAnsiTheme="minorHAnsi" w:cstheme="minorBidi"/>
          <w:szCs w:val="22"/>
        </w:rPr>
      </w:pPr>
      <w:r>
        <w:t>25.</w:t>
      </w:r>
      <w:r>
        <w:tab/>
        <w:t>Recovery of unpaid fees</w:t>
      </w:r>
      <w:r>
        <w:tab/>
      </w:r>
      <w:r>
        <w:fldChar w:fldCharType="begin"/>
      </w:r>
      <w:r>
        <w:instrText xml:space="preserve"> PAGEREF _Toc487190017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w:t>
      </w:r>
      <w:r>
        <w:rPr>
          <w:bCs/>
        </w:rPr>
        <w:t>—</w:t>
      </w:r>
      <w:r>
        <w:t> Fees for post mortem services</w:t>
      </w:r>
    </w:p>
    <w:p>
      <w:pPr>
        <w:pStyle w:val="TOC2"/>
        <w:tabs>
          <w:tab w:val="right" w:leader="dot" w:pos="7077"/>
        </w:tabs>
        <w:rPr>
          <w:rFonts w:asciiTheme="minorHAnsi" w:eastAsiaTheme="minorEastAsia" w:hAnsiTheme="minorHAnsi" w:cstheme="minorBidi"/>
          <w:b w:val="0"/>
          <w:sz w:val="22"/>
          <w:szCs w:val="22"/>
        </w:rPr>
      </w:pPr>
      <w:r>
        <w:t>Schedule 3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_Toc487190022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3" w:name="_Toc48718998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4" w:name="_Toc48718998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5" w:name="_Toc487189988"/>
      <w:r>
        <w:rPr>
          <w:rStyle w:val="CharSectno"/>
        </w:rPr>
        <w:t>3A</w:t>
      </w:r>
      <w:r>
        <w:t>.</w:t>
      </w:r>
      <w:r>
        <w:tab/>
        <w:t>Terms used</w:t>
      </w:r>
      <w:bookmarkEnd w:id="5"/>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in Gazette 4 Sep 2009 p. 3491; amended in Gazette 14 Jun 2016 p. 1872.]</w:t>
      </w:r>
    </w:p>
    <w:p>
      <w:pPr>
        <w:pStyle w:val="Heading5"/>
        <w:rPr>
          <w:snapToGrid w:val="0"/>
        </w:rPr>
      </w:pPr>
      <w:bookmarkStart w:id="6" w:name="_Toc487189989"/>
      <w:r>
        <w:rPr>
          <w:rStyle w:val="CharSectno"/>
        </w:rPr>
        <w:t>3</w:t>
      </w:r>
      <w:r>
        <w:rPr>
          <w:snapToGrid w:val="0"/>
        </w:rPr>
        <w:t>.</w:t>
      </w:r>
      <w:r>
        <w:rPr>
          <w:snapToGrid w:val="0"/>
        </w:rPr>
        <w:tab/>
        <w:t>Pathologist</w:t>
      </w:r>
      <w:bookmarkEnd w:id="6"/>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7" w:name="_Toc487189990"/>
      <w:r>
        <w:rPr>
          <w:rStyle w:val="CharSectno"/>
        </w:rPr>
        <w:t>4</w:t>
      </w:r>
      <w:r>
        <w:rPr>
          <w:snapToGrid w:val="0"/>
        </w:rPr>
        <w:t>.</w:t>
      </w:r>
      <w:r>
        <w:rPr>
          <w:snapToGrid w:val="0"/>
        </w:rPr>
        <w:tab/>
        <w:t>State Coroner — form of oath of office</w:t>
      </w:r>
      <w:bookmarkEnd w:id="7"/>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8" w:name="_Toc487189991"/>
      <w:r>
        <w:rPr>
          <w:rStyle w:val="CharSectno"/>
        </w:rPr>
        <w:t>5</w:t>
      </w:r>
      <w:r>
        <w:rPr>
          <w:snapToGrid w:val="0"/>
        </w:rPr>
        <w:t>.</w:t>
      </w:r>
      <w:r>
        <w:rPr>
          <w:snapToGrid w:val="0"/>
        </w:rPr>
        <w:tab/>
        <w:t>Restrict</w:t>
      </w:r>
      <w:r>
        <w:t>i</w:t>
      </w:r>
      <w:r>
        <w:rPr>
          <w:snapToGrid w:val="0"/>
        </w:rPr>
        <w:t>on on delegation</w:t>
      </w:r>
      <w:bookmarkEnd w:id="8"/>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9" w:name="_Toc487189992"/>
      <w:r>
        <w:rPr>
          <w:rStyle w:val="CharSectno"/>
        </w:rPr>
        <w:t>6</w:t>
      </w:r>
      <w:r>
        <w:rPr>
          <w:snapToGrid w:val="0"/>
        </w:rPr>
        <w:t>.</w:t>
      </w:r>
      <w:r>
        <w:rPr>
          <w:snapToGrid w:val="0"/>
        </w:rPr>
        <w:tab/>
        <w:t>Form of record of investigation into a death</w:t>
      </w:r>
      <w:bookmarkEnd w:id="9"/>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0" w:name="_Toc487189993"/>
      <w:r>
        <w:rPr>
          <w:rStyle w:val="CharSectno"/>
        </w:rPr>
        <w:t>7</w:t>
      </w:r>
      <w:r>
        <w:rPr>
          <w:snapToGrid w:val="0"/>
        </w:rPr>
        <w:t>.</w:t>
      </w:r>
      <w:r>
        <w:rPr>
          <w:snapToGrid w:val="0"/>
        </w:rPr>
        <w:tab/>
        <w:t>Form of certificate of disposal of body</w:t>
      </w:r>
      <w:bookmarkEnd w:id="10"/>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1" w:name="_Toc487189994"/>
      <w:r>
        <w:rPr>
          <w:rStyle w:val="CharSectno"/>
        </w:rPr>
        <w:t>8</w:t>
      </w:r>
      <w:r>
        <w:rPr>
          <w:snapToGrid w:val="0"/>
        </w:rPr>
        <w:t>.</w:t>
      </w:r>
      <w:r>
        <w:rPr>
          <w:snapToGrid w:val="0"/>
        </w:rPr>
        <w:tab/>
        <w:t>Request that post mortem be performed</w:t>
      </w:r>
      <w:bookmarkEnd w:id="11"/>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12" w:name="_Toc487189995"/>
      <w:r>
        <w:rPr>
          <w:rStyle w:val="CharSectno"/>
        </w:rPr>
        <w:t>9</w:t>
      </w:r>
      <w:r>
        <w:rPr>
          <w:snapToGrid w:val="0"/>
        </w:rPr>
        <w:t>.</w:t>
      </w:r>
      <w:r>
        <w:rPr>
          <w:snapToGrid w:val="0"/>
        </w:rPr>
        <w:tab/>
        <w:t>Direction to perform post mortem</w:t>
      </w:r>
      <w:bookmarkEnd w:id="12"/>
      <w:r>
        <w:rPr>
          <w:snapToGrid w:val="0"/>
        </w:rPr>
        <w:t xml:space="preserve"> </w:t>
      </w:r>
    </w:p>
    <w:p>
      <w:pPr>
        <w:pStyle w:val="Subsection"/>
        <w:rPr>
          <w:snapToGrid w:val="0"/>
        </w:rPr>
      </w:pPr>
      <w:r>
        <w:rPr>
          <w:snapToGrid w:val="0"/>
        </w:rPr>
        <w:tab/>
      </w:r>
      <w:r>
        <w:rPr>
          <w:snapToGrid w:val="0"/>
        </w:rPr>
        <w:tab/>
        <w:t>Before giving a direction to a pathologist or doctor to perform a post mortem on a body under section 34(1) of the Act, the coroner is to take into account all of the medical information then available concerning the last illness of the deceased person, if it appears that the illness may be relevant to the death.</w:t>
      </w:r>
    </w:p>
    <w:p>
      <w:pPr>
        <w:pStyle w:val="Heading5"/>
        <w:rPr>
          <w:snapToGrid w:val="0"/>
        </w:rPr>
      </w:pPr>
      <w:bookmarkStart w:id="13" w:name="_Toc487189996"/>
      <w:r>
        <w:rPr>
          <w:rStyle w:val="CharSectno"/>
        </w:rPr>
        <w:t>10</w:t>
      </w:r>
      <w:r>
        <w:rPr>
          <w:snapToGrid w:val="0"/>
        </w:rPr>
        <w:t>.</w:t>
      </w:r>
      <w:r>
        <w:rPr>
          <w:snapToGrid w:val="0"/>
        </w:rPr>
        <w:tab/>
        <w:t>Form of order for exhumation</w:t>
      </w:r>
      <w:bookmarkEnd w:id="1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14" w:name="_Toc487189997"/>
      <w:r>
        <w:rPr>
          <w:rStyle w:val="CharSectno"/>
        </w:rPr>
        <w:t>11</w:t>
      </w:r>
      <w:r>
        <w:rPr>
          <w:snapToGrid w:val="0"/>
        </w:rPr>
        <w:t>.</w:t>
      </w:r>
      <w:r>
        <w:rPr>
          <w:snapToGrid w:val="0"/>
        </w:rPr>
        <w:tab/>
        <w:t>Request not to exhume</w:t>
      </w:r>
      <w:bookmarkEnd w:id="14"/>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15" w:name="_Toc487189998"/>
      <w:r>
        <w:rPr>
          <w:rStyle w:val="CharSectno"/>
        </w:rPr>
        <w:t>12</w:t>
      </w:r>
      <w:r>
        <w:rPr>
          <w:snapToGrid w:val="0"/>
        </w:rPr>
        <w:t>.</w:t>
      </w:r>
      <w:r>
        <w:rPr>
          <w:snapToGrid w:val="0"/>
        </w:rPr>
        <w:tab/>
        <w:t>Form of notice of restriction of access to area</w:t>
      </w:r>
      <w:bookmarkEnd w:id="15"/>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16" w:name="_Toc487189999"/>
      <w:r>
        <w:rPr>
          <w:rStyle w:val="CharSectno"/>
        </w:rPr>
        <w:t>13</w:t>
      </w:r>
      <w:r>
        <w:rPr>
          <w:snapToGrid w:val="0"/>
        </w:rPr>
        <w:t>.</w:t>
      </w:r>
      <w:r>
        <w:rPr>
          <w:snapToGrid w:val="0"/>
        </w:rPr>
        <w:tab/>
        <w:t>Form of agreement of coroner to restricted access to area</w:t>
      </w:r>
      <w:bookmarkEnd w:id="16"/>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17" w:name="_Toc487190000"/>
      <w:r>
        <w:rPr>
          <w:rStyle w:val="CharSectno"/>
        </w:rPr>
        <w:t>14</w:t>
      </w:r>
      <w:r>
        <w:rPr>
          <w:snapToGrid w:val="0"/>
        </w:rPr>
        <w:t>.</w:t>
      </w:r>
      <w:r>
        <w:rPr>
          <w:snapToGrid w:val="0"/>
        </w:rPr>
        <w:tab/>
        <w:t>Form of authorisation, form of undertaking and requests for release of things</w:t>
      </w:r>
      <w:bookmarkEnd w:id="17"/>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18" w:name="_Toc487190001"/>
      <w:r>
        <w:rPr>
          <w:rStyle w:val="CharSectno"/>
        </w:rPr>
        <w:t>15</w:t>
      </w:r>
      <w:r>
        <w:rPr>
          <w:snapToGrid w:val="0"/>
        </w:rPr>
        <w:t>.</w:t>
      </w:r>
      <w:r>
        <w:rPr>
          <w:snapToGrid w:val="0"/>
        </w:rPr>
        <w:tab/>
        <w:t>Request for an inquest into a death</w:t>
      </w:r>
      <w:bookmarkEnd w:id="18"/>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19" w:name="_Toc487190002"/>
      <w:r>
        <w:rPr>
          <w:rStyle w:val="CharSectno"/>
        </w:rPr>
        <w:t>16</w:t>
      </w:r>
      <w:r>
        <w:rPr>
          <w:snapToGrid w:val="0"/>
        </w:rPr>
        <w:t>.</w:t>
      </w:r>
      <w:r>
        <w:rPr>
          <w:snapToGrid w:val="0"/>
        </w:rPr>
        <w:tab/>
        <w:t>Form of summons and warrant, and service of summons</w:t>
      </w:r>
      <w:bookmarkEnd w:id="19"/>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20" w:name="_Toc487190003"/>
      <w:r>
        <w:rPr>
          <w:rStyle w:val="CharSectno"/>
        </w:rPr>
        <w:t>17</w:t>
      </w:r>
      <w:r>
        <w:rPr>
          <w:snapToGrid w:val="0"/>
        </w:rPr>
        <w:t>.</w:t>
      </w:r>
      <w:r>
        <w:rPr>
          <w:snapToGrid w:val="0"/>
        </w:rPr>
        <w:tab/>
        <w:t>Interested persons for the purposes of section 44(3)</w:t>
      </w:r>
      <w:bookmarkEnd w:id="20"/>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21" w:name="_Toc487190004"/>
      <w:r>
        <w:rPr>
          <w:rStyle w:val="CharSectno"/>
        </w:rPr>
        <w:t>18</w:t>
      </w:r>
      <w:r>
        <w:rPr>
          <w:snapToGrid w:val="0"/>
        </w:rPr>
        <w:t>.</w:t>
      </w:r>
      <w:r>
        <w:rPr>
          <w:snapToGrid w:val="0"/>
        </w:rPr>
        <w:tab/>
        <w:t>Form of order of exclusion from an inquest</w:t>
      </w:r>
      <w:bookmarkEnd w:id="21"/>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22" w:name="_Toc487190005"/>
      <w:r>
        <w:rPr>
          <w:rStyle w:val="CharSectno"/>
        </w:rPr>
        <w:t>19</w:t>
      </w:r>
      <w:r>
        <w:rPr>
          <w:snapToGrid w:val="0"/>
        </w:rPr>
        <w:t>.</w:t>
      </w:r>
      <w:r>
        <w:rPr>
          <w:snapToGrid w:val="0"/>
        </w:rPr>
        <w:tab/>
        <w:t>Access to records</w:t>
      </w:r>
      <w:bookmarkEnd w:id="22"/>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23" w:name="_Toc487190006"/>
      <w:r>
        <w:rPr>
          <w:rStyle w:val="CharSectno"/>
        </w:rPr>
        <w:t>20</w:t>
      </w:r>
      <w:r>
        <w:rPr>
          <w:snapToGrid w:val="0"/>
        </w:rPr>
        <w:t>.</w:t>
      </w:r>
      <w:r>
        <w:rPr>
          <w:snapToGrid w:val="0"/>
        </w:rPr>
        <w:tab/>
        <w:t>Form of oath or affirmation for witness</w:t>
      </w:r>
      <w:bookmarkEnd w:id="23"/>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24" w:name="_Toc487190007"/>
      <w:r>
        <w:rPr>
          <w:rStyle w:val="CharSectno"/>
        </w:rPr>
        <w:t>21</w:t>
      </w:r>
      <w:r>
        <w:rPr>
          <w:snapToGrid w:val="0"/>
        </w:rPr>
        <w:t>.</w:t>
      </w:r>
      <w:r>
        <w:rPr>
          <w:snapToGrid w:val="0"/>
        </w:rPr>
        <w:tab/>
        <w:t>Fees for post mortem services</w:t>
      </w:r>
      <w:bookmarkEnd w:id="24"/>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in Gazette 4 Sep 2009 p. 3491.]</w:t>
      </w:r>
    </w:p>
    <w:p>
      <w:pPr>
        <w:pStyle w:val="Heading5"/>
      </w:pPr>
      <w:bookmarkStart w:id="25" w:name="_Toc487190008"/>
      <w:r>
        <w:rPr>
          <w:rStyle w:val="CharSectno"/>
        </w:rPr>
        <w:t>22</w:t>
      </w:r>
      <w:r>
        <w:t>.</w:t>
      </w:r>
      <w:r>
        <w:tab/>
        <w:t>Other fees</w:t>
      </w:r>
      <w:bookmarkEnd w:id="25"/>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in Gazette 14 Jun 2016 p. 1872.]</w:t>
      </w:r>
    </w:p>
    <w:p>
      <w:pPr>
        <w:pStyle w:val="Heading5"/>
      </w:pPr>
      <w:bookmarkStart w:id="26" w:name="_Toc487190009"/>
      <w:r>
        <w:rPr>
          <w:rStyle w:val="CharSectno"/>
        </w:rPr>
        <w:t>23A</w:t>
      </w:r>
      <w:r>
        <w:t>.</w:t>
      </w:r>
      <w:r>
        <w:tab/>
        <w:t>Fee exemptions</w:t>
      </w:r>
      <w:bookmarkEnd w:id="26"/>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23A inserted in Gazette 14 Jun 2016 p. 1873.]</w:t>
      </w:r>
    </w:p>
    <w:p>
      <w:pPr>
        <w:pStyle w:val="Heading5"/>
      </w:pPr>
      <w:bookmarkStart w:id="27" w:name="_Toc487190010"/>
      <w:r>
        <w:rPr>
          <w:rStyle w:val="CharSectno"/>
        </w:rPr>
        <w:t>23B</w:t>
      </w:r>
      <w:r>
        <w:t>.</w:t>
      </w:r>
      <w:r>
        <w:tab/>
        <w:t>Who is an eligible individual</w:t>
      </w:r>
      <w:bookmarkEnd w:id="2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23D(1)(b).</w:t>
      </w:r>
    </w:p>
    <w:p>
      <w:pPr>
        <w:pStyle w:val="Footnotesection"/>
        <w:spacing w:before="80"/>
      </w:pPr>
      <w:r>
        <w:tab/>
        <w:t>[Regulation 23B inserted in Gazette 14 Jun 2016 p. 1873</w:t>
      </w:r>
      <w:r>
        <w:noBreakHyphen/>
        <w:t>4.]</w:t>
      </w:r>
    </w:p>
    <w:p>
      <w:pPr>
        <w:pStyle w:val="Heading5"/>
      </w:pPr>
      <w:bookmarkStart w:id="28" w:name="_Toc487190011"/>
      <w:r>
        <w:rPr>
          <w:rStyle w:val="CharSectno"/>
        </w:rPr>
        <w:t>23C</w:t>
      </w:r>
      <w:r>
        <w:t>.</w:t>
      </w:r>
      <w:r>
        <w:tab/>
        <w:t>Application to be recognised as eligible individual</w:t>
      </w:r>
      <w:bookmarkEnd w:id="28"/>
    </w:p>
    <w:p>
      <w:pPr>
        <w:pStyle w:val="Subsection"/>
      </w:pPr>
      <w:r>
        <w:tab/>
        <w:t>(1)</w:t>
      </w:r>
      <w:r>
        <w:tab/>
        <w:t>A person may apply for a direction under regulation 23D(1) that the person is an eligible individual in respect of a matter specified in Schedule 3.</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in Gazette 14 Jun 2016 p. 1874.]</w:t>
      </w:r>
    </w:p>
    <w:p>
      <w:pPr>
        <w:pStyle w:val="Heading5"/>
      </w:pPr>
      <w:bookmarkStart w:id="29" w:name="_Toc487190012"/>
      <w:r>
        <w:rPr>
          <w:rStyle w:val="CharSectno"/>
        </w:rPr>
        <w:t>23D</w:t>
      </w:r>
      <w:r>
        <w:t>.</w:t>
      </w:r>
      <w:r>
        <w:tab/>
        <w:t>Recognition as eligible individual</w:t>
      </w:r>
      <w:bookmarkEnd w:id="29"/>
      <w:r>
        <w:t xml:space="preserve"> </w:t>
      </w:r>
    </w:p>
    <w:p>
      <w:pPr>
        <w:pStyle w:val="Subsection"/>
      </w:pPr>
      <w:r>
        <w:tab/>
        <w:t>(1)</w:t>
      </w:r>
      <w:r>
        <w:tab/>
        <w:t xml:space="preserve">A coroner or a coroner’s registrar may, on an application under regulation 23C(1) — </w:t>
      </w:r>
    </w:p>
    <w:p>
      <w:pPr>
        <w:pStyle w:val="Indenta"/>
      </w:pPr>
      <w:r>
        <w:tab/>
        <w:t>(a)</w:t>
      </w:r>
      <w:r>
        <w:tab/>
        <w:t>direct that a person is an eligible individual described in regulation 23B(2)(a)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23B(2)(f)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in Gazette 14 Jun 2016 p. 1874</w:t>
      </w:r>
      <w:r>
        <w:noBreakHyphen/>
        <w:t>5.]</w:t>
      </w:r>
    </w:p>
    <w:p>
      <w:pPr>
        <w:pStyle w:val="Heading5"/>
      </w:pPr>
      <w:bookmarkStart w:id="30" w:name="_Toc487190013"/>
      <w:r>
        <w:rPr>
          <w:rStyle w:val="CharSectno"/>
        </w:rPr>
        <w:t>23E</w:t>
      </w:r>
      <w:r>
        <w:t>.</w:t>
      </w:r>
      <w:r>
        <w:tab/>
        <w:t>False or misleading statements</w:t>
      </w:r>
      <w:bookmarkEnd w:id="30"/>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in Gazette 14 Jun 2016 p. 1875</w:t>
      </w:r>
      <w:r>
        <w:noBreakHyphen/>
        <w:t>6.]</w:t>
      </w:r>
    </w:p>
    <w:p>
      <w:pPr>
        <w:pStyle w:val="Heading5"/>
      </w:pPr>
      <w:bookmarkStart w:id="31" w:name="_Toc487190014"/>
      <w:r>
        <w:rPr>
          <w:rStyle w:val="CharSectno"/>
        </w:rPr>
        <w:t>23</w:t>
      </w:r>
      <w:r>
        <w:t>.</w:t>
      </w:r>
      <w:r>
        <w:tab/>
        <w:t>Refunds</w:t>
      </w:r>
      <w:bookmarkEnd w:id="31"/>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in Gazette 14 Jun 2016 p. 1876.]</w:t>
      </w:r>
    </w:p>
    <w:p>
      <w:pPr>
        <w:pStyle w:val="Heading5"/>
      </w:pPr>
      <w:bookmarkStart w:id="32" w:name="_Toc487190015"/>
      <w:r>
        <w:rPr>
          <w:rStyle w:val="CharSectno"/>
        </w:rPr>
        <w:t>23A</w:t>
      </w:r>
      <w:r>
        <w:t>.</w:t>
      </w:r>
      <w:r>
        <w:tab/>
        <w:t>Waiving fee for copy of document or transcript</w:t>
      </w:r>
      <w:bookmarkEnd w:id="32"/>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in Gazette 14 Jun 2016 p. 1876.]</w:t>
      </w:r>
    </w:p>
    <w:p>
      <w:pPr>
        <w:pStyle w:val="Heading5"/>
      </w:pPr>
      <w:bookmarkStart w:id="33" w:name="_Toc487190016"/>
      <w:r>
        <w:rPr>
          <w:rStyle w:val="CharSectno"/>
        </w:rPr>
        <w:t>24</w:t>
      </w:r>
      <w:r>
        <w:t>.</w:t>
      </w:r>
      <w:r>
        <w:tab/>
        <w:t>Resolution of disputes as to fees</w:t>
      </w:r>
      <w:bookmarkEnd w:id="33"/>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34" w:name="_Toc487190017"/>
      <w:r>
        <w:rPr>
          <w:rStyle w:val="CharSectno"/>
        </w:rPr>
        <w:t>25</w:t>
      </w:r>
      <w:r>
        <w:t>.</w:t>
      </w:r>
      <w:r>
        <w:tab/>
        <w:t>Recovery of unpaid fees</w:t>
      </w:r>
      <w:bookmarkEnd w:id="34"/>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5" w:name="_Toc474332366"/>
      <w:bookmarkStart w:id="36" w:name="_Toc474421080"/>
      <w:bookmarkStart w:id="37" w:name="_Toc487187936"/>
      <w:bookmarkStart w:id="38" w:name="_Toc487190018"/>
      <w:bookmarkStart w:id="39" w:name="_Toc474332283"/>
      <w:bookmarkStart w:id="40" w:name="_Toc474332369"/>
      <w:r>
        <w:rPr>
          <w:rStyle w:val="CharSchNo"/>
        </w:rPr>
        <w:t>Schedule 1</w:t>
      </w:r>
      <w:r>
        <w:t> — </w:t>
      </w:r>
      <w:r>
        <w:rPr>
          <w:rStyle w:val="CharSchText"/>
        </w:rPr>
        <w:t>Forms</w:t>
      </w:r>
      <w:bookmarkEnd w:id="35"/>
      <w:bookmarkEnd w:id="36"/>
      <w:bookmarkEnd w:id="37"/>
      <w:bookmarkEnd w:id="38"/>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in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in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in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4"/>
          <w:headerReference w:type="default" r:id="rId25"/>
          <w:pgSz w:w="11907" w:h="16840" w:code="9"/>
          <w:pgMar w:top="2381" w:right="2410" w:bottom="3544" w:left="2410" w:header="720" w:footer="3544" w:gutter="0"/>
          <w:cols w:space="720"/>
        </w:sectPr>
      </w:pPr>
      <w:bookmarkStart w:id="42" w:name="_Toc474332367"/>
    </w:p>
    <w:p>
      <w:pPr>
        <w:pStyle w:val="yScheduleHeading"/>
      </w:pPr>
      <w:bookmarkStart w:id="43" w:name="_Toc474421081"/>
      <w:bookmarkStart w:id="44" w:name="_Toc487187937"/>
      <w:bookmarkStart w:id="45" w:name="_Toc487190019"/>
      <w:r>
        <w:rPr>
          <w:rStyle w:val="CharSchNo"/>
        </w:rPr>
        <w:t>Schedule 2</w:t>
      </w:r>
      <w:r>
        <w:rPr>
          <w:rStyle w:val="CharSDivNo"/>
        </w:rPr>
        <w:t> </w:t>
      </w:r>
      <w:r>
        <w:rPr>
          <w:bCs/>
        </w:rPr>
        <w:t>—</w:t>
      </w:r>
      <w:r>
        <w:rPr>
          <w:rStyle w:val="CharSDivText"/>
        </w:rPr>
        <w:t> </w:t>
      </w:r>
      <w:r>
        <w:rPr>
          <w:rStyle w:val="CharSchText"/>
        </w:rPr>
        <w:t>Fees for post mortem services</w:t>
      </w:r>
      <w:bookmarkEnd w:id="42"/>
      <w:bookmarkEnd w:id="43"/>
      <w:bookmarkEnd w:id="44"/>
      <w:bookmarkEnd w:id="45"/>
    </w:p>
    <w:p>
      <w:pPr>
        <w:pStyle w:val="yShoulderClause"/>
      </w:pPr>
      <w:r>
        <w:t>[r. 21]</w:t>
      </w:r>
    </w:p>
    <w:p>
      <w:pPr>
        <w:pStyle w:val="yFootnoteheading"/>
        <w:spacing w:after="120"/>
      </w:pPr>
      <w:r>
        <w:tab/>
        <w:t>[Heading inserted in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46" w:name="_Toc484597459"/>
      <w:bookmarkStart w:id="47" w:name="_Toc484597512"/>
      <w:bookmarkStart w:id="48" w:name="_Toc484598065"/>
      <w:bookmarkStart w:id="49" w:name="_Toc484598118"/>
      <w:bookmarkStart w:id="50" w:name="_Toc484787479"/>
      <w:bookmarkStart w:id="51" w:name="_Toc487187938"/>
      <w:bookmarkStart w:id="52" w:name="_Toc487190020"/>
      <w:bookmarkStart w:id="53" w:name="_Toc474332368"/>
      <w:bookmarkStart w:id="54" w:name="_Toc474421082"/>
      <w:r>
        <w:rPr>
          <w:rStyle w:val="CharSchNo"/>
        </w:rPr>
        <w:t>Schedule 3</w:t>
      </w:r>
      <w:r>
        <w:t> — </w:t>
      </w:r>
      <w:r>
        <w:rPr>
          <w:rStyle w:val="CharSchText"/>
        </w:rPr>
        <w:t>Other fees</w:t>
      </w:r>
      <w:bookmarkEnd w:id="46"/>
      <w:bookmarkEnd w:id="47"/>
      <w:bookmarkEnd w:id="48"/>
      <w:bookmarkEnd w:id="49"/>
      <w:bookmarkEnd w:id="50"/>
      <w:bookmarkEnd w:id="51"/>
      <w:bookmarkEnd w:id="52"/>
    </w:p>
    <w:p>
      <w:pPr>
        <w:pStyle w:val="zyShoulderClause"/>
        <w:spacing w:after="120"/>
      </w:pPr>
      <w:r>
        <w:t>[r. 22]</w:t>
      </w:r>
    </w:p>
    <w:p>
      <w:pPr>
        <w:pStyle w:val="yFootnoteheading"/>
        <w:spacing w:after="60"/>
      </w:pPr>
      <w:r>
        <w:tab/>
        <w:t>[Heading inserted in Gazette 7 Jul 2017 p. 3737.]</w:t>
      </w:r>
    </w:p>
    <w:p>
      <w:pPr>
        <w:pStyle w:val="zyShoulderClause"/>
        <w:spacing w:after="120"/>
      </w:pP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trPr>
        <w:tc>
          <w:tcPr>
            <w:tcW w:w="709" w:type="dxa"/>
            <w:tcBorders>
              <w:bottom w:val="single" w:sz="4" w:space="0" w:color="auto"/>
            </w:tcBorders>
          </w:tcPr>
          <w:p>
            <w:pPr>
              <w:pStyle w:val="yTableNAm"/>
              <w:jc w:val="center"/>
              <w:rPr>
                <w:b/>
              </w:rPr>
            </w:pPr>
            <w:r>
              <w:rPr>
                <w:b/>
              </w:rPr>
              <w:t>Item</w:t>
            </w:r>
          </w:p>
        </w:tc>
        <w:tc>
          <w:tcPr>
            <w:tcW w:w="3118" w:type="dxa"/>
            <w:tcBorders>
              <w:bottom w:val="single" w:sz="4" w:space="0" w:color="auto"/>
            </w:tcBorders>
          </w:tcPr>
          <w:p>
            <w:pPr>
              <w:pStyle w:val="yTableNAm"/>
              <w:jc w:val="center"/>
              <w:rPr>
                <w:b/>
                <w:bCs/>
              </w:rPr>
            </w:pPr>
            <w:r>
              <w:rPr>
                <w:b/>
                <w:bCs/>
              </w:rPr>
              <w:t>Matter</w:t>
            </w:r>
          </w:p>
        </w:tc>
        <w:tc>
          <w:tcPr>
            <w:tcW w:w="1559" w:type="dxa"/>
            <w:tcBorders>
              <w:bottom w:val="single" w:sz="4" w:space="0" w:color="auto"/>
            </w:tcBorders>
            <w:vAlign w:val="center"/>
          </w:tcPr>
          <w:p>
            <w:pPr>
              <w:pStyle w:val="yTableNAm"/>
              <w:jc w:val="center"/>
              <w:rPr>
                <w:b/>
                <w:bCs/>
              </w:rPr>
            </w:pPr>
            <w:r>
              <w:rPr>
                <w:b/>
                <w:bCs/>
              </w:rPr>
              <w:t xml:space="preserve">Column A </w:t>
            </w:r>
            <w:r>
              <w:rPr>
                <w:b/>
                <w:bCs/>
              </w:rPr>
              <w:br/>
              <w:t xml:space="preserve">Fee for individual </w:t>
            </w:r>
            <w:r>
              <w:rPr>
                <w:b/>
                <w:bCs/>
              </w:rPr>
              <w:br/>
            </w:r>
            <w:r>
              <w:rPr>
                <w:b/>
                <w:bCs/>
              </w:rPr>
              <w:br/>
              <w:t>$</w:t>
            </w:r>
          </w:p>
        </w:tc>
        <w:tc>
          <w:tcPr>
            <w:tcW w:w="1560" w:type="dxa"/>
            <w:tcBorders>
              <w:bottom w:val="single" w:sz="4" w:space="0" w:color="auto"/>
            </w:tcBorders>
            <w:vAlign w:val="center"/>
          </w:tcPr>
          <w:p>
            <w:pPr>
              <w:pStyle w:val="yTableNAm"/>
              <w:jc w:val="center"/>
              <w:rPr>
                <w:b/>
                <w:bCs/>
              </w:rPr>
            </w:pPr>
            <w:r>
              <w:rPr>
                <w:b/>
                <w:bCs/>
              </w:rPr>
              <w:t xml:space="preserve">Column B </w:t>
            </w:r>
            <w:r>
              <w:rPr>
                <w:b/>
                <w:bCs/>
              </w:rPr>
              <w:br/>
              <w:t xml:space="preserve">Fee for eligible individual </w:t>
            </w:r>
            <w:r>
              <w:rPr>
                <w:b/>
                <w:bCs/>
              </w:rPr>
              <w:br/>
              <w:t>$</w:t>
            </w:r>
          </w:p>
        </w:tc>
      </w:tr>
      <w:tr>
        <w:trPr>
          <w:cantSplit/>
        </w:trPr>
        <w:tc>
          <w:tcPr>
            <w:tcW w:w="709" w:type="dxa"/>
            <w:tcBorders>
              <w:bottom w:val="nil"/>
            </w:tcBorders>
          </w:tcPr>
          <w:p>
            <w:pPr>
              <w:pStyle w:val="yTableNAm"/>
              <w:jc w:val="center"/>
            </w:pPr>
            <w:r>
              <w:t>1.</w:t>
            </w:r>
          </w:p>
        </w:tc>
        <w:tc>
          <w:tcPr>
            <w:tcW w:w="3118" w:type="dxa"/>
            <w:tcBorders>
              <w:bottom w:val="nil"/>
            </w:tcBorders>
          </w:tcPr>
          <w:p>
            <w:pPr>
              <w:pStyle w:val="yTableNAm"/>
              <w:rPr>
                <w:rStyle w:val="DraftersNotes"/>
              </w:rPr>
            </w:pPr>
            <w:r>
              <w:t>Copy of document or exhibit, for each page or part of a page</w:t>
            </w:r>
          </w:p>
        </w:tc>
        <w:tc>
          <w:tcPr>
            <w:tcW w:w="1559" w:type="dxa"/>
            <w:tcBorders>
              <w:bottom w:val="nil"/>
            </w:tcBorders>
          </w:tcPr>
          <w:p>
            <w:pPr>
              <w:pStyle w:val="yTableNAm"/>
              <w:jc w:val="center"/>
            </w:pPr>
            <w:r>
              <w:br/>
              <w:t>1.70</w:t>
            </w:r>
          </w:p>
        </w:tc>
        <w:tc>
          <w:tcPr>
            <w:tcW w:w="1560" w:type="dxa"/>
            <w:tcBorders>
              <w:bottom w:val="nil"/>
            </w:tcBorders>
          </w:tcPr>
          <w:p>
            <w:pPr>
              <w:pStyle w:val="yTableNAm"/>
              <w:jc w:val="center"/>
            </w:pPr>
            <w:r>
              <w:br/>
              <w:t>0.50</w:t>
            </w:r>
          </w:p>
        </w:tc>
      </w:tr>
      <w:tr>
        <w:trPr>
          <w:cantSplit/>
        </w:trPr>
        <w:tc>
          <w:tcPr>
            <w:tcW w:w="709" w:type="dxa"/>
            <w:tcBorders>
              <w:top w:val="nil"/>
              <w:bottom w:val="nil"/>
            </w:tcBorders>
          </w:tcPr>
          <w:p>
            <w:pPr>
              <w:pStyle w:val="yTableNAm"/>
              <w:jc w:val="center"/>
            </w:pPr>
            <w:r>
              <w:t>2.</w:t>
            </w:r>
          </w:p>
        </w:tc>
        <w:tc>
          <w:tcPr>
            <w:tcW w:w="3118" w:type="dxa"/>
            <w:tcBorders>
              <w:top w:val="nil"/>
              <w:bottom w:val="nil"/>
            </w:tcBorders>
          </w:tcPr>
          <w:p>
            <w:pPr>
              <w:pStyle w:val="yTableNAm"/>
            </w:pPr>
            <w:r>
              <w:t xml:space="preserve">Copy of record of investigation into a death — </w:t>
            </w:r>
          </w:p>
          <w:p>
            <w:pPr>
              <w:pStyle w:val="yTableNAm"/>
              <w:tabs>
                <w:tab w:val="clear" w:pos="567"/>
                <w:tab w:val="left" w:pos="459"/>
              </w:tabs>
              <w:ind w:left="459" w:hanging="459"/>
              <w:rPr>
                <w:rStyle w:val="DraftersNotes"/>
              </w:rPr>
            </w:pPr>
            <w:r>
              <w:t>(a)</w:t>
            </w:r>
            <w:r>
              <w:tab/>
              <w:t>for 1 copy on the request of a person who is an interested person under regulation 17(a) or (b)</w:t>
            </w:r>
          </w:p>
        </w:tc>
        <w:tc>
          <w:tcPr>
            <w:tcW w:w="1559" w:type="dxa"/>
            <w:tcBorders>
              <w:top w:val="nil"/>
              <w:bottom w:val="nil"/>
            </w:tcBorders>
          </w:tcPr>
          <w:p>
            <w:pPr>
              <w:pStyle w:val="yTableNAm"/>
              <w:jc w:val="center"/>
            </w:pPr>
            <w:r>
              <w:br/>
            </w:r>
          </w:p>
          <w:p>
            <w:pPr>
              <w:pStyle w:val="yTableNAm"/>
              <w:jc w:val="center"/>
            </w:pPr>
            <w:r>
              <w:br/>
            </w:r>
            <w:r>
              <w:br/>
            </w:r>
            <w:r>
              <w:br/>
              <w:t>Nil</w:t>
            </w:r>
          </w:p>
        </w:tc>
        <w:tc>
          <w:tcPr>
            <w:tcW w:w="1560" w:type="dxa"/>
            <w:tcBorders>
              <w:top w:val="nil"/>
              <w:bottom w:val="nil"/>
            </w:tcBorders>
          </w:tcPr>
          <w:p>
            <w:pPr>
              <w:pStyle w:val="yTableNAm"/>
              <w:jc w:val="center"/>
            </w:pPr>
            <w:r>
              <w:br/>
            </w:r>
          </w:p>
          <w:p>
            <w:pPr>
              <w:pStyle w:val="yTableNAm"/>
              <w:jc w:val="center"/>
            </w:pPr>
            <w:r>
              <w:br/>
            </w:r>
            <w:r>
              <w:br/>
            </w:r>
            <w:r>
              <w:br/>
              <w:t>Nil</w:t>
            </w:r>
          </w:p>
        </w:tc>
      </w:tr>
      <w:tr>
        <w:trPr>
          <w:cantSplit/>
        </w:trPr>
        <w:tc>
          <w:tcPr>
            <w:tcW w:w="709" w:type="dxa"/>
            <w:tcBorders>
              <w:top w:val="nil"/>
              <w:bottom w:val="nil"/>
            </w:tcBorders>
          </w:tcPr>
          <w:p>
            <w:pPr>
              <w:pStyle w:val="yTableNAm"/>
              <w:jc w:val="center"/>
            </w:pPr>
          </w:p>
        </w:tc>
        <w:tc>
          <w:tcPr>
            <w:tcW w:w="3118" w:type="dxa"/>
            <w:tcBorders>
              <w:top w:val="nil"/>
              <w:bottom w:val="nil"/>
            </w:tcBorders>
          </w:tcPr>
          <w:p>
            <w:pPr>
              <w:pStyle w:val="yTableNAm"/>
              <w:tabs>
                <w:tab w:val="clear" w:pos="567"/>
                <w:tab w:val="left" w:pos="459"/>
              </w:tabs>
              <w:ind w:left="459" w:hanging="459"/>
            </w:pPr>
            <w:r>
              <w:t>(b)</w:t>
            </w:r>
            <w:r>
              <w:tab/>
              <w:t>for each additional copy on the request of a person who is an interested person under regulation 17(a) or (b), for each page or part of a page</w:t>
            </w:r>
          </w:p>
        </w:tc>
        <w:tc>
          <w:tcPr>
            <w:tcW w:w="1559" w:type="dxa"/>
            <w:tcBorders>
              <w:top w:val="nil"/>
              <w:bottom w:val="nil"/>
            </w:tcBorders>
          </w:tcPr>
          <w:p>
            <w:pPr>
              <w:pStyle w:val="yTableNAm"/>
              <w:jc w:val="center"/>
            </w:pPr>
            <w:r>
              <w:br/>
            </w:r>
            <w:r>
              <w:rPr>
                <w:szCs w:val="22"/>
              </w:rPr>
              <w:br/>
            </w:r>
            <w:r>
              <w:rPr>
                <w:szCs w:val="22"/>
              </w:rPr>
              <w:br/>
            </w:r>
            <w:r>
              <w:rPr>
                <w:szCs w:val="22"/>
              </w:rPr>
              <w:br/>
            </w:r>
            <w:r>
              <w:rPr>
                <w:szCs w:val="22"/>
              </w:rPr>
              <w:br/>
              <w:t>1.40</w:t>
            </w:r>
          </w:p>
        </w:tc>
        <w:tc>
          <w:tcPr>
            <w:tcW w:w="1560" w:type="dxa"/>
            <w:tcBorders>
              <w:top w:val="nil"/>
              <w:bottom w:val="nil"/>
            </w:tcBorders>
          </w:tcPr>
          <w:p>
            <w:pPr>
              <w:pStyle w:val="yTableNAm"/>
              <w:jc w:val="center"/>
            </w:pPr>
            <w:r>
              <w:br/>
            </w:r>
            <w:r>
              <w:rPr>
                <w:szCs w:val="22"/>
              </w:rPr>
              <w:br/>
            </w:r>
            <w:r>
              <w:rPr>
                <w:szCs w:val="22"/>
              </w:rPr>
              <w:br/>
            </w:r>
            <w:r>
              <w:rPr>
                <w:szCs w:val="22"/>
              </w:rPr>
              <w:br/>
            </w:r>
            <w:r>
              <w:rPr>
                <w:szCs w:val="22"/>
              </w:rPr>
              <w:br/>
              <w:t>0.45</w:t>
            </w:r>
          </w:p>
        </w:tc>
      </w:tr>
      <w:tr>
        <w:trPr>
          <w:cantSplit/>
        </w:trPr>
        <w:tc>
          <w:tcPr>
            <w:tcW w:w="709" w:type="dxa"/>
            <w:tcBorders>
              <w:top w:val="nil"/>
              <w:bottom w:val="nil"/>
            </w:tcBorders>
          </w:tcPr>
          <w:p>
            <w:pPr>
              <w:pStyle w:val="yTableNAm"/>
              <w:jc w:val="center"/>
            </w:pPr>
          </w:p>
        </w:tc>
        <w:tc>
          <w:tcPr>
            <w:tcW w:w="3118" w:type="dxa"/>
            <w:tcBorders>
              <w:top w:val="nil"/>
              <w:bottom w:val="nil"/>
            </w:tcBorders>
          </w:tcPr>
          <w:p>
            <w:pPr>
              <w:pStyle w:val="yTableNAm"/>
              <w:tabs>
                <w:tab w:val="clear" w:pos="567"/>
                <w:tab w:val="left" w:pos="459"/>
              </w:tabs>
              <w:ind w:left="459" w:hanging="459"/>
            </w:pPr>
            <w:r>
              <w:t>(c)</w:t>
            </w:r>
            <w:r>
              <w:tab/>
              <w:t>for each copy on the request of any other person, for each page or part of a page</w:t>
            </w:r>
          </w:p>
        </w:tc>
        <w:tc>
          <w:tcPr>
            <w:tcW w:w="1559" w:type="dxa"/>
            <w:tcBorders>
              <w:top w:val="nil"/>
              <w:bottom w:val="nil"/>
            </w:tcBorders>
          </w:tcPr>
          <w:p>
            <w:pPr>
              <w:pStyle w:val="yTableNAm"/>
              <w:jc w:val="center"/>
            </w:pPr>
            <w:r>
              <w:rPr>
                <w:szCs w:val="22"/>
              </w:rPr>
              <w:br/>
            </w:r>
            <w:r>
              <w:rPr>
                <w:szCs w:val="22"/>
              </w:rPr>
              <w:br/>
            </w:r>
            <w:r>
              <w:rPr>
                <w:szCs w:val="22"/>
              </w:rPr>
              <w:br/>
              <w:t>1.40</w:t>
            </w:r>
          </w:p>
        </w:tc>
        <w:tc>
          <w:tcPr>
            <w:tcW w:w="1560" w:type="dxa"/>
            <w:tcBorders>
              <w:top w:val="nil"/>
              <w:bottom w:val="nil"/>
            </w:tcBorders>
          </w:tcPr>
          <w:p>
            <w:pPr>
              <w:pStyle w:val="yTableNAm"/>
              <w:jc w:val="center"/>
            </w:pPr>
            <w:r>
              <w:rPr>
                <w:szCs w:val="22"/>
              </w:rPr>
              <w:br/>
            </w:r>
            <w:r>
              <w:rPr>
                <w:szCs w:val="22"/>
              </w:rPr>
              <w:br/>
            </w:r>
            <w:r>
              <w:rPr>
                <w:szCs w:val="22"/>
              </w:rPr>
              <w:br/>
              <w:t>0.45</w:t>
            </w:r>
          </w:p>
        </w:tc>
      </w:tr>
      <w:tr>
        <w:trPr>
          <w:cantSplit/>
        </w:trPr>
        <w:tc>
          <w:tcPr>
            <w:tcW w:w="709" w:type="dxa"/>
            <w:tcBorders>
              <w:top w:val="nil"/>
              <w:bottom w:val="nil"/>
            </w:tcBorders>
          </w:tcPr>
          <w:p>
            <w:pPr>
              <w:pStyle w:val="yTableNAm"/>
              <w:jc w:val="center"/>
            </w:pPr>
            <w:r>
              <w:t>3.</w:t>
            </w:r>
          </w:p>
        </w:tc>
        <w:tc>
          <w:tcPr>
            <w:tcW w:w="3118" w:type="dxa"/>
            <w:tcBorders>
              <w:top w:val="nil"/>
              <w:bottom w:val="nil"/>
            </w:tcBorders>
          </w:tcPr>
          <w:p>
            <w:pPr>
              <w:pStyle w:val="yTableNAm"/>
              <w:rPr>
                <w:rStyle w:val="DraftersNotes"/>
              </w:rPr>
            </w:pPr>
            <w:r>
              <w:t>Certifying under seal that a document is a true copy</w:t>
            </w:r>
          </w:p>
        </w:tc>
        <w:tc>
          <w:tcPr>
            <w:tcW w:w="1559" w:type="dxa"/>
            <w:tcBorders>
              <w:top w:val="nil"/>
              <w:bottom w:val="nil"/>
            </w:tcBorders>
          </w:tcPr>
          <w:p>
            <w:pPr>
              <w:pStyle w:val="yTableNAm"/>
              <w:jc w:val="center"/>
            </w:pPr>
            <w:r>
              <w:rPr>
                <w:szCs w:val="22"/>
              </w:rPr>
              <w:br/>
              <w:t>19.95</w:t>
            </w:r>
          </w:p>
        </w:tc>
        <w:tc>
          <w:tcPr>
            <w:tcW w:w="1560" w:type="dxa"/>
            <w:tcBorders>
              <w:top w:val="nil"/>
              <w:bottom w:val="nil"/>
            </w:tcBorders>
          </w:tcPr>
          <w:p>
            <w:pPr>
              <w:pStyle w:val="yTableNAm"/>
              <w:jc w:val="center"/>
              <w:rPr>
                <w:szCs w:val="22"/>
              </w:rPr>
            </w:pPr>
            <w:r>
              <w:rPr>
                <w:szCs w:val="22"/>
              </w:rPr>
              <w:br/>
              <w:t>6.00</w:t>
            </w:r>
          </w:p>
        </w:tc>
      </w:tr>
      <w:tr>
        <w:trPr>
          <w:cantSplit/>
        </w:trPr>
        <w:tc>
          <w:tcPr>
            <w:tcW w:w="709" w:type="dxa"/>
            <w:tcBorders>
              <w:top w:val="nil"/>
              <w:bottom w:val="nil"/>
            </w:tcBorders>
          </w:tcPr>
          <w:p>
            <w:pPr>
              <w:pStyle w:val="yTableNAm"/>
              <w:jc w:val="center"/>
            </w:pPr>
            <w:r>
              <w:t>4.</w:t>
            </w:r>
          </w:p>
        </w:tc>
        <w:tc>
          <w:tcPr>
            <w:tcW w:w="3118" w:type="dxa"/>
            <w:tcBorders>
              <w:top w:val="nil"/>
              <w:bottom w:val="nil"/>
            </w:tcBorders>
          </w:tcPr>
          <w:p>
            <w:pPr>
              <w:pStyle w:val="yTableNAm"/>
            </w:pPr>
            <w:r>
              <w:t xml:space="preserve">Copy of transcript or notes of evidence, for each page or part of a page — </w:t>
            </w:r>
          </w:p>
        </w:tc>
        <w:tc>
          <w:tcPr>
            <w:tcW w:w="1559" w:type="dxa"/>
            <w:tcBorders>
              <w:top w:val="nil"/>
              <w:bottom w:val="nil"/>
            </w:tcBorders>
          </w:tcPr>
          <w:p>
            <w:pPr>
              <w:pStyle w:val="yTableNAm"/>
              <w:jc w:val="center"/>
              <w:rPr>
                <w:szCs w:val="22"/>
              </w:rPr>
            </w:pPr>
          </w:p>
        </w:tc>
        <w:tc>
          <w:tcPr>
            <w:tcW w:w="1560" w:type="dxa"/>
            <w:tcBorders>
              <w:top w:val="nil"/>
              <w:bottom w:val="nil"/>
            </w:tcBorders>
          </w:tcPr>
          <w:p>
            <w:pPr>
              <w:pStyle w:val="yTableNAm"/>
              <w:jc w:val="center"/>
              <w:rPr>
                <w:szCs w:val="22"/>
              </w:rPr>
            </w:pPr>
          </w:p>
        </w:tc>
      </w:tr>
      <w:tr>
        <w:trPr>
          <w:cantSplit/>
        </w:trPr>
        <w:tc>
          <w:tcPr>
            <w:tcW w:w="709" w:type="dxa"/>
            <w:tcBorders>
              <w:top w:val="nil"/>
              <w:bottom w:val="nil"/>
            </w:tcBorders>
          </w:tcPr>
          <w:p>
            <w:pPr>
              <w:pStyle w:val="yTableNAm"/>
              <w:jc w:val="center"/>
            </w:pPr>
          </w:p>
        </w:tc>
        <w:tc>
          <w:tcPr>
            <w:tcW w:w="3118" w:type="dxa"/>
            <w:tcBorders>
              <w:top w:val="nil"/>
              <w:bottom w:val="nil"/>
            </w:tcBorders>
          </w:tcPr>
          <w:p>
            <w:pPr>
              <w:pStyle w:val="yTableNAm"/>
              <w:tabs>
                <w:tab w:val="clear" w:pos="567"/>
                <w:tab w:val="left" w:pos="317"/>
              </w:tabs>
              <w:ind w:left="742" w:hanging="742"/>
            </w:pPr>
            <w:r>
              <w:tab/>
              <w:t>(a)</w:t>
            </w:r>
            <w:r>
              <w:tab/>
              <w:t>provided within 1 day after the day on which the fee is paid; or</w:t>
            </w:r>
          </w:p>
        </w:tc>
        <w:tc>
          <w:tcPr>
            <w:tcW w:w="1559" w:type="dxa"/>
            <w:tcBorders>
              <w:top w:val="nil"/>
              <w:bottom w:val="nil"/>
            </w:tcBorders>
          </w:tcPr>
          <w:p>
            <w:pPr>
              <w:pStyle w:val="yTableNAm"/>
              <w:tabs>
                <w:tab w:val="clear" w:pos="567"/>
              </w:tabs>
              <w:jc w:val="center"/>
              <w:rPr>
                <w:szCs w:val="22"/>
              </w:rPr>
            </w:pPr>
            <w:r>
              <w:rPr>
                <w:szCs w:val="22"/>
              </w:rPr>
              <w:br/>
              <w:t xml:space="preserve">19.10 plus </w:t>
            </w:r>
            <w:r>
              <w:rPr>
                <w:szCs w:val="22"/>
              </w:rPr>
              <w:br/>
              <w:t>7.85 per page</w:t>
            </w:r>
          </w:p>
        </w:tc>
        <w:tc>
          <w:tcPr>
            <w:tcW w:w="1560" w:type="dxa"/>
            <w:tcBorders>
              <w:top w:val="nil"/>
              <w:bottom w:val="nil"/>
            </w:tcBorders>
          </w:tcPr>
          <w:p>
            <w:pPr>
              <w:pStyle w:val="yTableNAm"/>
              <w:tabs>
                <w:tab w:val="clear" w:pos="567"/>
              </w:tabs>
              <w:jc w:val="center"/>
              <w:rPr>
                <w:szCs w:val="22"/>
              </w:rPr>
            </w:pPr>
            <w:r>
              <w:rPr>
                <w:szCs w:val="22"/>
              </w:rPr>
              <w:br/>
              <w:t xml:space="preserve">5.70 plus </w:t>
            </w:r>
            <w:r>
              <w:rPr>
                <w:szCs w:val="22"/>
              </w:rPr>
              <w:br/>
              <w:t>2.35 per page</w:t>
            </w:r>
          </w:p>
        </w:tc>
      </w:tr>
      <w:tr>
        <w:trPr>
          <w:cantSplit/>
        </w:trPr>
        <w:tc>
          <w:tcPr>
            <w:tcW w:w="709" w:type="dxa"/>
            <w:tcBorders>
              <w:top w:val="nil"/>
              <w:bottom w:val="nil"/>
            </w:tcBorders>
          </w:tcPr>
          <w:p>
            <w:pPr>
              <w:pStyle w:val="yTableNAm"/>
              <w:jc w:val="center"/>
            </w:pPr>
          </w:p>
        </w:tc>
        <w:tc>
          <w:tcPr>
            <w:tcW w:w="3118" w:type="dxa"/>
            <w:tcBorders>
              <w:top w:val="nil"/>
              <w:bottom w:val="nil"/>
            </w:tcBorders>
          </w:tcPr>
          <w:p>
            <w:pPr>
              <w:pStyle w:val="yTableNAm"/>
              <w:tabs>
                <w:tab w:val="clear" w:pos="567"/>
                <w:tab w:val="left" w:pos="317"/>
              </w:tabs>
              <w:ind w:left="742" w:hanging="742"/>
            </w:pPr>
            <w:r>
              <w:tab/>
              <w:t>(b)</w:t>
            </w:r>
            <w:r>
              <w:tab/>
              <w:t>provided within 4 days after the day on which the fee is paid; or</w:t>
            </w:r>
          </w:p>
        </w:tc>
        <w:tc>
          <w:tcPr>
            <w:tcW w:w="1559" w:type="dxa"/>
            <w:tcBorders>
              <w:top w:val="nil"/>
              <w:bottom w:val="nil"/>
            </w:tcBorders>
          </w:tcPr>
          <w:p>
            <w:pPr>
              <w:pStyle w:val="yTableNAm"/>
              <w:tabs>
                <w:tab w:val="clear" w:pos="567"/>
              </w:tabs>
              <w:jc w:val="center"/>
              <w:rPr>
                <w:szCs w:val="22"/>
              </w:rPr>
            </w:pPr>
            <w:r>
              <w:rPr>
                <w:szCs w:val="22"/>
              </w:rPr>
              <w:br/>
              <w:t xml:space="preserve">19.10 plus </w:t>
            </w:r>
            <w:r>
              <w:rPr>
                <w:szCs w:val="22"/>
              </w:rPr>
              <w:br/>
              <w:t>6.80 per page</w:t>
            </w:r>
          </w:p>
        </w:tc>
        <w:tc>
          <w:tcPr>
            <w:tcW w:w="1560" w:type="dxa"/>
            <w:tcBorders>
              <w:top w:val="nil"/>
              <w:bottom w:val="nil"/>
            </w:tcBorders>
          </w:tcPr>
          <w:p>
            <w:pPr>
              <w:pStyle w:val="yTableNAm"/>
              <w:tabs>
                <w:tab w:val="clear" w:pos="567"/>
              </w:tabs>
              <w:jc w:val="center"/>
              <w:rPr>
                <w:szCs w:val="22"/>
              </w:rPr>
            </w:pPr>
            <w:r>
              <w:rPr>
                <w:szCs w:val="22"/>
              </w:rPr>
              <w:br/>
              <w:t xml:space="preserve">5.70 plus </w:t>
            </w:r>
            <w:r>
              <w:rPr>
                <w:szCs w:val="22"/>
              </w:rPr>
              <w:br/>
              <w:t>2.05 per page</w:t>
            </w:r>
          </w:p>
        </w:tc>
      </w:tr>
      <w:tr>
        <w:trPr>
          <w:cantSplit/>
        </w:trPr>
        <w:tc>
          <w:tcPr>
            <w:tcW w:w="709" w:type="dxa"/>
            <w:tcBorders>
              <w:top w:val="nil"/>
              <w:bottom w:val="nil"/>
            </w:tcBorders>
          </w:tcPr>
          <w:p>
            <w:pPr>
              <w:pStyle w:val="yTableNAm"/>
              <w:jc w:val="center"/>
            </w:pPr>
          </w:p>
        </w:tc>
        <w:tc>
          <w:tcPr>
            <w:tcW w:w="3118" w:type="dxa"/>
            <w:tcBorders>
              <w:top w:val="nil"/>
              <w:bottom w:val="nil"/>
            </w:tcBorders>
          </w:tcPr>
          <w:p>
            <w:pPr>
              <w:pStyle w:val="yTableNAm"/>
              <w:tabs>
                <w:tab w:val="clear" w:pos="567"/>
                <w:tab w:val="left" w:pos="317"/>
              </w:tabs>
              <w:ind w:left="742" w:hanging="742"/>
            </w:pPr>
            <w:r>
              <w:tab/>
              <w:t>(c)</w:t>
            </w:r>
            <w:r>
              <w:tab/>
              <w:t>provided within 7 days after the day on which the fee is paid</w:t>
            </w:r>
          </w:p>
        </w:tc>
        <w:tc>
          <w:tcPr>
            <w:tcW w:w="1559" w:type="dxa"/>
            <w:tcBorders>
              <w:top w:val="nil"/>
              <w:bottom w:val="nil"/>
            </w:tcBorders>
          </w:tcPr>
          <w:p>
            <w:pPr>
              <w:pStyle w:val="yTableNAm"/>
              <w:tabs>
                <w:tab w:val="clear" w:pos="567"/>
              </w:tabs>
              <w:jc w:val="center"/>
            </w:pPr>
            <w:r>
              <w:rPr>
                <w:szCs w:val="22"/>
              </w:rPr>
              <w:br/>
              <w:t xml:space="preserve">19.10 plus </w:t>
            </w:r>
            <w:r>
              <w:rPr>
                <w:szCs w:val="22"/>
              </w:rPr>
              <w:br/>
              <w:t>6.55 per page</w:t>
            </w:r>
          </w:p>
        </w:tc>
        <w:tc>
          <w:tcPr>
            <w:tcW w:w="1560" w:type="dxa"/>
            <w:tcBorders>
              <w:top w:val="nil"/>
              <w:bottom w:val="nil"/>
            </w:tcBorders>
          </w:tcPr>
          <w:p>
            <w:pPr>
              <w:pStyle w:val="yTableNAm"/>
              <w:tabs>
                <w:tab w:val="clear" w:pos="567"/>
              </w:tabs>
              <w:jc w:val="center"/>
            </w:pPr>
            <w:r>
              <w:rPr>
                <w:szCs w:val="22"/>
              </w:rPr>
              <w:br/>
              <w:t xml:space="preserve">5.70 plus </w:t>
            </w:r>
            <w:r>
              <w:rPr>
                <w:szCs w:val="22"/>
              </w:rPr>
              <w:br/>
              <w:t>2.00 per page</w:t>
            </w:r>
          </w:p>
        </w:tc>
      </w:tr>
      <w:tr>
        <w:trPr>
          <w:cantSplit/>
        </w:trPr>
        <w:tc>
          <w:tcPr>
            <w:tcW w:w="709" w:type="dxa"/>
            <w:tcBorders>
              <w:top w:val="nil"/>
              <w:bottom w:val="nil"/>
            </w:tcBorders>
          </w:tcPr>
          <w:p>
            <w:pPr>
              <w:pStyle w:val="yTableNAm"/>
              <w:jc w:val="center"/>
            </w:pPr>
            <w:r>
              <w:t>5.</w:t>
            </w:r>
          </w:p>
        </w:tc>
        <w:tc>
          <w:tcPr>
            <w:tcW w:w="3118"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1559" w:type="dxa"/>
            <w:tcBorders>
              <w:top w:val="nil"/>
              <w:bottom w:val="nil"/>
            </w:tcBorders>
          </w:tcPr>
          <w:p>
            <w:pPr>
              <w:pStyle w:val="yTableNAm"/>
              <w:jc w:val="center"/>
              <w:rPr>
                <w:szCs w:val="22"/>
              </w:rPr>
            </w:pPr>
            <w:r>
              <w:rPr>
                <w:szCs w:val="22"/>
              </w:rPr>
              <w:br/>
            </w:r>
            <w:r>
              <w:rPr>
                <w:szCs w:val="22"/>
              </w:rPr>
              <w:br/>
            </w:r>
            <w:r>
              <w:rPr>
                <w:szCs w:val="22"/>
              </w:rPr>
              <w:br/>
            </w:r>
            <w:r>
              <w:rPr>
                <w:szCs w:val="22"/>
              </w:rPr>
              <w:br/>
            </w:r>
            <w:r>
              <w:rPr>
                <w:szCs w:val="22"/>
              </w:rPr>
              <w:br/>
            </w:r>
            <w:r>
              <w:rPr>
                <w:szCs w:val="22"/>
              </w:rPr>
              <w:br/>
              <w:t>19.95</w:t>
            </w:r>
          </w:p>
        </w:tc>
        <w:tc>
          <w:tcPr>
            <w:tcW w:w="1560" w:type="dxa"/>
            <w:tcBorders>
              <w:top w:val="nil"/>
              <w:bottom w:val="nil"/>
            </w:tcBorders>
          </w:tcPr>
          <w:p>
            <w:pPr>
              <w:pStyle w:val="yTableNAm"/>
              <w:jc w:val="center"/>
              <w:rPr>
                <w:szCs w:val="22"/>
              </w:rPr>
            </w:pPr>
            <w:r>
              <w:rPr>
                <w:szCs w:val="22"/>
              </w:rPr>
              <w:br/>
            </w:r>
            <w:r>
              <w:rPr>
                <w:szCs w:val="22"/>
              </w:rPr>
              <w:br/>
            </w:r>
            <w:r>
              <w:rPr>
                <w:szCs w:val="22"/>
              </w:rPr>
              <w:br/>
            </w:r>
            <w:r>
              <w:rPr>
                <w:szCs w:val="22"/>
              </w:rPr>
              <w:br/>
            </w:r>
            <w:r>
              <w:rPr>
                <w:szCs w:val="22"/>
              </w:rPr>
              <w:br/>
            </w:r>
            <w:r>
              <w:rPr>
                <w:szCs w:val="22"/>
              </w:rPr>
              <w:br/>
              <w:t>6.00</w:t>
            </w:r>
          </w:p>
        </w:tc>
      </w:tr>
      <w:tr>
        <w:trPr>
          <w:cantSplit/>
        </w:trPr>
        <w:tc>
          <w:tcPr>
            <w:tcW w:w="709" w:type="dxa"/>
            <w:tcBorders>
              <w:top w:val="nil"/>
              <w:bottom w:val="single" w:sz="4" w:space="0" w:color="auto"/>
            </w:tcBorders>
          </w:tcPr>
          <w:p>
            <w:pPr>
              <w:pStyle w:val="yTableNAm"/>
              <w:jc w:val="center"/>
            </w:pPr>
            <w:r>
              <w:t>6.</w:t>
            </w:r>
          </w:p>
        </w:tc>
        <w:tc>
          <w:tcPr>
            <w:tcW w:w="3118"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1559" w:type="dxa"/>
            <w:tcBorders>
              <w:top w:val="nil"/>
              <w:bottom w:val="single" w:sz="4" w:space="0" w:color="auto"/>
            </w:tcBorders>
          </w:tcPr>
          <w:p>
            <w:pPr>
              <w:pStyle w:val="yTableNAm"/>
              <w:jc w:val="center"/>
              <w:rPr>
                <w:szCs w:val="22"/>
              </w:rPr>
            </w:pPr>
            <w:r>
              <w:rPr>
                <w:szCs w:val="22"/>
              </w:rPr>
              <w:br/>
            </w:r>
            <w:r>
              <w:rPr>
                <w:szCs w:val="22"/>
              </w:rPr>
              <w:br/>
            </w:r>
            <w:r>
              <w:rPr>
                <w:szCs w:val="22"/>
              </w:rPr>
              <w:br/>
            </w:r>
            <w:r>
              <w:rPr>
                <w:szCs w:val="22"/>
              </w:rPr>
              <w:br/>
            </w:r>
            <w:r>
              <w:rPr>
                <w:szCs w:val="22"/>
              </w:rPr>
              <w:br/>
            </w:r>
            <w:r>
              <w:rPr>
                <w:szCs w:val="22"/>
              </w:rPr>
              <w:br/>
              <w:t>1.95</w:t>
            </w:r>
          </w:p>
        </w:tc>
        <w:tc>
          <w:tcPr>
            <w:tcW w:w="1560" w:type="dxa"/>
            <w:tcBorders>
              <w:top w:val="nil"/>
              <w:bottom w:val="single" w:sz="4" w:space="0" w:color="auto"/>
            </w:tcBorders>
          </w:tcPr>
          <w:p>
            <w:pPr>
              <w:pStyle w:val="yTableNAm"/>
              <w:jc w:val="center"/>
              <w:rPr>
                <w:szCs w:val="22"/>
              </w:rPr>
            </w:pPr>
            <w:r>
              <w:rPr>
                <w:szCs w:val="22"/>
              </w:rPr>
              <w:br/>
            </w:r>
            <w:r>
              <w:rPr>
                <w:szCs w:val="22"/>
              </w:rPr>
              <w:br/>
            </w:r>
            <w:r>
              <w:rPr>
                <w:szCs w:val="22"/>
              </w:rPr>
              <w:br/>
            </w:r>
            <w:r>
              <w:rPr>
                <w:szCs w:val="22"/>
              </w:rPr>
              <w:br/>
            </w:r>
            <w:r>
              <w:rPr>
                <w:szCs w:val="22"/>
              </w:rPr>
              <w:br/>
            </w:r>
            <w:r>
              <w:rPr>
                <w:szCs w:val="22"/>
              </w:rPr>
              <w:br/>
              <w:t>0.55</w:t>
            </w:r>
          </w:p>
        </w:tc>
      </w:tr>
    </w:tbl>
    <w:p>
      <w:pPr>
        <w:pStyle w:val="yFootnotesection"/>
      </w:pPr>
      <w:r>
        <w:tab/>
        <w:t>[Schedule 3 inserted in Gazette 7 Jul 2017 p. 3737</w:t>
      </w:r>
      <w:r>
        <w:noBreakHyphen/>
        <w:t>9.]</w:t>
      </w:r>
    </w:p>
    <w:bookmarkEnd w:id="53"/>
    <w:bookmarkEnd w:id="54"/>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55" w:name="_Toc474421083"/>
      <w:bookmarkStart w:id="56" w:name="_Toc487187939"/>
      <w:bookmarkStart w:id="57" w:name="_Toc487190021"/>
      <w:r>
        <w:t>Notes</w:t>
      </w:r>
      <w:bookmarkEnd w:id="39"/>
      <w:bookmarkEnd w:id="40"/>
      <w:bookmarkEnd w:id="55"/>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  The table also contains information about any reprint.</w:t>
      </w:r>
    </w:p>
    <w:p>
      <w:pPr>
        <w:pStyle w:val="nHeading3"/>
      </w:pPr>
      <w:bookmarkStart w:id="58" w:name="_Toc487190022"/>
      <w:r>
        <w:t>Compilation table</w:t>
      </w:r>
      <w:bookmarkEnd w:id="5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9"/>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rFonts w:ascii="Times" w:hAnsi="Times"/>
              </w:rPr>
            </w:pPr>
            <w:r>
              <w:rPr>
                <w:rFonts w:ascii="Times" w:hAnsi="Times"/>
                <w:i/>
              </w:rPr>
              <w:t>Coroners Regulations 1997</w:t>
            </w:r>
          </w:p>
        </w:tc>
        <w:tc>
          <w:tcPr>
            <w:tcW w:w="1276" w:type="dxa"/>
            <w:tcBorders>
              <w:top w:val="single" w:sz="8" w:space="0" w:color="auto"/>
            </w:tcBorders>
          </w:tcPr>
          <w:p>
            <w:pPr>
              <w:pStyle w:val="nTable"/>
              <w:spacing w:after="40"/>
              <w:rPr>
                <w:rFonts w:ascii="Times" w:hAnsi="Times"/>
              </w:rPr>
            </w:pPr>
            <w:r>
              <w:rPr>
                <w:rFonts w:ascii="Times" w:hAnsi="Times"/>
              </w:rPr>
              <w:t>18 Mar 1997 p. 1551</w:t>
            </w:r>
            <w:r>
              <w:rPr>
                <w:rFonts w:ascii="Times" w:hAnsi="Times"/>
              </w:rPr>
              <w:noBreakHyphen/>
              <w:t>74</w:t>
            </w:r>
          </w:p>
        </w:tc>
        <w:tc>
          <w:tcPr>
            <w:tcW w:w="2694" w:type="dxa"/>
            <w:gridSpan w:val="2"/>
            <w:tcBorders>
              <w:top w:val="single" w:sz="8" w:space="0" w:color="auto"/>
            </w:tcBorders>
          </w:tcPr>
          <w:p>
            <w:pPr>
              <w:pStyle w:val="nTable"/>
              <w:spacing w:after="40"/>
              <w:rPr>
                <w:rFonts w:ascii="Times" w:hAnsi="Times"/>
              </w:rPr>
            </w:pPr>
            <w:r>
              <w:rPr>
                <w:rFonts w:ascii="Times" w:hAnsi="Times"/>
              </w:rPr>
              <w:t xml:space="preserve">7 Apr 1997 (see r. 2 and </w:t>
            </w:r>
            <w:r>
              <w:rPr>
                <w:rFonts w:ascii="Times" w:hAnsi="Times"/>
                <w:i/>
              </w:rPr>
              <w:t>Gazette</w:t>
            </w:r>
            <w:r>
              <w:rPr>
                <w:rFonts w:ascii="Times" w:hAnsi="Times"/>
              </w:rPr>
              <w:t xml:space="preserve"> 18 Mar 1997 p. 1529)</w:t>
            </w:r>
          </w:p>
        </w:tc>
      </w:tr>
      <w:tr>
        <w:tc>
          <w:tcPr>
            <w:tcW w:w="3118" w:type="dxa"/>
          </w:tcPr>
          <w:p>
            <w:pPr>
              <w:pStyle w:val="nTable"/>
              <w:spacing w:after="40"/>
              <w:rPr>
                <w:rFonts w:ascii="Times" w:hAnsi="Times"/>
              </w:rPr>
            </w:pPr>
            <w:r>
              <w:rPr>
                <w:rFonts w:ascii="Times" w:hAnsi="Times"/>
                <w:i/>
              </w:rPr>
              <w:t>Equality of Status Subsidiary Legislation Amendment Regulations 2003</w:t>
            </w:r>
            <w:r>
              <w:rPr>
                <w:rFonts w:ascii="Times" w:hAnsi="Times"/>
              </w:rPr>
              <w:t xml:space="preserve"> Pt. 10</w:t>
            </w:r>
          </w:p>
        </w:tc>
        <w:tc>
          <w:tcPr>
            <w:tcW w:w="1276" w:type="dxa"/>
          </w:tcPr>
          <w:p>
            <w:pPr>
              <w:pStyle w:val="nTable"/>
              <w:spacing w:after="40"/>
              <w:rPr>
                <w:rFonts w:ascii="Times" w:hAnsi="Times"/>
              </w:rPr>
            </w:pPr>
            <w:r>
              <w:rPr>
                <w:rFonts w:ascii="Times" w:hAnsi="Times"/>
              </w:rPr>
              <w:t>30 Jun 2003 p. 2581</w:t>
            </w:r>
            <w:r>
              <w:rPr>
                <w:rFonts w:ascii="Times" w:hAnsi="Times"/>
              </w:rPr>
              <w:noBreakHyphen/>
              <w:t>638</w:t>
            </w:r>
          </w:p>
        </w:tc>
        <w:tc>
          <w:tcPr>
            <w:tcW w:w="2694" w:type="dxa"/>
            <w:gridSpan w:val="2"/>
          </w:tcPr>
          <w:p>
            <w:pPr>
              <w:pStyle w:val="nTable"/>
              <w:spacing w:after="40"/>
              <w:rPr>
                <w:rFonts w:ascii="Times" w:hAnsi="Times"/>
              </w:rPr>
            </w:pPr>
            <w:r>
              <w:rPr>
                <w:rFonts w:ascii="Times" w:hAnsi="Times"/>
              </w:rPr>
              <w:t xml:space="preserve">1 Jul 2003 (see r. 2 and </w:t>
            </w:r>
            <w:r>
              <w:rPr>
                <w:rFonts w:ascii="Times" w:hAnsi="Times"/>
                <w:i/>
              </w:rPr>
              <w:t xml:space="preserve">Gazette </w:t>
            </w:r>
            <w:r>
              <w:rPr>
                <w:rFonts w:ascii="Times" w:hAnsi="Times"/>
              </w:rPr>
              <w:t>30 Jun 2003 p. 2579)</w:t>
            </w:r>
          </w:p>
        </w:tc>
      </w:tr>
      <w:tr>
        <w:trPr>
          <w:cantSplit/>
        </w:trPr>
        <w:tc>
          <w:tcPr>
            <w:tcW w:w="7088" w:type="dxa"/>
            <w:gridSpan w:val="4"/>
          </w:tcPr>
          <w:p>
            <w:pPr>
              <w:pStyle w:val="nTable"/>
              <w:spacing w:after="40"/>
              <w:rPr>
                <w:rFonts w:ascii="Times" w:hAnsi="Times"/>
              </w:rPr>
            </w:pPr>
            <w:r>
              <w:rPr>
                <w:rFonts w:ascii="Times" w:hAnsi="Times"/>
                <w:b/>
              </w:rPr>
              <w:t xml:space="preserve">Reprint 1: The </w:t>
            </w:r>
            <w:r>
              <w:rPr>
                <w:rFonts w:ascii="Times" w:hAnsi="Times"/>
                <w:b/>
                <w:i/>
              </w:rPr>
              <w:t>Coroners Regulations 1997</w:t>
            </w:r>
            <w:r>
              <w:rPr>
                <w:rFonts w:ascii="Times" w:hAnsi="Times"/>
                <w:b/>
              </w:rPr>
              <w:t xml:space="preserve"> as at 16 Jan 2004</w:t>
            </w:r>
            <w:r>
              <w:rPr>
                <w:rFonts w:ascii="Times" w:hAnsi="Times"/>
              </w:rPr>
              <w:t xml:space="preserve"> (includes amendments listed above)</w:t>
            </w:r>
          </w:p>
        </w:tc>
      </w:tr>
      <w:tr>
        <w:tc>
          <w:tcPr>
            <w:tcW w:w="3118" w:type="dxa"/>
          </w:tcPr>
          <w:p>
            <w:pPr>
              <w:pStyle w:val="nTable"/>
              <w:spacing w:after="40"/>
              <w:rPr>
                <w:rFonts w:ascii="Times" w:hAnsi="Times"/>
                <w:iCs/>
              </w:rPr>
            </w:pPr>
            <w:r>
              <w:rPr>
                <w:rFonts w:ascii="Times" w:hAnsi="Times"/>
                <w:i/>
              </w:rPr>
              <w:t>Courts and Legal Practice (Consequential Amendments) Regulations 2005</w:t>
            </w:r>
            <w:r>
              <w:rPr>
                <w:rFonts w:ascii="Times" w:hAnsi="Times"/>
                <w:iCs/>
              </w:rPr>
              <w:t xml:space="preserve"> r. 3</w:t>
            </w:r>
          </w:p>
        </w:tc>
        <w:tc>
          <w:tcPr>
            <w:tcW w:w="1276" w:type="dxa"/>
          </w:tcPr>
          <w:p>
            <w:pPr>
              <w:pStyle w:val="nTable"/>
              <w:spacing w:after="40"/>
              <w:rPr>
                <w:rFonts w:ascii="Times" w:hAnsi="Times"/>
              </w:rPr>
            </w:pPr>
            <w:r>
              <w:rPr>
                <w:rFonts w:ascii="Times" w:hAnsi="Times"/>
              </w:rPr>
              <w:t>19 Apr 2005 p. 1294</w:t>
            </w:r>
            <w:r>
              <w:rPr>
                <w:rFonts w:ascii="Times" w:hAnsi="Times"/>
              </w:rPr>
              <w:noBreakHyphen/>
              <w:t>302</w:t>
            </w:r>
          </w:p>
        </w:tc>
        <w:tc>
          <w:tcPr>
            <w:tcW w:w="2694" w:type="dxa"/>
            <w:gridSpan w:val="2"/>
          </w:tcPr>
          <w:p>
            <w:pPr>
              <w:pStyle w:val="nTable"/>
              <w:spacing w:after="40"/>
              <w:rPr>
                <w:rFonts w:ascii="Times" w:hAnsi="Times"/>
              </w:rPr>
            </w:pPr>
            <w:r>
              <w:rPr>
                <w:rFonts w:ascii="Times" w:hAnsi="Times"/>
              </w:rPr>
              <w:t>19 Apr 2005</w:t>
            </w:r>
          </w:p>
        </w:tc>
      </w:tr>
      <w:tr>
        <w:tc>
          <w:tcPr>
            <w:tcW w:w="3118" w:type="dxa"/>
          </w:tcPr>
          <w:p>
            <w:pPr>
              <w:pStyle w:val="nTable"/>
              <w:spacing w:after="40"/>
              <w:rPr>
                <w:rFonts w:ascii="Times" w:hAnsi="Times"/>
                <w:i/>
              </w:rPr>
            </w:pPr>
            <w:r>
              <w:rPr>
                <w:rFonts w:ascii="Times" w:hAnsi="Times"/>
                <w:i/>
              </w:rPr>
              <w:t>Coroners Amendment Regulations 2008</w:t>
            </w:r>
          </w:p>
        </w:tc>
        <w:tc>
          <w:tcPr>
            <w:tcW w:w="1276" w:type="dxa"/>
          </w:tcPr>
          <w:p>
            <w:pPr>
              <w:pStyle w:val="nTable"/>
              <w:spacing w:after="40"/>
              <w:rPr>
                <w:rFonts w:ascii="Times" w:hAnsi="Times"/>
              </w:rPr>
            </w:pPr>
            <w:r>
              <w:rPr>
                <w:rFonts w:ascii="Times" w:hAnsi="Times"/>
              </w:rPr>
              <w:t>11 Mar 2008 p. 816</w:t>
            </w:r>
          </w:p>
        </w:tc>
        <w:tc>
          <w:tcPr>
            <w:tcW w:w="2694" w:type="dxa"/>
            <w:gridSpan w:val="2"/>
          </w:tcPr>
          <w:p>
            <w:pPr>
              <w:pStyle w:val="nTable"/>
              <w:spacing w:after="40"/>
              <w:rPr>
                <w:rFonts w:ascii="Times" w:hAnsi="Times"/>
              </w:rPr>
            </w:pPr>
            <w:r>
              <w:rPr>
                <w:rFonts w:ascii="Times" w:hAnsi="Times"/>
                <w:snapToGrid w:val="0"/>
              </w:rPr>
              <w:t>r. 1 and 2: 11 Mar 2008 (see r. 2(a));</w:t>
            </w:r>
            <w:r>
              <w:rPr>
                <w:rFonts w:ascii="Times" w:hAnsi="Times"/>
                <w:snapToGrid w:val="0"/>
              </w:rPr>
              <w:br/>
              <w:t>Regulations other than r. 1 and 2: 12 Mar 2008 (see r. 2(b))</w:t>
            </w:r>
          </w:p>
        </w:tc>
      </w:tr>
      <w:tr>
        <w:tc>
          <w:tcPr>
            <w:tcW w:w="3118" w:type="dxa"/>
          </w:tcPr>
          <w:p>
            <w:pPr>
              <w:pStyle w:val="nTable"/>
              <w:spacing w:after="40"/>
              <w:rPr>
                <w:rFonts w:ascii="Times" w:hAnsi="Times"/>
                <w:i/>
              </w:rPr>
            </w:pPr>
            <w:r>
              <w:rPr>
                <w:rFonts w:ascii="Times" w:hAnsi="Times"/>
                <w:i/>
              </w:rPr>
              <w:t>Coroners Amendment Regulations 2009</w:t>
            </w:r>
          </w:p>
        </w:tc>
        <w:tc>
          <w:tcPr>
            <w:tcW w:w="1276" w:type="dxa"/>
          </w:tcPr>
          <w:p>
            <w:pPr>
              <w:pStyle w:val="nTable"/>
              <w:spacing w:after="40"/>
              <w:rPr>
                <w:rFonts w:ascii="Times" w:hAnsi="Times"/>
              </w:rPr>
            </w:pPr>
            <w:r>
              <w:rPr>
                <w:rFonts w:ascii="Times" w:hAnsi="Times"/>
              </w:rPr>
              <w:t>4 Sep 2009 p. 3491</w:t>
            </w:r>
            <w:r>
              <w:rPr>
                <w:rFonts w:ascii="Times" w:hAnsi="Times"/>
              </w:rPr>
              <w:noBreakHyphen/>
              <w:t>3</w:t>
            </w:r>
          </w:p>
        </w:tc>
        <w:tc>
          <w:tcPr>
            <w:tcW w:w="2694" w:type="dxa"/>
            <w:gridSpan w:val="2"/>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rPr>
          <w:cantSplit/>
        </w:trPr>
        <w:tc>
          <w:tcPr>
            <w:tcW w:w="7088" w:type="dxa"/>
            <w:gridSpan w:val="4"/>
          </w:tcPr>
          <w:p>
            <w:pPr>
              <w:pStyle w:val="nTable"/>
              <w:spacing w:after="40"/>
              <w:rPr>
                <w:rFonts w:ascii="Times" w:hAnsi="Times"/>
                <w:snapToGrid w:val="0"/>
              </w:rPr>
            </w:pPr>
            <w:r>
              <w:rPr>
                <w:rFonts w:ascii="Times" w:hAnsi="Times"/>
                <w:b/>
              </w:rPr>
              <w:t xml:space="preserve">Reprint 2: The </w:t>
            </w:r>
            <w:r>
              <w:rPr>
                <w:rFonts w:ascii="Times" w:hAnsi="Times"/>
                <w:b/>
                <w:i/>
              </w:rPr>
              <w:t>Coroners Regulations 1997</w:t>
            </w:r>
            <w:r>
              <w:rPr>
                <w:rFonts w:ascii="Times" w:hAnsi="Times"/>
                <w:b/>
              </w:rPr>
              <w:t xml:space="preserve"> as at 6 Nov 2009</w:t>
            </w:r>
            <w:r>
              <w:rPr>
                <w:rFonts w:ascii="Times" w:hAnsi="Times"/>
              </w:rPr>
              <w:t xml:space="preserve"> (includes amendments listed above)</w:t>
            </w:r>
          </w:p>
        </w:tc>
      </w:tr>
      <w:tr>
        <w:tc>
          <w:tcPr>
            <w:tcW w:w="3118" w:type="dxa"/>
          </w:tcPr>
          <w:p>
            <w:pPr>
              <w:pStyle w:val="nTable"/>
              <w:spacing w:after="40"/>
              <w:rPr>
                <w:rFonts w:ascii="Times" w:hAnsi="Times"/>
                <w:i/>
              </w:rPr>
            </w:pPr>
            <w:r>
              <w:rPr>
                <w:rFonts w:ascii="Times" w:hAnsi="Times"/>
                <w:i/>
              </w:rPr>
              <w:t>Coroners Amendment Regulations 2011</w:t>
            </w:r>
          </w:p>
        </w:tc>
        <w:tc>
          <w:tcPr>
            <w:tcW w:w="1276" w:type="dxa"/>
          </w:tcPr>
          <w:p>
            <w:pPr>
              <w:pStyle w:val="nTable"/>
              <w:spacing w:after="40"/>
              <w:rPr>
                <w:rFonts w:ascii="Times" w:hAnsi="Times"/>
              </w:rPr>
            </w:pPr>
            <w:r>
              <w:rPr>
                <w:rFonts w:ascii="Times" w:hAnsi="Times"/>
              </w:rPr>
              <w:t>8 Mar 2011 p. 799</w:t>
            </w:r>
            <w:r>
              <w:rPr>
                <w:rFonts w:ascii="Times" w:hAnsi="Times"/>
              </w:rPr>
              <w:noBreakHyphen/>
              <w:t>800</w:t>
            </w:r>
          </w:p>
        </w:tc>
        <w:tc>
          <w:tcPr>
            <w:tcW w:w="2694" w:type="dxa"/>
            <w:gridSpan w:val="2"/>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Coroners Amendment Regulations (No. 2) 2011</w:t>
            </w:r>
          </w:p>
        </w:tc>
        <w:tc>
          <w:tcPr>
            <w:tcW w:w="1276" w:type="dxa"/>
          </w:tcPr>
          <w:p>
            <w:pPr>
              <w:pStyle w:val="nTable"/>
              <w:spacing w:after="40"/>
              <w:rPr>
                <w:rFonts w:ascii="Times" w:hAnsi="Times"/>
              </w:rPr>
            </w:pPr>
            <w:r>
              <w:rPr>
                <w:rFonts w:ascii="Times" w:hAnsi="Times"/>
              </w:rPr>
              <w:t>20 Dec 2011 p. 5392</w:t>
            </w:r>
            <w:r>
              <w:rPr>
                <w:rFonts w:ascii="Times" w:hAnsi="Times"/>
              </w:rPr>
              <w:noBreakHyphen/>
              <w:t>3</w:t>
            </w:r>
          </w:p>
        </w:tc>
        <w:tc>
          <w:tcPr>
            <w:tcW w:w="2694" w:type="dxa"/>
            <w:gridSpan w:val="2"/>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Coroners Amendment Regulations 2012</w:t>
            </w:r>
          </w:p>
        </w:tc>
        <w:tc>
          <w:tcPr>
            <w:tcW w:w="1276" w:type="dxa"/>
          </w:tcPr>
          <w:p>
            <w:pPr>
              <w:pStyle w:val="nTable"/>
              <w:spacing w:after="40"/>
              <w:rPr>
                <w:rFonts w:ascii="Times" w:hAnsi="Times"/>
              </w:rPr>
            </w:pPr>
            <w:r>
              <w:rPr>
                <w:rFonts w:ascii="Times" w:hAnsi="Times"/>
              </w:rPr>
              <w:t>30 Nov 2012 p. 5801</w:t>
            </w:r>
          </w:p>
        </w:tc>
        <w:tc>
          <w:tcPr>
            <w:tcW w:w="2694"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keepNext/>
              <w:spacing w:after="40"/>
              <w:rPr>
                <w:rFonts w:ascii="Times" w:hAnsi="Times"/>
                <w:i/>
              </w:rPr>
            </w:pPr>
            <w:r>
              <w:rPr>
                <w:rFonts w:ascii="Times" w:hAnsi="Times"/>
                <w:i/>
              </w:rPr>
              <w:t>Coroners Amendment Regulations (No. 2) 2012</w:t>
            </w:r>
          </w:p>
        </w:tc>
        <w:tc>
          <w:tcPr>
            <w:tcW w:w="1276" w:type="dxa"/>
          </w:tcPr>
          <w:p>
            <w:pPr>
              <w:pStyle w:val="nTable"/>
              <w:keepNext/>
              <w:spacing w:after="40"/>
              <w:rPr>
                <w:rFonts w:ascii="Times" w:hAnsi="Times"/>
              </w:rPr>
            </w:pPr>
            <w:r>
              <w:rPr>
                <w:rFonts w:ascii="Times" w:hAnsi="Times"/>
              </w:rPr>
              <w:t>12 Feb 2013 p. 921-2</w:t>
            </w:r>
          </w:p>
        </w:tc>
        <w:tc>
          <w:tcPr>
            <w:tcW w:w="2694" w:type="dxa"/>
            <w:gridSpan w:val="2"/>
          </w:tcPr>
          <w:p>
            <w:pPr>
              <w:pStyle w:val="nTable"/>
              <w:keepNext/>
              <w:spacing w:after="40"/>
              <w:rPr>
                <w:rFonts w:ascii="Times" w:hAnsi="Times"/>
                <w:snapToGrid w:val="0"/>
              </w:rPr>
            </w:pPr>
            <w:r>
              <w:rPr>
                <w:rFonts w:ascii="Times" w:hAnsi="Times"/>
                <w:snapToGrid w:val="0"/>
              </w:rPr>
              <w:t>r. 1 and 2: 12 Feb 2013 (see r. 2(a));</w:t>
            </w:r>
            <w:r>
              <w:rPr>
                <w:rFonts w:ascii="Times" w:hAnsi="Times"/>
                <w:snapToGrid w:val="0"/>
              </w:rPr>
              <w:br/>
              <w:t>Regulations other than r. 1 and 2: 13 Feb 2013 (see r. 2(b))</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2013</w:t>
            </w:r>
          </w:p>
        </w:tc>
        <w:tc>
          <w:tcPr>
            <w:tcW w:w="1276" w:type="dxa"/>
            <w:shd w:val="clear" w:color="auto" w:fill="auto"/>
          </w:tcPr>
          <w:p>
            <w:pPr>
              <w:pStyle w:val="nTable"/>
              <w:keepNext/>
              <w:spacing w:after="40"/>
              <w:rPr>
                <w:rFonts w:ascii="Times" w:hAnsi="Times"/>
              </w:rPr>
            </w:pPr>
            <w:r>
              <w:rPr>
                <w:rFonts w:ascii="Times" w:hAnsi="Times"/>
              </w:rPr>
              <w:t>15 Nov 2013 p. 5252</w:t>
            </w:r>
            <w:r>
              <w:rPr>
                <w:rFonts w:ascii="Times" w:hAnsi="Times"/>
              </w:rPr>
              <w:noBreakHyphen/>
              <w:t>3</w:t>
            </w:r>
          </w:p>
        </w:tc>
        <w:tc>
          <w:tcPr>
            <w:tcW w:w="2694" w:type="dxa"/>
            <w:gridSpan w:val="2"/>
            <w:shd w:val="clear" w:color="auto" w:fill="auto"/>
          </w:tcPr>
          <w:p>
            <w:pPr>
              <w:pStyle w:val="nTable"/>
              <w:keepNext/>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2(b)(ii))</w:t>
            </w:r>
          </w:p>
        </w:tc>
      </w:tr>
      <w:tr>
        <w:tc>
          <w:tcPr>
            <w:tcW w:w="7088" w:type="dxa"/>
            <w:gridSpan w:val="4"/>
            <w:shd w:val="clear" w:color="auto" w:fill="auto"/>
          </w:tcPr>
          <w:p>
            <w:pPr>
              <w:pStyle w:val="nTable"/>
              <w:keepNext/>
              <w:spacing w:after="40"/>
              <w:rPr>
                <w:rFonts w:ascii="Times" w:hAnsi="Times"/>
                <w:bCs/>
                <w:snapToGrid w:val="0"/>
              </w:rPr>
            </w:pPr>
            <w:r>
              <w:rPr>
                <w:rFonts w:ascii="Times" w:hAnsi="Times"/>
                <w:b/>
              </w:rPr>
              <w:t xml:space="preserve">Reprint 3: The </w:t>
            </w:r>
            <w:r>
              <w:rPr>
                <w:rFonts w:ascii="Times" w:hAnsi="Times"/>
                <w:b/>
                <w:i/>
              </w:rPr>
              <w:t>Coroners Regulations 1997</w:t>
            </w:r>
            <w:r>
              <w:rPr>
                <w:rFonts w:ascii="Times" w:hAnsi="Times"/>
                <w:b/>
              </w:rPr>
              <w:t xml:space="preserve"> as at 23 May 2014</w:t>
            </w:r>
            <w:r>
              <w:rPr>
                <w:rFonts w:ascii="Times" w:hAnsi="Times"/>
              </w:rPr>
              <w:t xml:space="preserve"> (includes amendments listed above)</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(No. 2) 2014</w:t>
            </w:r>
          </w:p>
        </w:tc>
        <w:tc>
          <w:tcPr>
            <w:tcW w:w="1276" w:type="dxa"/>
            <w:shd w:val="clear" w:color="auto" w:fill="auto"/>
          </w:tcPr>
          <w:p>
            <w:pPr>
              <w:pStyle w:val="nTable"/>
              <w:keepNext/>
              <w:spacing w:after="40"/>
              <w:rPr>
                <w:rFonts w:ascii="Times" w:hAnsi="Times"/>
              </w:rPr>
            </w:pPr>
            <w:r>
              <w:rPr>
                <w:rFonts w:ascii="Times" w:hAnsi="Times"/>
              </w:rPr>
              <w:t>27 Jun 2014 p. 2337</w:t>
            </w:r>
          </w:p>
        </w:tc>
        <w:tc>
          <w:tcPr>
            <w:tcW w:w="2694" w:type="dxa"/>
            <w:gridSpan w:val="2"/>
            <w:shd w:val="clear" w:color="auto" w:fill="auto"/>
          </w:tcPr>
          <w:p>
            <w:pPr>
              <w:pStyle w:val="nTable"/>
              <w:keepNext/>
              <w:spacing w:after="40"/>
              <w:rPr>
                <w:rFonts w:ascii="Times" w:hAnsi="Time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2015</w:t>
            </w:r>
          </w:p>
        </w:tc>
        <w:tc>
          <w:tcPr>
            <w:tcW w:w="1276" w:type="dxa"/>
            <w:shd w:val="clear" w:color="auto" w:fill="auto"/>
          </w:tcPr>
          <w:p>
            <w:pPr>
              <w:pStyle w:val="nTable"/>
              <w:keepNext/>
              <w:spacing w:after="40"/>
              <w:rPr>
                <w:rFonts w:ascii="Times" w:hAnsi="Times"/>
              </w:rPr>
            </w:pPr>
            <w:r>
              <w:rPr>
                <w:rFonts w:ascii="Times" w:hAnsi="Times"/>
              </w:rPr>
              <w:t>19 Jun 2015 p. 2118</w:t>
            </w:r>
            <w:r>
              <w:rPr>
                <w:rFonts w:ascii="Times" w:hAnsi="Times"/>
              </w:rPr>
              <w:noBreakHyphen/>
              <w:t>19</w:t>
            </w:r>
          </w:p>
        </w:tc>
        <w:tc>
          <w:tcPr>
            <w:tcW w:w="2694" w:type="dxa"/>
            <w:gridSpan w:val="2"/>
            <w:shd w:val="clear" w:color="auto" w:fill="auto"/>
          </w:tcPr>
          <w:p>
            <w:pPr>
              <w:pStyle w:val="nTable"/>
              <w:keepNext/>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keepNext/>
              <w:spacing w:after="40"/>
              <w:rPr>
                <w:rFonts w:ascii="Times" w:hAnsi="Times"/>
                <w:i/>
              </w:rPr>
            </w:pPr>
            <w:r>
              <w:rPr>
                <w:i/>
              </w:rPr>
              <w:t>Attorney General Regulations Amendment (Fees) Regulations 2016</w:t>
            </w:r>
            <w:r>
              <w:t xml:space="preserve"> Pt. 4</w:t>
            </w:r>
          </w:p>
        </w:tc>
        <w:tc>
          <w:tcPr>
            <w:tcW w:w="1276" w:type="dxa"/>
            <w:shd w:val="clear" w:color="auto" w:fill="auto"/>
          </w:tcPr>
          <w:p>
            <w:pPr>
              <w:pStyle w:val="nTable"/>
              <w:keepNext/>
              <w:spacing w:after="40"/>
              <w:rPr>
                <w:rFonts w:ascii="Times" w:hAnsi="Times"/>
              </w:rPr>
            </w:pPr>
            <w:r>
              <w:t>14 Jun 2016 p. 1849</w:t>
            </w:r>
            <w:r>
              <w:noBreakHyphen/>
              <w:t>986</w:t>
            </w:r>
          </w:p>
        </w:tc>
        <w:tc>
          <w:tcPr>
            <w:tcW w:w="2694" w:type="dxa"/>
            <w:gridSpan w:val="2"/>
            <w:shd w:val="clear" w:color="auto" w:fill="auto"/>
          </w:tcPr>
          <w:p>
            <w:pPr>
              <w:pStyle w:val="nTable"/>
              <w:keepNext/>
              <w:spacing w:after="40"/>
              <w:rPr>
                <w:rFonts w:ascii="Times" w:hAnsi="Times"/>
                <w:bCs/>
                <w:snapToGrid w:val="0"/>
              </w:rPr>
            </w:pPr>
            <w:r>
              <w:t>4 Jul 2016 (see r. 2(b))</w:t>
            </w:r>
          </w:p>
        </w:tc>
      </w:tr>
      <w:tr>
        <w:trPr>
          <w:gridAfter w:val="1"/>
          <w:wAfter w:w="29" w:type="dxa"/>
        </w:trPr>
        <w:tc>
          <w:tcPr>
            <w:tcW w:w="3118" w:type="dxa"/>
            <w:tcBorders>
              <w:bottom w:val="single" w:sz="4" w:space="0" w:color="auto"/>
            </w:tcBorders>
            <w:shd w:val="clear" w:color="auto" w:fill="auto"/>
          </w:tcPr>
          <w:p>
            <w:pPr>
              <w:pStyle w:val="nTable"/>
              <w:spacing w:after="40"/>
            </w:pPr>
            <w:r>
              <w:rPr>
                <w:i/>
              </w:rPr>
              <w:t xml:space="preserve">Attorney General Regulations Amendment (Fees and Charges) Regulations 2017 </w:t>
            </w:r>
            <w:r>
              <w:t>Pt. 4</w:t>
            </w:r>
          </w:p>
        </w:tc>
        <w:tc>
          <w:tcPr>
            <w:tcW w:w="1276" w:type="dxa"/>
            <w:tcBorders>
              <w:bottom w:val="single" w:sz="4" w:space="0" w:color="auto"/>
            </w:tcBorders>
            <w:shd w:val="clear" w:color="auto" w:fill="auto"/>
          </w:tcPr>
          <w:p>
            <w:pPr>
              <w:pStyle w:val="nTable"/>
              <w:spacing w:after="40"/>
            </w:pPr>
            <w:r>
              <w:t>7 Jul 2017 p. 3721</w:t>
            </w:r>
            <w:r>
              <w:noBreakHyphen/>
              <w:t>98</w:t>
            </w:r>
          </w:p>
        </w:tc>
        <w:tc>
          <w:tcPr>
            <w:tcW w:w="2693" w:type="dxa"/>
            <w:tcBorders>
              <w:bottom w:val="single" w:sz="4" w:space="0" w:color="auto"/>
            </w:tcBorders>
            <w:shd w:val="clear" w:color="auto" w:fill="auto"/>
          </w:tcPr>
          <w:p>
            <w:pPr>
              <w:pStyle w:val="nTable"/>
              <w:spacing w:after="40"/>
            </w:pPr>
            <w:r>
              <w:rPr>
                <w:bCs/>
                <w:snapToGrid w:val="0"/>
              </w:rPr>
              <w:t>8 Jul 2017</w:t>
            </w:r>
            <w:r>
              <w:rPr>
                <w:rFonts w:ascii="Times" w:hAnsi="Times"/>
                <w:bCs/>
                <w:snapToGrid w:val="0"/>
                <w:spacing w:val="-2"/>
              </w:rPr>
              <w:t xml:space="preserve"> (see r. 2(b)(ii))</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60" w:name="_Toc474332285"/>
      <w:bookmarkStart w:id="61" w:name="_Toc474332371"/>
      <w:bookmarkStart w:id="62" w:name="_Toc474421085"/>
      <w:bookmarkStart w:id="63" w:name="_Toc487187941"/>
      <w:bookmarkStart w:id="64" w:name="_Toc487190023"/>
      <w:r>
        <w:rPr>
          <w:sz w:val="28"/>
        </w:rPr>
        <w:t>Defined terms</w:t>
      </w:r>
      <w:bookmarkEnd w:id="60"/>
      <w:bookmarkEnd w:id="61"/>
      <w:bookmarkEnd w:id="62"/>
      <w:bookmarkEnd w:id="63"/>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3A</w:t>
      </w:r>
    </w:p>
    <w:p>
      <w:pPr>
        <w:pStyle w:val="DefinedTerms"/>
      </w:pPr>
      <w:r>
        <w:t>fee</w:t>
      </w:r>
      <w:r>
        <w:tab/>
        <w:t>3A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41" w:name="Schedule"/>
    <w:bookmarkEnd w:id="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 w:name="Coversheet"/>
    <w:bookmarkEnd w:id="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8154101"/>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5180</Words>
  <Characters>27662</Characters>
  <Application>Microsoft Office Word</Application>
  <DocSecurity>0</DocSecurity>
  <Lines>1024</Lines>
  <Paragraphs>631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1997 - 03-f0-00</dc:title>
  <dc:subject/>
  <dc:creator/>
  <cp:keywords/>
  <dc:description/>
  <cp:lastModifiedBy>svcMRProcess</cp:lastModifiedBy>
  <cp:revision>4</cp:revision>
  <cp:lastPrinted>2014-05-19T03:28:00Z</cp:lastPrinted>
  <dcterms:created xsi:type="dcterms:W3CDTF">2017-07-07T05:09:00Z</dcterms:created>
  <dcterms:modified xsi:type="dcterms:W3CDTF">2017-07-07T05:09:00Z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AsAtDate">
    <vt:lpwstr>08 Jul 2017</vt:lpwstr>
  </property>
  <property fmtid="{D5CDD505-2E9C-101B-9397-08002B2CF9AE}" pid="8" name="Suffix">
    <vt:lpwstr>03-f0-00</vt:lpwstr>
  </property>
  <property fmtid="{D5CDD505-2E9C-101B-9397-08002B2CF9AE}" pid="9" name="CommencementDate">
    <vt:lpwstr>20170708</vt:lpwstr>
  </property>
</Properties>
</file>