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_Toc487189945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_Toc487189946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_Toc487189947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_Toc487189948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_Toc487189949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_Toc487189950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_Toc487189951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_Toc487189952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_Toc487189953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_Toc487189954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_Toc487189955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_Toc487189956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_Toc487189957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_Toc487189958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Conventions</w:t>
      </w:r>
      <w:r>
        <w:tab/>
      </w:r>
      <w:r>
        <w:fldChar w:fldCharType="begin"/>
      </w:r>
      <w:r>
        <w:instrText xml:space="preserve"> PAGEREF _Toc487189959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_Toc487189960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_Toc487189961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_Toc487189962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_Toc487189963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_Toc487189964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_Toc487189969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487189945"/>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487189946"/>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487189947"/>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487189948"/>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451756161"/>
      <w:bookmarkStart w:id="8" w:name="_Toc487189949"/>
      <w:r>
        <w:rPr>
          <w:rStyle w:val="CharSectno"/>
        </w:rPr>
        <w:t>4A</w:t>
      </w:r>
      <w:r>
        <w:t>.</w:t>
      </w:r>
      <w:r>
        <w:tab/>
        <w:t>Fees for small businesses and non</w:t>
      </w:r>
      <w:r>
        <w:noBreakHyphen/>
        <w:t>profit associations</w:t>
      </w:r>
      <w:bookmarkEnd w:id="7"/>
      <w:bookmarkEnd w:id="8"/>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9" w:name="_Toc487189950"/>
      <w:r>
        <w:rPr>
          <w:rStyle w:val="CharSectno"/>
        </w:rPr>
        <w:t>5</w:t>
      </w:r>
      <w:r>
        <w:rPr>
          <w:snapToGrid w:val="0"/>
        </w:rPr>
        <w:t>.</w:t>
      </w:r>
      <w:r>
        <w:rPr>
          <w:snapToGrid w:val="0"/>
        </w:rPr>
        <w:tab/>
        <w:t>Exemptions</w:t>
      </w:r>
      <w:bookmarkEnd w:id="9"/>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0" w:name="_Toc487189951"/>
      <w:r>
        <w:t>5A.</w:t>
      </w:r>
      <w:r>
        <w:tab/>
        <w:t>Disputes regarding fees</w:t>
      </w:r>
      <w:bookmarkEnd w:id="10"/>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1" w:name="_Toc487189952"/>
      <w:r>
        <w:rPr>
          <w:rStyle w:val="CharSectno"/>
        </w:rPr>
        <w:t>6</w:t>
      </w:r>
      <w:r>
        <w:rPr>
          <w:snapToGrid w:val="0"/>
        </w:rPr>
        <w:t>.</w:t>
      </w:r>
      <w:r>
        <w:rPr>
          <w:snapToGrid w:val="0"/>
        </w:rPr>
        <w:tab/>
      </w:r>
      <w:r>
        <w:rPr>
          <w:rStyle w:val="CharSectno"/>
        </w:rPr>
        <w:t>F</w:t>
      </w:r>
      <w:r>
        <w:rPr>
          <w:snapToGrid w:val="0"/>
        </w:rPr>
        <w:t>ees to be paid before documents etc. filed</w:t>
      </w:r>
      <w:bookmarkEnd w:id="11"/>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2" w:name="_Toc451756165"/>
      <w:bookmarkStart w:id="13" w:name="_Toc487189953"/>
      <w:r>
        <w:rPr>
          <w:rStyle w:val="CharSectno"/>
        </w:rPr>
        <w:t>7</w:t>
      </w:r>
      <w:r>
        <w:t>.</w:t>
      </w:r>
      <w:r>
        <w:tab/>
        <w:t>Who is an eligible individual or eligible entity</w:t>
      </w:r>
      <w:bookmarkEnd w:id="12"/>
      <w:bookmarkEnd w:id="1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14" w:name="_Toc451756166"/>
      <w:bookmarkStart w:id="15" w:name="_Toc487189954"/>
      <w:r>
        <w:rPr>
          <w:rStyle w:val="CharSectno"/>
        </w:rPr>
        <w:t>8</w:t>
      </w:r>
      <w:r>
        <w:t>.</w:t>
      </w:r>
      <w:r>
        <w:tab/>
        <w:t>Application to be recognised as eligible individual or eligible entity</w:t>
      </w:r>
      <w:bookmarkEnd w:id="14"/>
      <w:bookmarkEnd w:id="15"/>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16" w:name="_Toc451756167"/>
      <w:bookmarkStart w:id="17" w:name="_Toc487189955"/>
      <w:r>
        <w:rPr>
          <w:rStyle w:val="CharSectno"/>
        </w:rPr>
        <w:t>8A</w:t>
      </w:r>
      <w:r>
        <w:t>.</w:t>
      </w:r>
      <w:r>
        <w:tab/>
        <w:t>Recognition as eligible individual or eligible entity</w:t>
      </w:r>
      <w:bookmarkEnd w:id="16"/>
      <w:bookmarkEnd w:id="1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18" w:name="_Toc451756168"/>
      <w:bookmarkStart w:id="19" w:name="_Toc487189956"/>
      <w:r>
        <w:rPr>
          <w:rStyle w:val="CharSectno"/>
        </w:rPr>
        <w:t>8B</w:t>
      </w:r>
      <w:r>
        <w:t>.</w:t>
      </w:r>
      <w:r>
        <w:tab/>
        <w:t>False or misleading statements</w:t>
      </w:r>
      <w:bookmarkEnd w:id="18"/>
      <w:bookmarkEnd w:id="1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20" w:name="_Toc451756169"/>
      <w:bookmarkStart w:id="21" w:name="_Toc487189957"/>
      <w:r>
        <w:rPr>
          <w:rStyle w:val="CharSectno"/>
        </w:rPr>
        <w:t>8C</w:t>
      </w:r>
      <w:r>
        <w:t>.</w:t>
      </w:r>
      <w:r>
        <w:tab/>
        <w:t>Refunds</w:t>
      </w:r>
      <w:bookmarkEnd w:id="20"/>
      <w:bookmarkEnd w:id="21"/>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22" w:name="_Toc451756170"/>
      <w:bookmarkStart w:id="23" w:name="_Toc487189958"/>
      <w:r>
        <w:rPr>
          <w:rStyle w:val="CharSectno"/>
        </w:rPr>
        <w:t>8D</w:t>
      </w:r>
      <w:r>
        <w:t>.</w:t>
      </w:r>
      <w:r>
        <w:tab/>
        <w:t>Waiving fee for copy of document or transcript</w:t>
      </w:r>
      <w:bookmarkEnd w:id="22"/>
      <w:bookmarkEnd w:id="23"/>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rPr>
          <w:snapToGrid w:val="0"/>
        </w:rPr>
      </w:pPr>
      <w:bookmarkStart w:id="24" w:name="_Toc487189959"/>
      <w:r>
        <w:rPr>
          <w:rStyle w:val="CharSectno"/>
        </w:rPr>
        <w:t>8</w:t>
      </w:r>
      <w:r>
        <w:rPr>
          <w:snapToGrid w:val="0"/>
        </w:rPr>
        <w:t>.</w:t>
      </w:r>
      <w:r>
        <w:rPr>
          <w:snapToGrid w:val="0"/>
        </w:rPr>
        <w:tab/>
        <w:t>Conventions</w:t>
      </w:r>
      <w:bookmarkEnd w:id="24"/>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5" w:name="_Toc487189960"/>
      <w:r>
        <w:t>9.</w:t>
      </w:r>
      <w:r>
        <w:tab/>
        <w:t>Allocation of hearing date — Schedule 1 item 6</w:t>
      </w:r>
      <w:bookmarkEnd w:id="25"/>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6" w:name="_Toc487189961"/>
      <w:r>
        <w:rPr>
          <w:rStyle w:val="CharSectno"/>
        </w:rPr>
        <w:t>10</w:t>
      </w:r>
      <w:r>
        <w:t>.</w:t>
      </w:r>
      <w:r>
        <w:tab/>
        <w:t>Schedule 1 item 7 fee</w:t>
      </w:r>
      <w:bookmarkEnd w:id="2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7" w:name="_Toc487189962"/>
      <w:r>
        <w:t>11.</w:t>
      </w:r>
      <w:r>
        <w:tab/>
        <w:t>Recovery of unpaid fees</w:t>
      </w:r>
      <w:bookmarkEnd w:id="2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8" w:name="_Toc487189963"/>
      <w:r>
        <w:t>11A.</w:t>
      </w:r>
      <w:r>
        <w:tab/>
        <w:t>Searchable information</w:t>
      </w:r>
      <w:bookmarkEnd w:id="2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29" w:name="_Toc487189964"/>
      <w:r>
        <w:rPr>
          <w:rStyle w:val="CharSectno"/>
        </w:rPr>
        <w:t>12</w:t>
      </w:r>
      <w:r>
        <w:t>.</w:t>
      </w:r>
      <w:r>
        <w:tab/>
        <w:t>Transitional</w:t>
      </w:r>
      <w:bookmarkEnd w:id="29"/>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0" w:name="_Toc484597463"/>
      <w:bookmarkStart w:id="31" w:name="_Toc484597516"/>
      <w:bookmarkStart w:id="32" w:name="_Toc484598069"/>
      <w:bookmarkStart w:id="33" w:name="_Toc484598122"/>
      <w:bookmarkStart w:id="34" w:name="_Toc484787483"/>
      <w:bookmarkStart w:id="35" w:name="_Toc487188233"/>
      <w:bookmarkStart w:id="36" w:name="_Toc487189965"/>
      <w:bookmarkStart w:id="37" w:name="_Toc451256172"/>
      <w:bookmarkStart w:id="38" w:name="_Toc451256301"/>
      <w:bookmarkStart w:id="39" w:name="_Toc451333806"/>
      <w:bookmarkStart w:id="40" w:name="_Toc451343586"/>
      <w:bookmarkStart w:id="41" w:name="_Toc451352158"/>
      <w:bookmarkStart w:id="42" w:name="_Toc451756173"/>
      <w:bookmarkStart w:id="43" w:name="_Toc455068418"/>
      <w:bookmarkStart w:id="44" w:name="_Toc455569351"/>
      <w:bookmarkStart w:id="45" w:name="_Toc461184581"/>
      <w:r>
        <w:rPr>
          <w:rStyle w:val="CharSchNo"/>
        </w:rPr>
        <w:t>Schedule 1</w:t>
      </w:r>
      <w:r>
        <w:t> — </w:t>
      </w:r>
      <w:r>
        <w:rPr>
          <w:rStyle w:val="CharSchText"/>
        </w:rPr>
        <w:t>Registry fees</w:t>
      </w:r>
      <w:bookmarkEnd w:id="30"/>
      <w:bookmarkEnd w:id="31"/>
      <w:bookmarkEnd w:id="32"/>
      <w:bookmarkEnd w:id="33"/>
      <w:bookmarkEnd w:id="34"/>
      <w:bookmarkEnd w:id="35"/>
      <w:bookmarkEnd w:id="36"/>
    </w:p>
    <w:p>
      <w:pPr>
        <w:pStyle w:val="zyShoulderClause"/>
      </w:pPr>
      <w:r>
        <w:t>[r. 4]</w:t>
      </w:r>
    </w:p>
    <w:p>
      <w:pPr>
        <w:pStyle w:val="yFootnoteheading"/>
        <w:spacing w:after="60"/>
      </w:pPr>
      <w:r>
        <w:tab/>
        <w:t>[Heading inserted in Gazette 7 Jul 2017 p. 3740.]</w:t>
      </w:r>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r>
              <w:rPr>
                <w:szCs w:val="22"/>
              </w:rPr>
              <w:t>816.00</w:t>
            </w:r>
          </w:p>
        </w:tc>
        <w:tc>
          <w:tcPr>
            <w:tcW w:w="1276" w:type="dxa"/>
            <w:tcBorders>
              <w:top w:val="single" w:sz="4" w:space="0" w:color="auto"/>
            </w:tcBorders>
            <w:vAlign w:val="bottom"/>
          </w:tcPr>
          <w:p>
            <w:pPr>
              <w:pStyle w:val="yTableNAm"/>
              <w:keepNext/>
              <w:keepLines/>
              <w:rPr>
                <w:szCs w:val="22"/>
              </w:rPr>
            </w:pPr>
            <w:r>
              <w:rPr>
                <w:szCs w:val="22"/>
              </w:rPr>
              <w:t>1 592.00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r>
              <w:t>196.50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59.00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r>
              <w:t>119.00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35.70</w:t>
            </w:r>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r>
              <w:rPr>
                <w:szCs w:val="22"/>
              </w:rPr>
              <w:tab/>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r>
              <w:rPr>
                <w:szCs w:val="22"/>
              </w:rPr>
              <w:tab/>
              <w:t>(iii)</w:t>
            </w:r>
            <w:r>
              <w:rPr>
                <w:szCs w:val="22"/>
              </w:rPr>
              <w:tab/>
              <w:t>for leave to serve a writ or notice of a writ out of jurisdiction</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r>
              <w:t>462.00</w:t>
            </w:r>
          </w:p>
        </w:tc>
        <w:tc>
          <w:tcPr>
            <w:tcW w:w="1276" w:type="dxa"/>
            <w:vAlign w:val="bottom"/>
          </w:tcPr>
          <w:p>
            <w:pPr>
              <w:pStyle w:val="yTableNAm"/>
            </w:pPr>
            <w:r>
              <w:t>1 196.00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r>
              <w:t>358.00</w:t>
            </w:r>
          </w:p>
        </w:tc>
        <w:tc>
          <w:tcPr>
            <w:tcW w:w="1276" w:type="dxa"/>
            <w:vAlign w:val="bottom"/>
          </w:tcPr>
          <w:p>
            <w:pPr>
              <w:pStyle w:val="yTableNAm"/>
              <w:rPr>
                <w:szCs w:val="22"/>
              </w:rPr>
            </w:pPr>
            <w:r>
              <w:rPr>
                <w:szCs w:val="22"/>
              </w:rPr>
              <w:t>933.00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r>
              <w:t>716.00</w:t>
            </w:r>
          </w:p>
        </w:tc>
        <w:tc>
          <w:tcPr>
            <w:tcW w:w="1276" w:type="dxa"/>
            <w:vAlign w:val="bottom"/>
          </w:tcPr>
          <w:p>
            <w:pPr>
              <w:pStyle w:val="yTableNAm"/>
              <w:rPr>
                <w:szCs w:val="22"/>
              </w:rPr>
            </w:pPr>
            <w:r>
              <w:rPr>
                <w:szCs w:val="22"/>
              </w:rPr>
              <w:t>1 865.00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r>
              <w:t>716.00</w:t>
            </w:r>
          </w:p>
        </w:tc>
        <w:tc>
          <w:tcPr>
            <w:tcW w:w="1276" w:type="dxa"/>
            <w:vAlign w:val="bottom"/>
          </w:tcPr>
          <w:p>
            <w:pPr>
              <w:pStyle w:val="yTableNAm"/>
            </w:pPr>
            <w:r>
              <w:t>1 865.00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p>
        </w:tc>
        <w:tc>
          <w:tcPr>
            <w:tcW w:w="2588" w:type="dxa"/>
          </w:tcPr>
          <w:p>
            <w:pPr>
              <w:pStyle w:val="yTableNAm"/>
              <w:rPr>
                <w:szCs w:val="22"/>
              </w:rPr>
            </w:pPr>
            <w:r>
              <w:rPr>
                <w:szCs w:val="22"/>
              </w:rPr>
              <w:t>If the hearing of a matter to which item 8 applies is listed for more than 1 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r>
              <w:t>41.40</w:t>
            </w:r>
          </w:p>
        </w:tc>
        <w:tc>
          <w:tcPr>
            <w:tcW w:w="1276" w:type="dxa"/>
            <w:vAlign w:val="bottom"/>
          </w:tcPr>
          <w:p>
            <w:pPr>
              <w:pStyle w:val="yTableNAm"/>
            </w:pPr>
            <w:r>
              <w:t>41.40</w:t>
            </w:r>
          </w:p>
        </w:tc>
        <w:tc>
          <w:tcPr>
            <w:tcW w:w="1276" w:type="dxa"/>
            <w:vAlign w:val="bottom"/>
          </w:tcPr>
          <w:p>
            <w:pPr>
              <w:pStyle w:val="yTableNAm"/>
              <w:rPr>
                <w:szCs w:val="22"/>
              </w:rPr>
            </w:pPr>
            <w:r>
              <w:t>12.40</w:t>
            </w:r>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1.85</w:t>
            </w:r>
          </w:p>
        </w:tc>
        <w:tc>
          <w:tcPr>
            <w:tcW w:w="1276" w:type="dxa"/>
            <w:vAlign w:val="bottom"/>
          </w:tcPr>
          <w:p>
            <w:pPr>
              <w:pStyle w:val="yTableNAm"/>
            </w:pPr>
            <w:r>
              <w:t>1.85</w:t>
            </w:r>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1 877.00</w:t>
            </w:r>
          </w:p>
        </w:tc>
        <w:tc>
          <w:tcPr>
            <w:tcW w:w="1276" w:type="dxa"/>
            <w:vAlign w:val="bottom"/>
          </w:tcPr>
          <w:p>
            <w:pPr>
              <w:pStyle w:val="yTableNAm"/>
            </w:pPr>
            <w:r>
              <w:t>1 877.00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r>
              <w:t>61.00</w:t>
            </w:r>
          </w:p>
        </w:tc>
        <w:tc>
          <w:tcPr>
            <w:tcW w:w="1276" w:type="dxa"/>
            <w:vAlign w:val="bottom"/>
          </w:tcPr>
          <w:p>
            <w:pPr>
              <w:pStyle w:val="yTableNAm"/>
            </w:pPr>
            <w:r>
              <w:t>61.00</w:t>
            </w:r>
          </w:p>
        </w:tc>
        <w:tc>
          <w:tcPr>
            <w:tcW w:w="1276" w:type="dxa"/>
            <w:vAlign w:val="bottom"/>
          </w:tcPr>
          <w:p>
            <w:pPr>
              <w:pStyle w:val="yTableNAm"/>
              <w:rPr>
                <w:szCs w:val="22"/>
              </w:rPr>
            </w:pPr>
            <w:r>
              <w:t>18.30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1.70</w:t>
            </w:r>
          </w:p>
        </w:tc>
        <w:tc>
          <w:tcPr>
            <w:tcW w:w="1276" w:type="dxa"/>
            <w:vAlign w:val="bottom"/>
          </w:tcPr>
          <w:p>
            <w:pPr>
              <w:pStyle w:val="yTableNAm"/>
              <w:rPr>
                <w:szCs w:val="22"/>
              </w:rPr>
            </w:pPr>
            <w:r>
              <w:rPr>
                <w:szCs w:val="22"/>
              </w:rPr>
              <w:t>1.70</w:t>
            </w:r>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for each copy consisting of not more than 10 pages issued to a person not a party to the proceedings and for each copy in excess of 1 copy issued to a party to the proceedings</w:t>
            </w:r>
          </w:p>
          <w:p>
            <w:pPr>
              <w:pStyle w:val="yTableNAm"/>
              <w:tabs>
                <w:tab w:val="clear" w:pos="567"/>
                <w:tab w:val="left" w:pos="212"/>
                <w:tab w:val="left" w:pos="637"/>
              </w:tabs>
              <w:ind w:left="637" w:hanging="637"/>
              <w:rPr>
                <w:spacing w:val="-4"/>
                <w:szCs w:val="22"/>
              </w:rPr>
            </w:pPr>
            <w:r>
              <w:rPr>
                <w:szCs w:val="22"/>
              </w:rPr>
              <w:tab/>
            </w:r>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4.25</w:t>
            </w:r>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19.95</w:t>
            </w:r>
          </w:p>
        </w:tc>
        <w:tc>
          <w:tcPr>
            <w:tcW w:w="1276" w:type="dxa"/>
            <w:vAlign w:val="bottom"/>
          </w:tcPr>
          <w:p>
            <w:pPr>
              <w:pStyle w:val="yTableNAm"/>
            </w:pPr>
            <w:r>
              <w:t>19.95</w:t>
            </w:r>
          </w:p>
        </w:tc>
        <w:tc>
          <w:tcPr>
            <w:tcW w:w="1276" w:type="dxa"/>
            <w:vAlign w:val="bottom"/>
          </w:tcPr>
          <w:p>
            <w:pPr>
              <w:pStyle w:val="yTableNAm"/>
              <w:rPr>
                <w:szCs w:val="22"/>
              </w:rPr>
            </w:pPr>
            <w:r>
              <w:t>6.00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r>
              <w:t>39.20</w:t>
            </w:r>
          </w:p>
        </w:tc>
        <w:tc>
          <w:tcPr>
            <w:tcW w:w="1276" w:type="dxa"/>
            <w:vAlign w:val="bottom"/>
          </w:tcPr>
          <w:p>
            <w:pPr>
              <w:pStyle w:val="yTableNAm"/>
            </w:pPr>
            <w:r>
              <w:t>39.20</w:t>
            </w:r>
          </w:p>
        </w:tc>
        <w:tc>
          <w:tcPr>
            <w:tcW w:w="1276" w:type="dxa"/>
            <w:vAlign w:val="bottom"/>
          </w:tcPr>
          <w:p>
            <w:pPr>
              <w:pStyle w:val="yTableNAm"/>
              <w:rPr>
                <w:szCs w:val="22"/>
              </w:rPr>
            </w:pPr>
            <w:r>
              <w:t>11.80</w:t>
            </w:r>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provided within 1 day after the day on which the fee is paid</w:t>
            </w:r>
          </w:p>
        </w:tc>
        <w:tc>
          <w:tcPr>
            <w:tcW w:w="1275" w:type="dxa"/>
          </w:tcPr>
          <w:p>
            <w:pPr>
              <w:pStyle w:val="yTableNAm"/>
              <w:rPr>
                <w:szCs w:val="22"/>
              </w:rPr>
            </w:pPr>
            <w:r>
              <w:rPr>
                <w:szCs w:val="22"/>
              </w:rPr>
              <w:br/>
              <w:t>19.10 plus 7.85 per page</w:t>
            </w:r>
          </w:p>
        </w:tc>
        <w:tc>
          <w:tcPr>
            <w:tcW w:w="1276" w:type="dxa"/>
          </w:tcPr>
          <w:p>
            <w:pPr>
              <w:pStyle w:val="yTableNAm"/>
              <w:rPr>
                <w:szCs w:val="22"/>
              </w:rPr>
            </w:pPr>
            <w:r>
              <w:rPr>
                <w:szCs w:val="22"/>
              </w:rPr>
              <w:br/>
              <w:t>19.10 plus 15.70 per page</w:t>
            </w:r>
          </w:p>
        </w:tc>
        <w:tc>
          <w:tcPr>
            <w:tcW w:w="1276" w:type="dxa"/>
          </w:tcPr>
          <w:p>
            <w:pPr>
              <w:pStyle w:val="yTableNAm"/>
              <w:rPr>
                <w:szCs w:val="22"/>
              </w:rPr>
            </w:pPr>
            <w:r>
              <w:rPr>
                <w:szCs w:val="22"/>
              </w:rPr>
              <w:br/>
              <w:t xml:space="preserve">5.70 plus </w:t>
            </w:r>
            <w:r>
              <w:rPr>
                <w:szCs w:val="22"/>
              </w:rPr>
              <w:br/>
              <w:t>2.35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provided within 4 days after the day on which the fee is paid</w:t>
            </w:r>
          </w:p>
        </w:tc>
        <w:tc>
          <w:tcPr>
            <w:tcW w:w="1275" w:type="dxa"/>
          </w:tcPr>
          <w:p>
            <w:pPr>
              <w:pStyle w:val="yTableNAm"/>
              <w:rPr>
                <w:szCs w:val="22"/>
              </w:rPr>
            </w:pPr>
            <w:r>
              <w:rPr>
                <w:szCs w:val="22"/>
              </w:rPr>
              <w:br/>
              <w:t>19.10 plus 6.80 per page</w:t>
            </w:r>
          </w:p>
        </w:tc>
        <w:tc>
          <w:tcPr>
            <w:tcW w:w="1276" w:type="dxa"/>
          </w:tcPr>
          <w:p>
            <w:pPr>
              <w:pStyle w:val="yTableNAm"/>
              <w:rPr>
                <w:szCs w:val="22"/>
              </w:rPr>
            </w:pPr>
            <w:r>
              <w:rPr>
                <w:szCs w:val="22"/>
              </w:rPr>
              <w:br/>
              <w:t>19.10 plus 13.70 per page</w:t>
            </w:r>
          </w:p>
        </w:tc>
        <w:tc>
          <w:tcPr>
            <w:tcW w:w="1276" w:type="dxa"/>
          </w:tcPr>
          <w:p>
            <w:pPr>
              <w:pStyle w:val="yTableNAm"/>
              <w:rPr>
                <w:szCs w:val="22"/>
              </w:rPr>
            </w:pPr>
            <w:r>
              <w:rPr>
                <w:szCs w:val="22"/>
              </w:rPr>
              <w:br/>
              <w:t xml:space="preserve">5.70 plus </w:t>
            </w:r>
            <w:r>
              <w:rPr>
                <w:szCs w:val="22"/>
              </w:rPr>
              <w:br/>
              <w:t>2.05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(iii)</w:t>
            </w:r>
            <w:r>
              <w:rPr>
                <w:szCs w:val="22"/>
              </w:rPr>
              <w:tab/>
              <w:t>provided within 7 days after the day on which the fee is paid</w:t>
            </w:r>
          </w:p>
        </w:tc>
        <w:tc>
          <w:tcPr>
            <w:tcW w:w="1275" w:type="dxa"/>
          </w:tcPr>
          <w:p>
            <w:pPr>
              <w:pStyle w:val="yTableNAm"/>
              <w:rPr>
                <w:szCs w:val="22"/>
              </w:rPr>
            </w:pPr>
            <w:r>
              <w:rPr>
                <w:szCs w:val="22"/>
              </w:rPr>
              <w:br/>
              <w:t>19.10 plus 6.55 per page</w:t>
            </w:r>
          </w:p>
        </w:tc>
        <w:tc>
          <w:tcPr>
            <w:tcW w:w="1276" w:type="dxa"/>
          </w:tcPr>
          <w:p>
            <w:pPr>
              <w:pStyle w:val="yTableNAm"/>
              <w:rPr>
                <w:szCs w:val="22"/>
              </w:rPr>
            </w:pPr>
            <w:r>
              <w:rPr>
                <w:szCs w:val="22"/>
              </w:rPr>
              <w:br/>
              <w:t>19.10 plus</w:t>
            </w:r>
            <w:r>
              <w:rPr>
                <w:szCs w:val="22"/>
              </w:rPr>
              <w:br/>
              <w:t>13.05 per page</w:t>
            </w:r>
          </w:p>
        </w:tc>
        <w:tc>
          <w:tcPr>
            <w:tcW w:w="1276" w:type="dxa"/>
          </w:tcPr>
          <w:p>
            <w:pPr>
              <w:pStyle w:val="yTableNAm"/>
              <w:rPr>
                <w:szCs w:val="22"/>
              </w:rPr>
            </w:pPr>
            <w:r>
              <w:rPr>
                <w:szCs w:val="22"/>
              </w:rPr>
              <w:br/>
              <w:t xml:space="preserve">5.70 plus </w:t>
            </w:r>
            <w:r>
              <w:rPr>
                <w:szCs w:val="22"/>
              </w:rPr>
              <w:br/>
              <w:t>2.00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in electronic format</w:t>
            </w:r>
          </w:p>
        </w:tc>
        <w:tc>
          <w:tcPr>
            <w:tcW w:w="1275" w:type="dxa"/>
          </w:tcPr>
          <w:p>
            <w:pPr>
              <w:pStyle w:val="yTableNAm"/>
              <w:rPr>
                <w:szCs w:val="22"/>
              </w:rPr>
            </w:pPr>
            <w:r>
              <w:rPr>
                <w:szCs w:val="22"/>
              </w:rPr>
              <w:t>19.95 per copy</w:t>
            </w:r>
          </w:p>
        </w:tc>
        <w:tc>
          <w:tcPr>
            <w:tcW w:w="1276" w:type="dxa"/>
          </w:tcPr>
          <w:p>
            <w:pPr>
              <w:pStyle w:val="yTableNAm"/>
              <w:rPr>
                <w:szCs w:val="22"/>
              </w:rPr>
            </w:pPr>
            <w:r>
              <w:rPr>
                <w:szCs w:val="22"/>
              </w:rPr>
              <w:t>19.95 per copy</w:t>
            </w:r>
          </w:p>
        </w:tc>
        <w:tc>
          <w:tcPr>
            <w:tcW w:w="1276" w:type="dxa"/>
          </w:tcPr>
          <w:p>
            <w:pPr>
              <w:pStyle w:val="yTableNAm"/>
              <w:rPr>
                <w:szCs w:val="22"/>
              </w:rPr>
            </w:pPr>
            <w:r>
              <w:rPr>
                <w:szCs w:val="22"/>
              </w:rPr>
              <w:t>6.00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r>
              <w:rPr>
                <w:szCs w:val="22"/>
              </w:rPr>
              <w:tab/>
              <w:t>(ii)</w:t>
            </w:r>
            <w:r>
              <w:rPr>
                <w:szCs w:val="22"/>
              </w:rPr>
              <w:tab/>
              <w:t>paper copy</w:t>
            </w:r>
          </w:p>
        </w:tc>
        <w:tc>
          <w:tcPr>
            <w:tcW w:w="1275"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[Schedule 1 inserted in Gazette 7 Jul 2017 p. 3740</w:t>
      </w:r>
      <w:r>
        <w:noBreakHyphen/>
        <w:t>9.]</w:t>
      </w:r>
    </w:p>
    <w:p>
      <w:pPr>
        <w:pStyle w:val="yScheduleHeading"/>
      </w:pPr>
      <w:bookmarkStart w:id="46" w:name="_Toc455068419"/>
      <w:bookmarkStart w:id="47" w:name="_Toc455569352"/>
      <w:bookmarkStart w:id="48" w:name="_Toc461184582"/>
      <w:bookmarkStart w:id="49" w:name="_Toc487188234"/>
      <w:bookmarkStart w:id="50" w:name="_Toc487189966"/>
      <w:bookmarkEnd w:id="37"/>
      <w:bookmarkEnd w:id="38"/>
      <w:bookmarkEnd w:id="39"/>
      <w:bookmarkEnd w:id="40"/>
      <w:bookmarkEnd w:id="41"/>
      <w:bookmarkEnd w:id="42"/>
      <w:bookmarkEnd w:id="43"/>
      <w:bookmarkEnd w:id="44"/>
      <w:bookmarkEnd w:id="45"/>
      <w:r>
        <w:rPr>
          <w:rStyle w:val="CharSchNo"/>
        </w:rPr>
        <w:t>Schedule 2</w:t>
      </w:r>
      <w:r>
        <w:t> — </w:t>
      </w:r>
      <w:r>
        <w:rPr>
          <w:rStyle w:val="CharSchText"/>
        </w:rPr>
        <w:t>Sheriff’s fees</w:t>
      </w:r>
      <w:bookmarkEnd w:id="46"/>
      <w:bookmarkEnd w:id="47"/>
      <w:bookmarkEnd w:id="48"/>
      <w:bookmarkEnd w:id="49"/>
      <w:bookmarkEnd w:id="50"/>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34.50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t>71.50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2.05</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69.00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221.00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 7 Jul 2017 p. 3750.]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2" w:name="_Toc455068420"/>
      <w:bookmarkStart w:id="53" w:name="_Toc455569353"/>
      <w:bookmarkStart w:id="54" w:name="_Toc461184583"/>
      <w:bookmarkStart w:id="55" w:name="_Toc487188235"/>
      <w:bookmarkStart w:id="56" w:name="_Toc487189967"/>
      <w:r>
        <w:rPr>
          <w:rStyle w:val="CharSchNo"/>
        </w:rPr>
        <w:t>Schedule 3</w:t>
      </w:r>
      <w:r>
        <w:t xml:space="preserve"> — </w:t>
      </w:r>
      <w:r>
        <w:rPr>
          <w:rStyle w:val="CharSchText"/>
        </w:rPr>
        <w:t>Forms</w:t>
      </w:r>
      <w:bookmarkEnd w:id="52"/>
      <w:bookmarkEnd w:id="53"/>
      <w:bookmarkEnd w:id="54"/>
      <w:bookmarkEnd w:id="55"/>
      <w:bookmarkEnd w:id="56"/>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7" w:name="_Toc455068421"/>
      <w:bookmarkStart w:id="58" w:name="_Toc455569354"/>
      <w:bookmarkStart w:id="59" w:name="_Toc461184584"/>
      <w:bookmarkStart w:id="60" w:name="_Toc487188236"/>
      <w:bookmarkStart w:id="61" w:name="_Toc487189968"/>
      <w:r>
        <w:t>Notes</w:t>
      </w:r>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2" w:name="_Toc487189969"/>
      <w:r>
        <w:t>Compilation table</w:t>
      </w:r>
      <w:bookmarkEnd w:id="6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16"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16"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16"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18"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18"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29" w:type="dxa"/>
        </w:trPr>
        <w:tc>
          <w:tcPr>
            <w:tcW w:w="3123"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5</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64" w:name="_Toc455068423"/>
      <w:bookmarkStart w:id="65" w:name="_Toc455569356"/>
      <w:bookmarkStart w:id="66" w:name="_Toc461184586"/>
      <w:bookmarkStart w:id="67" w:name="_Toc487188238"/>
      <w:bookmarkStart w:id="68" w:name="_Toc487189970"/>
      <w:r>
        <w:rPr>
          <w:sz w:val="28"/>
        </w:rPr>
        <w:t>Defined terms</w:t>
      </w:r>
      <w:bookmarkEnd w:id="64"/>
      <w:bookmarkEnd w:id="65"/>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E8CE-7B8A-41D0-A16E-4EA708B5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7675</Words>
  <Characters>37151</Characters>
  <Application>Microsoft Office Word</Application>
  <DocSecurity>0</DocSecurity>
  <Lines>1769</Lines>
  <Paragraphs>1042</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2002 - 03-h0-00</dc:title>
  <dc:subject/>
  <dc:creator/>
  <cp:keywords/>
  <dc:description/>
  <cp:lastModifiedBy>svcMRProcess</cp:lastModifiedBy>
  <cp:revision>4</cp:revision>
  <cp:lastPrinted>2016-07-22T01:04:00Z</cp:lastPrinted>
  <dcterms:created xsi:type="dcterms:W3CDTF">2017-07-07T05:10:00Z</dcterms:created>
  <dcterms:modified xsi:type="dcterms:W3CDTF">2017-07-07T05:10:00Z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08 Jul 2017</vt:lpwstr>
  </property>
  <property fmtid="{D5CDD505-2E9C-101B-9397-08002B2CF9AE}" pid="8" name="Suffix">
    <vt:lpwstr>03-h0-00</vt:lpwstr>
  </property>
  <property fmtid="{D5CDD505-2E9C-101B-9397-08002B2CF9AE}" pid="9" name="CommencementDate">
    <vt:lpwstr>20170708</vt:lpwstr>
  </property>
</Properties>
</file>