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Pearling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Pearling (General)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Pearling (General)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_Toc487186616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_Toc487186617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_Toc487186618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w:t>
      </w:r>
    </w:p>
    <w:p>
      <w:pPr>
        <w:pStyle w:val="TOC8"/>
        <w:rPr>
          <w:rFonts w:asciiTheme="minorHAnsi" w:eastAsiaTheme="minorEastAsia" w:hAnsiTheme="minorHAnsi" w:cstheme="minorBidi"/>
          <w:szCs w:val="22"/>
        </w:rPr>
      </w:pPr>
      <w:r>
        <w:t>4.</w:t>
      </w:r>
      <w:r>
        <w:tab/>
        <w:t>Geocentric Datum of Australia (Act s. 4(1))</w:t>
      </w:r>
      <w:r>
        <w:tab/>
      </w:r>
      <w:r>
        <w:fldChar w:fldCharType="begin"/>
      </w:r>
      <w:r>
        <w:instrText xml:space="preserve"> PAGEREF _Toc487186620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Numbers of pearl oysters prescribed in respect of particular types of containers (Act s. 8(4))</w:t>
      </w:r>
      <w:r>
        <w:tab/>
      </w:r>
      <w:r>
        <w:fldChar w:fldCharType="begin"/>
      </w:r>
      <w:r>
        <w:instrText xml:space="preserve"> PAGEREF _Toc487186621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fees (Act s. 19, 22)</w:t>
      </w:r>
      <w:r>
        <w:tab/>
      </w:r>
      <w:r>
        <w:fldChar w:fldCharType="begin"/>
      </w:r>
      <w:r>
        <w:instrText xml:space="preserve"> PAGEREF _Toc487186622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prescribed in respect of holders of pearl divers’ licences (Act s. 26(2)(a))</w:t>
      </w:r>
      <w:r>
        <w:tab/>
      </w:r>
      <w:r>
        <w:fldChar w:fldCharType="begin"/>
      </w:r>
      <w:r>
        <w:instrText xml:space="preserve"> PAGEREF _Toc487186623 \h </w:instrText>
      </w:r>
      <w:r>
        <w:fldChar w:fldCharType="separate"/>
      </w:r>
      <w:r>
        <w:t>7</w:t>
      </w:r>
      <w:r>
        <w:fldChar w:fldCharType="end"/>
      </w:r>
    </w:p>
    <w:p>
      <w:pPr>
        <w:pStyle w:val="TOC8"/>
        <w:rPr>
          <w:rFonts w:asciiTheme="minorHAnsi" w:eastAsiaTheme="minorEastAsia" w:hAnsiTheme="minorHAnsi" w:cstheme="minorBidi"/>
          <w:szCs w:val="22"/>
        </w:rPr>
      </w:pPr>
      <w:r>
        <w:t>8.</w:t>
      </w:r>
      <w:r>
        <w:tab/>
        <w:t>Annual fees for certain licences (Act s. 27(1)(b))</w:t>
      </w:r>
      <w:r>
        <w:tab/>
      </w:r>
      <w:r>
        <w:fldChar w:fldCharType="begin"/>
      </w:r>
      <w:r>
        <w:instrText xml:space="preserve"> PAGEREF _Toc487186624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Transfers (Act s. 32)</w:t>
      </w:r>
      <w:r>
        <w:tab/>
      </w:r>
      <w:r>
        <w:fldChar w:fldCharType="begin"/>
      </w:r>
      <w:r>
        <w:instrText xml:space="preserve"> PAGEREF _Toc487186625 \h </w:instrText>
      </w:r>
      <w:r>
        <w:fldChar w:fldCharType="separate"/>
      </w:r>
      <w:r>
        <w:t>9</w:t>
      </w:r>
      <w:r>
        <w:fldChar w:fldCharType="end"/>
      </w:r>
    </w:p>
    <w:p>
      <w:pPr>
        <w:pStyle w:val="TOC8"/>
        <w:rPr>
          <w:rFonts w:asciiTheme="minorHAnsi" w:eastAsiaTheme="minorEastAsia" w:hAnsiTheme="minorHAnsi" w:cstheme="minorBidi"/>
          <w:szCs w:val="22"/>
        </w:rPr>
      </w:pPr>
      <w:r>
        <w:t>9A.</w:t>
      </w:r>
      <w:r>
        <w:tab/>
        <w:t>Payment by instalments (Act s. 27(1)(a))</w:t>
      </w:r>
      <w:r>
        <w:tab/>
      </w:r>
      <w:r>
        <w:fldChar w:fldCharType="begin"/>
      </w:r>
      <w:r>
        <w:instrText xml:space="preserve"> PAGEREF _Toc487186626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manner of sale of seized pearl oysters or pearl oyster spat (Act s. 55(1)(a), (b))</w:t>
      </w:r>
      <w:r>
        <w:tab/>
      </w:r>
      <w:r>
        <w:fldChar w:fldCharType="begin"/>
      </w:r>
      <w:r>
        <w:instrText xml:space="preserve"> PAGEREF _Toc487186627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Forms</w:t>
      </w:r>
    </w:p>
    <w:p>
      <w:pPr>
        <w:pStyle w:val="TOC8"/>
        <w:rPr>
          <w:rFonts w:asciiTheme="minorHAnsi" w:eastAsiaTheme="minorEastAsia" w:hAnsiTheme="minorHAnsi" w:cstheme="minorBidi"/>
          <w:szCs w:val="22"/>
        </w:rPr>
      </w:pPr>
      <w:r>
        <w:t>11</w:t>
      </w:r>
      <w:r>
        <w:rPr>
          <w:snapToGrid w:val="0"/>
        </w:rPr>
        <w:t>.</w:t>
      </w:r>
      <w:r>
        <w:rPr>
          <w:snapToGrid w:val="0"/>
        </w:rPr>
        <w:tab/>
      </w:r>
      <w:r>
        <w:t>Annual notice of intent</w:t>
      </w:r>
      <w:r>
        <w:tab/>
      </w:r>
      <w:r>
        <w:fldChar w:fldCharType="begin"/>
      </w:r>
      <w:r>
        <w:instrText xml:space="preserve"> PAGEREF _Toc487186629 \h </w:instrText>
      </w:r>
      <w:r>
        <w:fldChar w:fldCharType="separate"/>
      </w:r>
      <w:r>
        <w:t>12</w:t>
      </w:r>
      <w:r>
        <w:fldChar w:fldCharType="end"/>
      </w:r>
    </w:p>
    <w:p>
      <w:pPr>
        <w:pStyle w:val="TOC8"/>
        <w:rPr>
          <w:rFonts w:asciiTheme="minorHAnsi" w:eastAsiaTheme="minorEastAsia" w:hAnsiTheme="minorHAnsi" w:cstheme="minorBidi"/>
          <w:szCs w:val="22"/>
        </w:rPr>
      </w:pPr>
      <w:r>
        <w:t>12.</w:t>
      </w:r>
      <w:r>
        <w:tab/>
      </w:r>
      <w:r>
        <w:rPr>
          <w:snapToGrid w:val="0"/>
        </w:rPr>
        <w:t>Notice of pearling or hatchery activity</w:t>
      </w:r>
      <w:r>
        <w:tab/>
      </w:r>
      <w:r>
        <w:fldChar w:fldCharType="begin"/>
      </w:r>
      <w:r>
        <w:instrText xml:space="preserve"> PAGEREF _Toc487186630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Pearl oyster fishing daily log sheet</w:t>
      </w:r>
      <w:r>
        <w:tab/>
      </w:r>
      <w:r>
        <w:fldChar w:fldCharType="begin"/>
      </w:r>
      <w:r>
        <w:instrText xml:space="preserve"> PAGEREF _Toc487186631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Diver’s catch record log sheet</w:t>
      </w:r>
      <w:r>
        <w:tab/>
      </w:r>
      <w:r>
        <w:fldChar w:fldCharType="begin"/>
      </w:r>
      <w:r>
        <w:instrText xml:space="preserve"> PAGEREF _Toc487186632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Dump record log sheet</w:t>
      </w:r>
      <w:r>
        <w:tab/>
      </w:r>
      <w:r>
        <w:fldChar w:fldCharType="begin"/>
      </w:r>
      <w:r>
        <w:instrText xml:space="preserve"> PAGEREF _Toc487186633 \h </w:instrText>
      </w:r>
      <w:r>
        <w:fldChar w:fldCharType="separate"/>
      </w:r>
      <w:r>
        <w:t>14</w:t>
      </w:r>
      <w:r>
        <w:fldChar w:fldCharType="end"/>
      </w:r>
    </w:p>
    <w:p>
      <w:pPr>
        <w:pStyle w:val="TOC8"/>
        <w:rPr>
          <w:rFonts w:asciiTheme="minorHAnsi" w:eastAsiaTheme="minorEastAsia" w:hAnsiTheme="minorHAnsi" w:cstheme="minorBidi"/>
          <w:szCs w:val="22"/>
        </w:rPr>
      </w:pPr>
      <w:r>
        <w:t>16.</w:t>
      </w:r>
      <w:r>
        <w:tab/>
        <w:t>Transport log sheet</w:t>
      </w:r>
      <w:r>
        <w:tab/>
      </w:r>
      <w:r>
        <w:fldChar w:fldCharType="begin"/>
      </w:r>
      <w:r>
        <w:instrText xml:space="preserve"> PAGEREF _Toc487186634 \h </w:instrText>
      </w:r>
      <w:r>
        <w:fldChar w:fldCharType="separate"/>
      </w:r>
      <w:r>
        <w:t>15</w:t>
      </w:r>
      <w:r>
        <w:fldChar w:fldCharType="end"/>
      </w:r>
    </w:p>
    <w:p>
      <w:pPr>
        <w:pStyle w:val="TOC8"/>
        <w:rPr>
          <w:rFonts w:asciiTheme="minorHAnsi" w:eastAsiaTheme="minorEastAsia" w:hAnsiTheme="minorHAnsi" w:cstheme="minorBidi"/>
          <w:szCs w:val="22"/>
        </w:rPr>
      </w:pPr>
      <w:r>
        <w:t>17.</w:t>
      </w:r>
      <w:r>
        <w:tab/>
        <w:t>Transport (seeding) log sheet</w:t>
      </w:r>
      <w:r>
        <w:tab/>
      </w:r>
      <w:r>
        <w:fldChar w:fldCharType="begin"/>
      </w:r>
      <w:r>
        <w:instrText xml:space="preserve"> PAGEREF _Toc487186635 \h </w:instrText>
      </w:r>
      <w:r>
        <w:fldChar w:fldCharType="separate"/>
      </w:r>
      <w:r>
        <w:t>16</w:t>
      </w:r>
      <w:r>
        <w:fldChar w:fldCharType="end"/>
      </w:r>
    </w:p>
    <w:p>
      <w:pPr>
        <w:pStyle w:val="TOC8"/>
        <w:rPr>
          <w:rFonts w:asciiTheme="minorHAnsi" w:eastAsiaTheme="minorEastAsia" w:hAnsiTheme="minorHAnsi" w:cstheme="minorBidi"/>
          <w:szCs w:val="22"/>
        </w:rPr>
      </w:pPr>
      <w:r>
        <w:t>18.</w:t>
      </w:r>
      <w:r>
        <w:tab/>
      </w:r>
      <w:r>
        <w:rPr>
          <w:snapToGrid w:val="0"/>
        </w:rPr>
        <w:t>Pearl seeding log sheet</w:t>
      </w:r>
      <w:r>
        <w:tab/>
      </w:r>
      <w:r>
        <w:fldChar w:fldCharType="begin"/>
      </w:r>
      <w:r>
        <w:instrText xml:space="preserve"> PAGEREF _Toc487186636 \h </w:instrText>
      </w:r>
      <w:r>
        <w:fldChar w:fldCharType="separate"/>
      </w:r>
      <w:r>
        <w:t>16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r>
      <w:r>
        <w:t>Pearl oyster tag log sheet</w:t>
      </w:r>
      <w:r>
        <w:tab/>
      </w:r>
      <w:r>
        <w:fldChar w:fldCharType="begin"/>
      </w:r>
      <w:r>
        <w:instrText xml:space="preserve"> PAGEREF _Toc487186637 \h </w:instrText>
      </w:r>
      <w:r>
        <w:fldChar w:fldCharType="separate"/>
      </w:r>
      <w:r>
        <w:t>16</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Notice of settlement of spat</w:t>
      </w:r>
      <w:r>
        <w:tab/>
      </w:r>
      <w:r>
        <w:fldChar w:fldCharType="begin"/>
      </w:r>
      <w:r>
        <w:instrText xml:space="preserve"> PAGEREF _Toc487186638 \h </w:instrText>
      </w:r>
      <w:r>
        <w:fldChar w:fldCharType="separate"/>
      </w:r>
      <w:r>
        <w:t>17</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 xml:space="preserve">Nursery site </w:t>
      </w:r>
      <w:r>
        <w:t>stock</w:t>
      </w:r>
      <w:r>
        <w:rPr>
          <w:snapToGrid w:val="0"/>
        </w:rPr>
        <w:t xml:space="preserve"> report</w:t>
      </w:r>
      <w:r>
        <w:tab/>
      </w:r>
      <w:r>
        <w:fldChar w:fldCharType="begin"/>
      </w:r>
      <w:r>
        <w:instrText xml:space="preserve"> PAGEREF _Toc487186639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Completion of forms</w:t>
      </w:r>
      <w:r>
        <w:tab/>
      </w:r>
      <w:r>
        <w:fldChar w:fldCharType="begin"/>
      </w:r>
      <w:r>
        <w:instrText xml:space="preserve"> PAGEREF _Toc487186640 \h </w:instrText>
      </w:r>
      <w:r>
        <w:fldChar w:fldCharType="separate"/>
      </w:r>
      <w:r>
        <w:t>17</w:t>
      </w:r>
      <w:r>
        <w:fldChar w:fldCharType="end"/>
      </w:r>
    </w:p>
    <w:p>
      <w:pPr>
        <w:pStyle w:val="TOC8"/>
        <w:rPr>
          <w:rFonts w:asciiTheme="minorHAnsi" w:eastAsiaTheme="minorEastAsia" w:hAnsiTheme="minorHAnsi" w:cstheme="minorBidi"/>
          <w:szCs w:val="22"/>
        </w:rPr>
      </w:pPr>
      <w:r>
        <w:t>19A.</w:t>
      </w:r>
      <w:r>
        <w:tab/>
        <w:t>Lodgment of forms</w:t>
      </w:r>
      <w:r>
        <w:tab/>
      </w:r>
      <w:r>
        <w:fldChar w:fldCharType="begin"/>
      </w:r>
      <w:r>
        <w:instrText xml:space="preserve"> PAGEREF _Toc487186641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of inspector to direct delivery of form</w:t>
      </w:r>
      <w:r>
        <w:tab/>
      </w:r>
      <w:r>
        <w:fldChar w:fldCharType="begin"/>
      </w:r>
      <w:r>
        <w:instrText xml:space="preserve"> PAGEREF _Toc487186642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Designated containers and tags</w:t>
      </w:r>
    </w:p>
    <w:p>
      <w:pPr>
        <w:pStyle w:val="TOC8"/>
        <w:rPr>
          <w:rFonts w:asciiTheme="minorHAnsi" w:eastAsiaTheme="minorEastAsia" w:hAnsiTheme="minorHAnsi" w:cstheme="minorBidi"/>
          <w:szCs w:val="22"/>
        </w:rPr>
      </w:pPr>
      <w:r>
        <w:t>21</w:t>
      </w:r>
      <w:r>
        <w:rPr>
          <w:snapToGrid w:val="0"/>
        </w:rPr>
        <w:t>.</w:t>
      </w:r>
      <w:r>
        <w:rPr>
          <w:snapToGrid w:val="0"/>
        </w:rPr>
        <w:tab/>
        <w:t>Pearl oysters to be held in designated containers</w:t>
      </w:r>
      <w:r>
        <w:tab/>
      </w:r>
      <w:r>
        <w:fldChar w:fldCharType="begin"/>
      </w:r>
      <w:r>
        <w:instrText xml:space="preserve"> PAGEREF _Toc487186644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Pearl oysters to be placed in tagged designated containers after being taken</w:t>
      </w:r>
      <w:r>
        <w:tab/>
      </w:r>
      <w:r>
        <w:fldChar w:fldCharType="begin"/>
      </w:r>
      <w:r>
        <w:instrText xml:space="preserve"> PAGEREF _Toc487186645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Manner in which designated containers to be filled</w:t>
      </w:r>
      <w:r>
        <w:tab/>
      </w:r>
      <w:r>
        <w:fldChar w:fldCharType="begin"/>
      </w:r>
      <w:r>
        <w:instrText xml:space="preserve"> PAGEREF _Toc487186646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and allocation of pearl oyster identification tags</w:t>
      </w:r>
      <w:r>
        <w:tab/>
      </w:r>
      <w:r>
        <w:fldChar w:fldCharType="begin"/>
      </w:r>
      <w:r>
        <w:instrText xml:space="preserve"> PAGEREF _Toc487186647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Tag specifications</w:t>
      </w:r>
      <w:r>
        <w:tab/>
      </w:r>
      <w:r>
        <w:fldChar w:fldCharType="begin"/>
      </w:r>
      <w:r>
        <w:instrText xml:space="preserve"> PAGEREF _Toc487186648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possession of tags</w:t>
      </w:r>
      <w:r>
        <w:tab/>
      </w:r>
      <w:r>
        <w:fldChar w:fldCharType="begin"/>
      </w:r>
      <w:r>
        <w:instrText xml:space="preserve"> PAGEREF _Toc487186649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Transfer of tags</w:t>
      </w:r>
      <w:r>
        <w:tab/>
      </w:r>
      <w:r>
        <w:fldChar w:fldCharType="begin"/>
      </w:r>
      <w:r>
        <w:instrText xml:space="preserve"> PAGEREF _Toc487186650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Boat not to be used for taking pearl oysters unless tags allocated to, and on board, boat</w:t>
      </w:r>
      <w:r>
        <w:tab/>
      </w:r>
      <w:r>
        <w:fldChar w:fldCharType="begin"/>
      </w:r>
      <w:r>
        <w:instrText xml:space="preserve"> PAGEREF _Toc487186651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Affixing of tags</w:t>
      </w:r>
      <w:r>
        <w:tab/>
      </w:r>
      <w:r>
        <w:fldChar w:fldCharType="begin"/>
      </w:r>
      <w:r>
        <w:instrText xml:space="preserve"> PAGEREF _Toc487186652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Removal of tags</w:t>
      </w:r>
      <w:r>
        <w:tab/>
      </w:r>
      <w:r>
        <w:fldChar w:fldCharType="begin"/>
      </w:r>
      <w:r>
        <w:instrText xml:space="preserve"> PAGEREF _Toc487186653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Dumping of pearl oysters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Dumps not on pearl oyster farms or holding sites following pearl seeding operations</w:t>
      </w:r>
    </w:p>
    <w:p>
      <w:pPr>
        <w:pStyle w:val="TOC8"/>
        <w:rPr>
          <w:rFonts w:asciiTheme="minorHAnsi" w:eastAsiaTheme="minorEastAsia" w:hAnsiTheme="minorHAnsi" w:cstheme="minorBidi"/>
          <w:szCs w:val="22"/>
        </w:rPr>
      </w:pPr>
      <w:r>
        <w:t>31</w:t>
      </w:r>
      <w:r>
        <w:rPr>
          <w:snapToGrid w:val="0"/>
        </w:rPr>
        <w:t>.</w:t>
      </w:r>
      <w:r>
        <w:rPr>
          <w:snapToGrid w:val="0"/>
        </w:rPr>
        <w:tab/>
        <w:t>Division 1 not to apply to certain dumps</w:t>
      </w:r>
      <w:r>
        <w:tab/>
      </w:r>
      <w:r>
        <w:fldChar w:fldCharType="begin"/>
      </w:r>
      <w:r>
        <w:instrText xml:space="preserve"> PAGEREF _Toc487186656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When dumping of pearl oysters permissible</w:t>
      </w:r>
      <w:r>
        <w:tab/>
      </w:r>
      <w:r>
        <w:fldChar w:fldCharType="begin"/>
      </w:r>
      <w:r>
        <w:instrText xml:space="preserve"> PAGEREF _Toc487186657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Nomination and duties of fleet masters</w:t>
      </w:r>
      <w:r>
        <w:tab/>
      </w:r>
      <w:r>
        <w:fldChar w:fldCharType="begin"/>
      </w:r>
      <w:r>
        <w:instrText xml:space="preserve"> PAGEREF _Toc487186658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Map of long</w:t>
      </w:r>
      <w:r>
        <w:rPr>
          <w:snapToGrid w:val="0"/>
        </w:rPr>
        <w:noBreakHyphen/>
        <w:t>lines in relation to master buoy</w:t>
      </w:r>
      <w:r>
        <w:tab/>
      </w:r>
      <w:r>
        <w:fldChar w:fldCharType="begin"/>
      </w:r>
      <w:r>
        <w:instrText xml:space="preserve"> PAGEREF _Toc487186659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Only one licensee or permit holder to use particular dump</w:t>
      </w:r>
      <w:r>
        <w:tab/>
      </w:r>
      <w:r>
        <w:fldChar w:fldCharType="begin"/>
      </w:r>
      <w:r>
        <w:instrText xml:space="preserve"> PAGEREF _Toc487186660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Dumps on holding sites following pearl seeding operation</w:t>
      </w:r>
    </w:p>
    <w:p>
      <w:pPr>
        <w:pStyle w:val="TOC8"/>
        <w:rPr>
          <w:rFonts w:asciiTheme="minorHAnsi" w:eastAsiaTheme="minorEastAsia" w:hAnsiTheme="minorHAnsi" w:cstheme="minorBidi"/>
          <w:szCs w:val="22"/>
        </w:rPr>
      </w:pPr>
      <w:r>
        <w:t>36</w:t>
      </w:r>
      <w:r>
        <w:rPr>
          <w:snapToGrid w:val="0"/>
        </w:rPr>
        <w:t>.</w:t>
      </w:r>
      <w:r>
        <w:rPr>
          <w:snapToGrid w:val="0"/>
        </w:rPr>
        <w:tab/>
        <w:t>When dumping of pearl oysters subjected to seeding operations permissible on holding sites</w:t>
      </w:r>
      <w:r>
        <w:tab/>
      </w:r>
      <w:r>
        <w:fldChar w:fldCharType="begin"/>
      </w:r>
      <w:r>
        <w:instrText xml:space="preserve"> PAGEREF _Toc487186662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Duties of masters of operation boats</w:t>
      </w:r>
      <w:r>
        <w:tab/>
      </w:r>
      <w:r>
        <w:fldChar w:fldCharType="begin"/>
      </w:r>
      <w:r>
        <w:instrText xml:space="preserve"> PAGEREF _Toc487186663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Map of long</w:t>
      </w:r>
      <w:r>
        <w:rPr>
          <w:snapToGrid w:val="0"/>
        </w:rPr>
        <w:noBreakHyphen/>
        <w:t>lines in relation to master buoy</w:t>
      </w:r>
      <w:r>
        <w:tab/>
      </w:r>
      <w:r>
        <w:fldChar w:fldCharType="begin"/>
      </w:r>
      <w:r>
        <w:instrText xml:space="preserve"> PAGEREF _Toc487186664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5A — Holding pearl oysters on pearl oyster farms</w:t>
      </w:r>
    </w:p>
    <w:p>
      <w:pPr>
        <w:pStyle w:val="TOC8"/>
        <w:rPr>
          <w:rFonts w:asciiTheme="minorHAnsi" w:eastAsiaTheme="minorEastAsia" w:hAnsiTheme="minorHAnsi" w:cstheme="minorBidi"/>
          <w:szCs w:val="22"/>
        </w:rPr>
      </w:pPr>
      <w:r>
        <w:t>38A</w:t>
      </w:r>
      <w:r>
        <w:rPr>
          <w:snapToGrid w:val="0"/>
        </w:rPr>
        <w:t>.</w:t>
      </w:r>
      <w:r>
        <w:rPr>
          <w:snapToGrid w:val="0"/>
        </w:rPr>
        <w:tab/>
        <w:t>Farms to be marked and lit</w:t>
      </w:r>
      <w:r>
        <w:tab/>
      </w:r>
      <w:r>
        <w:fldChar w:fldCharType="begin"/>
      </w:r>
      <w:r>
        <w:instrText xml:space="preserve"> PAGEREF _Toc487186666 \h </w:instrText>
      </w:r>
      <w:r>
        <w:fldChar w:fldCharType="separate"/>
      </w:r>
      <w:r>
        <w:t>33</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Marking of sites on pearl oyster farms</w:t>
      </w:r>
      <w:r>
        <w:tab/>
      </w:r>
      <w:r>
        <w:fldChar w:fldCharType="begin"/>
      </w:r>
      <w:r>
        <w:instrText xml:space="preserve"> PAGEREF _Toc487186667 \h </w:instrText>
      </w:r>
      <w:r>
        <w:fldChar w:fldCharType="separate"/>
      </w:r>
      <w:r>
        <w:t>33</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Certain pearl oysters to be kept separate</w:t>
      </w:r>
      <w:r>
        <w:tab/>
      </w:r>
      <w:r>
        <w:fldChar w:fldCharType="begin"/>
      </w:r>
      <w:r>
        <w:instrText xml:space="preserve"> PAGEREF _Toc487186668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Pearl seeding operations</w:t>
      </w:r>
    </w:p>
    <w:p>
      <w:pPr>
        <w:pStyle w:val="TOC8"/>
        <w:rPr>
          <w:rFonts w:asciiTheme="minorHAnsi" w:eastAsiaTheme="minorEastAsia" w:hAnsiTheme="minorHAnsi" w:cstheme="minorBidi"/>
          <w:szCs w:val="22"/>
        </w:rPr>
      </w:pPr>
      <w:r>
        <w:t>39.</w:t>
      </w:r>
      <w:r>
        <w:tab/>
      </w:r>
      <w:r>
        <w:rPr>
          <w:snapToGrid w:val="0"/>
        </w:rPr>
        <w:t>Location of pearl seeding operations</w:t>
      </w:r>
      <w:r>
        <w:tab/>
      </w:r>
      <w:r>
        <w:fldChar w:fldCharType="begin"/>
      </w:r>
      <w:r>
        <w:instrText xml:space="preserve"> PAGEREF _Toc487186670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Maximum number of pearl oysters which may be seeded at one time</w:t>
      </w:r>
      <w:r>
        <w:tab/>
      </w:r>
      <w:r>
        <w:fldChar w:fldCharType="begin"/>
      </w:r>
      <w:r>
        <w:instrText xml:space="preserve"> PAGEREF _Toc487186671 \h </w:instrText>
      </w:r>
      <w:r>
        <w:fldChar w:fldCharType="separate"/>
      </w:r>
      <w:r>
        <w:t>34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r>
      <w:r>
        <w:t>Spat not to be seeded</w:t>
      </w:r>
      <w:r>
        <w:tab/>
      </w:r>
      <w:r>
        <w:fldChar w:fldCharType="begin"/>
      </w:r>
      <w:r>
        <w:instrText xml:space="preserve"> PAGEREF _Toc487186672 \h </w:instrText>
      </w:r>
      <w:r>
        <w:fldChar w:fldCharType="separate"/>
      </w:r>
      <w:r>
        <w:t>34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C</w:t>
      </w:r>
      <w:r>
        <w:rPr>
          <w:snapToGrid w:val="0"/>
        </w:rPr>
        <w:t>ircumstances when loose pearl oysters may be held</w:t>
      </w:r>
      <w:r>
        <w:tab/>
      </w:r>
      <w:r>
        <w:fldChar w:fldCharType="begin"/>
      </w:r>
      <w:r>
        <w:instrText xml:space="preserve"> PAGEREF _Toc487186673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Transporting of pearl oysters</w:t>
      </w:r>
    </w:p>
    <w:p>
      <w:pPr>
        <w:pStyle w:val="TOC8"/>
        <w:rPr>
          <w:rFonts w:asciiTheme="minorHAnsi" w:eastAsiaTheme="minorEastAsia" w:hAnsiTheme="minorHAnsi" w:cstheme="minorBidi"/>
          <w:szCs w:val="22"/>
        </w:rPr>
      </w:pPr>
      <w:r>
        <w:t>42</w:t>
      </w:r>
      <w:r>
        <w:rPr>
          <w:snapToGrid w:val="0"/>
        </w:rPr>
        <w:t>.</w:t>
      </w:r>
      <w:r>
        <w:rPr>
          <w:snapToGrid w:val="0"/>
        </w:rPr>
        <w:tab/>
        <w:t>When transporting of pearl oysters permissible</w:t>
      </w:r>
      <w:r>
        <w:tab/>
      </w:r>
      <w:r>
        <w:fldChar w:fldCharType="begin"/>
      </w:r>
      <w:r>
        <w:instrText xml:space="preserve"> PAGEREF _Toc487186675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Variation of notice of transport</w:t>
      </w:r>
      <w:r>
        <w:tab/>
      </w:r>
      <w:r>
        <w:fldChar w:fldCharType="begin"/>
      </w:r>
      <w:r>
        <w:instrText xml:space="preserve"> PAGEREF _Toc487186676 \h </w:instrText>
      </w:r>
      <w:r>
        <w:fldChar w:fldCharType="separate"/>
      </w:r>
      <w:r>
        <w:t>38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Contents of notices</w:t>
      </w:r>
      <w:r>
        <w:tab/>
      </w:r>
      <w:r>
        <w:fldChar w:fldCharType="begin"/>
      </w:r>
      <w:r>
        <w:instrText xml:space="preserve"> PAGEREF _Toc487186677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7A — Hatcheries</w:t>
      </w:r>
    </w:p>
    <w:p>
      <w:pPr>
        <w:pStyle w:val="TOC8"/>
        <w:rPr>
          <w:rFonts w:asciiTheme="minorHAnsi" w:eastAsiaTheme="minorEastAsia" w:hAnsiTheme="minorHAnsi" w:cstheme="minorBidi"/>
          <w:szCs w:val="22"/>
        </w:rPr>
      </w:pPr>
      <w:r>
        <w:t>44A</w:t>
      </w:r>
      <w:r>
        <w:rPr>
          <w:snapToGrid w:val="0"/>
        </w:rPr>
        <w:t>.</w:t>
      </w:r>
      <w:r>
        <w:rPr>
          <w:snapToGrid w:val="0"/>
        </w:rPr>
        <w:tab/>
        <w:t>Cleaning of hatcheries</w:t>
      </w:r>
      <w:r>
        <w:tab/>
      </w:r>
      <w:r>
        <w:fldChar w:fldCharType="begin"/>
      </w:r>
      <w:r>
        <w:instrText xml:space="preserve"> PAGEREF _Toc487186679 \h </w:instrText>
      </w:r>
      <w:r>
        <w:fldChar w:fldCharType="separate"/>
      </w:r>
      <w:r>
        <w:t>40</w:t>
      </w:r>
      <w:r>
        <w:fldChar w:fldCharType="end"/>
      </w:r>
    </w:p>
    <w:p>
      <w:pPr>
        <w:pStyle w:val="TOC8"/>
        <w:rPr>
          <w:rFonts w:asciiTheme="minorHAnsi" w:eastAsiaTheme="minorEastAsia" w:hAnsiTheme="minorHAnsi" w:cstheme="minorBidi"/>
          <w:szCs w:val="22"/>
        </w:rPr>
      </w:pPr>
      <w:r>
        <w:t>44B</w:t>
      </w:r>
      <w:r>
        <w:rPr>
          <w:snapToGrid w:val="0"/>
        </w:rPr>
        <w:t>.</w:t>
      </w:r>
      <w:r>
        <w:rPr>
          <w:snapToGrid w:val="0"/>
        </w:rPr>
        <w:tab/>
        <w:t>Water, air and equipment used in hatchery</w:t>
      </w:r>
      <w:r>
        <w:tab/>
      </w:r>
      <w:r>
        <w:fldChar w:fldCharType="begin"/>
      </w:r>
      <w:r>
        <w:instrText xml:space="preserve"> PAGEREF _Toc487186680 \h </w:instrText>
      </w:r>
      <w:r>
        <w:fldChar w:fldCharType="separate"/>
      </w:r>
      <w:r>
        <w:t>40</w:t>
      </w:r>
      <w:r>
        <w:fldChar w:fldCharType="end"/>
      </w:r>
    </w:p>
    <w:p>
      <w:pPr>
        <w:pStyle w:val="TOC8"/>
        <w:rPr>
          <w:rFonts w:asciiTheme="minorHAnsi" w:eastAsiaTheme="minorEastAsia" w:hAnsiTheme="minorHAnsi" w:cstheme="minorBidi"/>
          <w:szCs w:val="22"/>
        </w:rPr>
      </w:pPr>
      <w:r>
        <w:t>44C</w:t>
      </w:r>
      <w:r>
        <w:rPr>
          <w:snapToGrid w:val="0"/>
        </w:rPr>
        <w:t>.</w:t>
      </w:r>
      <w:r>
        <w:rPr>
          <w:snapToGrid w:val="0"/>
        </w:rPr>
        <w:tab/>
        <w:t>Batches to be kept separate</w:t>
      </w:r>
      <w:r>
        <w:tab/>
      </w:r>
      <w:r>
        <w:fldChar w:fldCharType="begin"/>
      </w:r>
      <w:r>
        <w:instrText xml:space="preserve"> PAGEREF _Toc487186681 \h </w:instrText>
      </w:r>
      <w:r>
        <w:fldChar w:fldCharType="separate"/>
      </w:r>
      <w:r>
        <w:t>41</w:t>
      </w:r>
      <w:r>
        <w:fldChar w:fldCharType="end"/>
      </w:r>
    </w:p>
    <w:p>
      <w:pPr>
        <w:pStyle w:val="TOC8"/>
        <w:rPr>
          <w:rFonts w:asciiTheme="minorHAnsi" w:eastAsiaTheme="minorEastAsia" w:hAnsiTheme="minorHAnsi" w:cstheme="minorBidi"/>
          <w:szCs w:val="22"/>
        </w:rPr>
      </w:pPr>
      <w:r>
        <w:t>44D</w:t>
      </w:r>
      <w:r>
        <w:rPr>
          <w:snapToGrid w:val="0"/>
        </w:rPr>
        <w:t>.</w:t>
      </w:r>
      <w:r>
        <w:rPr>
          <w:snapToGrid w:val="0"/>
        </w:rPr>
        <w:tab/>
        <w:t>Hatchery records</w:t>
      </w:r>
      <w:r>
        <w:tab/>
      </w:r>
      <w:r>
        <w:fldChar w:fldCharType="begin"/>
      </w:r>
      <w:r>
        <w:instrText xml:space="preserve"> PAGEREF _Toc487186682 \h </w:instrText>
      </w:r>
      <w:r>
        <w:fldChar w:fldCharType="separate"/>
      </w:r>
      <w:r>
        <w:t>41</w:t>
      </w:r>
      <w:r>
        <w:fldChar w:fldCharType="end"/>
      </w:r>
    </w:p>
    <w:p>
      <w:pPr>
        <w:pStyle w:val="TOC8"/>
        <w:rPr>
          <w:rFonts w:asciiTheme="minorHAnsi" w:eastAsiaTheme="minorEastAsia" w:hAnsiTheme="minorHAnsi" w:cstheme="minorBidi"/>
          <w:szCs w:val="22"/>
        </w:rPr>
      </w:pPr>
      <w:r>
        <w:t>44E</w:t>
      </w:r>
      <w:r>
        <w:rPr>
          <w:snapToGrid w:val="0"/>
        </w:rPr>
        <w:t>.</w:t>
      </w:r>
      <w:r>
        <w:rPr>
          <w:snapToGrid w:val="0"/>
        </w:rPr>
        <w:tab/>
        <w:t>Source of broodstock for hatcheries</w:t>
      </w:r>
      <w:r>
        <w:tab/>
      </w:r>
      <w:r>
        <w:fldChar w:fldCharType="begin"/>
      </w:r>
      <w:r>
        <w:instrText xml:space="preserve"> PAGEREF _Toc487186683 \h </w:instrText>
      </w:r>
      <w:r>
        <w:fldChar w:fldCharType="separate"/>
      </w:r>
      <w:r>
        <w:t>44</w:t>
      </w:r>
      <w:r>
        <w:fldChar w:fldCharType="end"/>
      </w:r>
    </w:p>
    <w:p>
      <w:pPr>
        <w:pStyle w:val="TOC8"/>
        <w:rPr>
          <w:rFonts w:asciiTheme="minorHAnsi" w:eastAsiaTheme="minorEastAsia" w:hAnsiTheme="minorHAnsi" w:cstheme="minorBidi"/>
          <w:szCs w:val="22"/>
        </w:rPr>
      </w:pPr>
      <w:r>
        <w:t>44F</w:t>
      </w:r>
      <w:r>
        <w:rPr>
          <w:snapToGrid w:val="0"/>
        </w:rPr>
        <w:t>.</w:t>
      </w:r>
      <w:r>
        <w:rPr>
          <w:snapToGrid w:val="0"/>
        </w:rPr>
        <w:tab/>
        <w:t>Supply of hatchery produced spat restricted</w:t>
      </w:r>
      <w:r>
        <w:tab/>
      </w:r>
      <w:r>
        <w:fldChar w:fldCharType="begin"/>
      </w:r>
      <w:r>
        <w:instrText xml:space="preserve"> PAGEREF _Toc487186684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7B — Spat collection</w:t>
      </w:r>
    </w:p>
    <w:p>
      <w:pPr>
        <w:pStyle w:val="TOC8"/>
        <w:rPr>
          <w:rFonts w:asciiTheme="minorHAnsi" w:eastAsiaTheme="minorEastAsia" w:hAnsiTheme="minorHAnsi" w:cstheme="minorBidi"/>
          <w:szCs w:val="22"/>
        </w:rPr>
      </w:pPr>
      <w:r>
        <w:t>44G</w:t>
      </w:r>
      <w:r>
        <w:rPr>
          <w:snapToGrid w:val="0"/>
        </w:rPr>
        <w:t>.</w:t>
      </w:r>
      <w:r>
        <w:rPr>
          <w:snapToGrid w:val="0"/>
        </w:rPr>
        <w:tab/>
        <w:t>Spat collection</w:t>
      </w:r>
      <w:r>
        <w:tab/>
      </w:r>
      <w:r>
        <w:fldChar w:fldCharType="begin"/>
      </w:r>
      <w:r>
        <w:instrText xml:space="preserve"> PAGEREF _Toc487186686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7C — Quarantine sites</w:t>
      </w:r>
    </w:p>
    <w:p>
      <w:pPr>
        <w:pStyle w:val="TOC8"/>
        <w:rPr>
          <w:rFonts w:asciiTheme="minorHAnsi" w:eastAsiaTheme="minorEastAsia" w:hAnsiTheme="minorHAnsi" w:cstheme="minorBidi"/>
          <w:szCs w:val="22"/>
        </w:rPr>
      </w:pPr>
      <w:r>
        <w:t>44H</w:t>
      </w:r>
      <w:r>
        <w:rPr>
          <w:snapToGrid w:val="0"/>
        </w:rPr>
        <w:t>.</w:t>
      </w:r>
      <w:r>
        <w:rPr>
          <w:snapToGrid w:val="0"/>
        </w:rPr>
        <w:tab/>
        <w:t>Quarantine site not to be used for other purposes</w:t>
      </w:r>
      <w:r>
        <w:tab/>
      </w:r>
      <w:r>
        <w:fldChar w:fldCharType="begin"/>
      </w:r>
      <w:r>
        <w:instrText xml:space="preserve"> PAGEREF _Toc487186688 \h </w:instrText>
      </w:r>
      <w:r>
        <w:fldChar w:fldCharType="separate"/>
      </w:r>
      <w:r>
        <w:t>46</w:t>
      </w:r>
      <w:r>
        <w:fldChar w:fldCharType="end"/>
      </w:r>
    </w:p>
    <w:p>
      <w:pPr>
        <w:pStyle w:val="TOC8"/>
        <w:rPr>
          <w:rFonts w:asciiTheme="minorHAnsi" w:eastAsiaTheme="minorEastAsia" w:hAnsiTheme="minorHAnsi" w:cstheme="minorBidi"/>
          <w:szCs w:val="22"/>
        </w:rPr>
      </w:pPr>
      <w:r>
        <w:t>44I</w:t>
      </w:r>
      <w:r>
        <w:rPr>
          <w:snapToGrid w:val="0"/>
        </w:rPr>
        <w:t>.</w:t>
      </w:r>
      <w:r>
        <w:rPr>
          <w:snapToGrid w:val="0"/>
        </w:rPr>
        <w:tab/>
        <w:t>Quarantine permitted only on quarantine site</w:t>
      </w:r>
      <w:r>
        <w:tab/>
      </w:r>
      <w:r>
        <w:fldChar w:fldCharType="begin"/>
      </w:r>
      <w:r>
        <w:instrText xml:space="preserve"> PAGEREF _Toc487186689 \h </w:instrText>
      </w:r>
      <w:r>
        <w:fldChar w:fldCharType="separate"/>
      </w:r>
      <w:r>
        <w:t>46</w:t>
      </w:r>
      <w:r>
        <w:fldChar w:fldCharType="end"/>
      </w:r>
    </w:p>
    <w:p>
      <w:pPr>
        <w:pStyle w:val="TOC8"/>
        <w:rPr>
          <w:rFonts w:asciiTheme="minorHAnsi" w:eastAsiaTheme="minorEastAsia" w:hAnsiTheme="minorHAnsi" w:cstheme="minorBidi"/>
          <w:szCs w:val="22"/>
        </w:rPr>
      </w:pPr>
      <w:r>
        <w:t>44J</w:t>
      </w:r>
      <w:r>
        <w:rPr>
          <w:snapToGrid w:val="0"/>
        </w:rPr>
        <w:t>.</w:t>
      </w:r>
      <w:r>
        <w:rPr>
          <w:snapToGrid w:val="0"/>
        </w:rPr>
        <w:tab/>
        <w:t>Cleaning of boats and equipment</w:t>
      </w:r>
      <w:r>
        <w:tab/>
      </w:r>
      <w:r>
        <w:fldChar w:fldCharType="begin"/>
      </w:r>
      <w:r>
        <w:instrText xml:space="preserve"> PAGEREF _Toc487186690 \h </w:instrText>
      </w:r>
      <w:r>
        <w:fldChar w:fldCharType="separate"/>
      </w:r>
      <w:r>
        <w:t>46</w:t>
      </w:r>
      <w:r>
        <w:fldChar w:fldCharType="end"/>
      </w:r>
    </w:p>
    <w:p>
      <w:pPr>
        <w:pStyle w:val="TOC8"/>
        <w:rPr>
          <w:rFonts w:asciiTheme="minorHAnsi" w:eastAsiaTheme="minorEastAsia" w:hAnsiTheme="minorHAnsi" w:cstheme="minorBidi"/>
          <w:szCs w:val="22"/>
        </w:rPr>
      </w:pPr>
      <w:r>
        <w:t>44K</w:t>
      </w:r>
      <w:r>
        <w:rPr>
          <w:snapToGrid w:val="0"/>
        </w:rPr>
        <w:t>.</w:t>
      </w:r>
      <w:r>
        <w:rPr>
          <w:snapToGrid w:val="0"/>
        </w:rPr>
        <w:tab/>
        <w:t>Notification when quarantine site cleared</w:t>
      </w:r>
      <w:r>
        <w:tab/>
      </w:r>
      <w:r>
        <w:fldChar w:fldCharType="begin"/>
      </w:r>
      <w:r>
        <w:instrText xml:space="preserve"> PAGEREF _Toc487186691 \h </w:instrText>
      </w:r>
      <w:r>
        <w:fldChar w:fldCharType="separate"/>
      </w:r>
      <w:r>
        <w:t>47</w:t>
      </w:r>
      <w:r>
        <w:fldChar w:fldCharType="end"/>
      </w:r>
    </w:p>
    <w:p>
      <w:pPr>
        <w:pStyle w:val="TOC8"/>
        <w:rPr>
          <w:rFonts w:asciiTheme="minorHAnsi" w:eastAsiaTheme="minorEastAsia" w:hAnsiTheme="minorHAnsi" w:cstheme="minorBidi"/>
          <w:szCs w:val="22"/>
        </w:rPr>
      </w:pPr>
      <w:r>
        <w:t>44L</w:t>
      </w:r>
      <w:r>
        <w:rPr>
          <w:snapToGrid w:val="0"/>
        </w:rPr>
        <w:t>.</w:t>
      </w:r>
      <w:r>
        <w:rPr>
          <w:snapToGrid w:val="0"/>
        </w:rPr>
        <w:tab/>
        <w:t>Spat to be held on quarantine site for 6 weeks</w:t>
      </w:r>
      <w:r>
        <w:tab/>
      </w:r>
      <w:r>
        <w:fldChar w:fldCharType="begin"/>
      </w:r>
      <w:r>
        <w:instrText xml:space="preserve"> PAGEREF _Toc487186692 \h </w:instrText>
      </w:r>
      <w:r>
        <w:fldChar w:fldCharType="separate"/>
      </w:r>
      <w:r>
        <w:t>47</w:t>
      </w:r>
      <w:r>
        <w:fldChar w:fldCharType="end"/>
      </w:r>
    </w:p>
    <w:p>
      <w:pPr>
        <w:pStyle w:val="TOC8"/>
        <w:rPr>
          <w:rFonts w:asciiTheme="minorHAnsi" w:eastAsiaTheme="minorEastAsia" w:hAnsiTheme="minorHAnsi" w:cstheme="minorBidi"/>
          <w:szCs w:val="22"/>
        </w:rPr>
      </w:pPr>
      <w:r>
        <w:t>44M</w:t>
      </w:r>
      <w:r>
        <w:rPr>
          <w:snapToGrid w:val="0"/>
        </w:rPr>
        <w:t>.</w:t>
      </w:r>
      <w:r>
        <w:rPr>
          <w:snapToGrid w:val="0"/>
        </w:rPr>
        <w:tab/>
        <w:t>Disposal of dead pearl oysters</w:t>
      </w:r>
      <w:r>
        <w:tab/>
      </w:r>
      <w:r>
        <w:fldChar w:fldCharType="begin"/>
      </w:r>
      <w:r>
        <w:instrText xml:space="preserve"> PAGEREF _Toc487186693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7D — Nursery sites</w:t>
      </w:r>
    </w:p>
    <w:p>
      <w:pPr>
        <w:pStyle w:val="TOC8"/>
        <w:rPr>
          <w:rFonts w:asciiTheme="minorHAnsi" w:eastAsiaTheme="minorEastAsia" w:hAnsiTheme="minorHAnsi" w:cstheme="minorBidi"/>
          <w:szCs w:val="22"/>
        </w:rPr>
      </w:pPr>
      <w:r>
        <w:t>44N</w:t>
      </w:r>
      <w:r>
        <w:rPr>
          <w:snapToGrid w:val="0"/>
        </w:rPr>
        <w:t>.</w:t>
      </w:r>
      <w:r>
        <w:rPr>
          <w:snapToGrid w:val="0"/>
        </w:rPr>
        <w:tab/>
        <w:t>Nursery site not to be used other than as a nursery</w:t>
      </w:r>
      <w:r>
        <w:tab/>
      </w:r>
      <w:r>
        <w:fldChar w:fldCharType="begin"/>
      </w:r>
      <w:r>
        <w:instrText xml:space="preserve"> PAGEREF _Toc487186695 \h </w:instrText>
      </w:r>
      <w:r>
        <w:fldChar w:fldCharType="separate"/>
      </w:r>
      <w:r>
        <w:t>48</w:t>
      </w:r>
      <w:r>
        <w:fldChar w:fldCharType="end"/>
      </w:r>
    </w:p>
    <w:p>
      <w:pPr>
        <w:pStyle w:val="TOC8"/>
        <w:rPr>
          <w:rFonts w:asciiTheme="minorHAnsi" w:eastAsiaTheme="minorEastAsia" w:hAnsiTheme="minorHAnsi" w:cstheme="minorBidi"/>
          <w:szCs w:val="22"/>
        </w:rPr>
      </w:pPr>
      <w:r>
        <w:t>44O</w:t>
      </w:r>
      <w:r>
        <w:rPr>
          <w:snapToGrid w:val="0"/>
        </w:rPr>
        <w:t>.</w:t>
      </w:r>
      <w:r>
        <w:rPr>
          <w:snapToGrid w:val="0"/>
        </w:rPr>
        <w:tab/>
        <w:t>Growing out permitted only on nursery site</w:t>
      </w:r>
      <w:r>
        <w:tab/>
      </w:r>
      <w:r>
        <w:fldChar w:fldCharType="begin"/>
      </w:r>
      <w:r>
        <w:instrText xml:space="preserve"> PAGEREF _Toc487186696 \h </w:instrText>
      </w:r>
      <w:r>
        <w:fldChar w:fldCharType="separate"/>
      </w:r>
      <w:r>
        <w:t>48</w:t>
      </w:r>
      <w:r>
        <w:fldChar w:fldCharType="end"/>
      </w:r>
    </w:p>
    <w:p>
      <w:pPr>
        <w:pStyle w:val="TOC8"/>
        <w:rPr>
          <w:rFonts w:asciiTheme="minorHAnsi" w:eastAsiaTheme="minorEastAsia" w:hAnsiTheme="minorHAnsi" w:cstheme="minorBidi"/>
          <w:szCs w:val="22"/>
        </w:rPr>
      </w:pPr>
      <w:r>
        <w:t>44P</w:t>
      </w:r>
      <w:r>
        <w:rPr>
          <w:snapToGrid w:val="0"/>
        </w:rPr>
        <w:t>.</w:t>
      </w:r>
      <w:r>
        <w:rPr>
          <w:snapToGrid w:val="0"/>
        </w:rPr>
        <w:tab/>
        <w:t>Nursery site to be used only by holder of hatchery (nursery) licence or permit</w:t>
      </w:r>
      <w:r>
        <w:tab/>
      </w:r>
      <w:r>
        <w:fldChar w:fldCharType="begin"/>
      </w:r>
      <w:r>
        <w:instrText xml:space="preserve"> PAGEREF _Toc487186697 \h </w:instrText>
      </w:r>
      <w:r>
        <w:fldChar w:fldCharType="separate"/>
      </w:r>
      <w:r>
        <w:t>48</w:t>
      </w:r>
      <w:r>
        <w:fldChar w:fldCharType="end"/>
      </w:r>
    </w:p>
    <w:p>
      <w:pPr>
        <w:pStyle w:val="TOC8"/>
        <w:rPr>
          <w:rFonts w:asciiTheme="minorHAnsi" w:eastAsiaTheme="minorEastAsia" w:hAnsiTheme="minorHAnsi" w:cstheme="minorBidi"/>
          <w:szCs w:val="22"/>
        </w:rPr>
      </w:pPr>
      <w:r>
        <w:t>44Q</w:t>
      </w:r>
      <w:r>
        <w:rPr>
          <w:snapToGrid w:val="0"/>
        </w:rPr>
        <w:t>.</w:t>
      </w:r>
      <w:r>
        <w:rPr>
          <w:snapToGrid w:val="0"/>
        </w:rPr>
        <w:tab/>
        <w:t>Spat to be held on nursery site until full size</w:t>
      </w:r>
      <w:r>
        <w:tab/>
      </w:r>
      <w:r>
        <w:fldChar w:fldCharType="begin"/>
      </w:r>
      <w:r>
        <w:instrText xml:space="preserve"> PAGEREF _Toc487186698 \h </w:instrText>
      </w:r>
      <w:r>
        <w:fldChar w:fldCharType="separate"/>
      </w:r>
      <w:r>
        <w:t>48</w:t>
      </w:r>
      <w:r>
        <w:fldChar w:fldCharType="end"/>
      </w:r>
    </w:p>
    <w:p>
      <w:pPr>
        <w:pStyle w:val="TOC8"/>
        <w:rPr>
          <w:rFonts w:asciiTheme="minorHAnsi" w:eastAsiaTheme="minorEastAsia" w:hAnsiTheme="minorHAnsi" w:cstheme="minorBidi"/>
          <w:szCs w:val="22"/>
        </w:rPr>
      </w:pPr>
      <w:r>
        <w:t>44R</w:t>
      </w:r>
      <w:r>
        <w:rPr>
          <w:snapToGrid w:val="0"/>
        </w:rPr>
        <w:t>.</w:t>
      </w:r>
      <w:r>
        <w:rPr>
          <w:snapToGrid w:val="0"/>
        </w:rPr>
        <w:tab/>
        <w:t>Disposal of dead pearl oysters</w:t>
      </w:r>
      <w:r>
        <w:tab/>
      </w:r>
      <w:r>
        <w:fldChar w:fldCharType="begin"/>
      </w:r>
      <w:r>
        <w:instrText xml:space="preserve"> PAGEREF _Toc487186699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7E — Growing out spat and seeding grown out pearl oysters</w:t>
      </w:r>
    </w:p>
    <w:p>
      <w:pPr>
        <w:pStyle w:val="TOC8"/>
        <w:rPr>
          <w:rFonts w:asciiTheme="minorHAnsi" w:eastAsiaTheme="minorEastAsia" w:hAnsiTheme="minorHAnsi" w:cstheme="minorBidi"/>
          <w:szCs w:val="22"/>
        </w:rPr>
      </w:pPr>
      <w:r>
        <w:t>44S</w:t>
      </w:r>
      <w:r>
        <w:rPr>
          <w:snapToGrid w:val="0"/>
        </w:rPr>
        <w:t>.</w:t>
      </w:r>
      <w:r>
        <w:rPr>
          <w:snapToGrid w:val="0"/>
        </w:rPr>
        <w:tab/>
        <w:t>Restrictions on spat which may be taken under a hatchery (nursery) licence</w:t>
      </w:r>
      <w:r>
        <w:tab/>
      </w:r>
      <w:r>
        <w:fldChar w:fldCharType="begin"/>
      </w:r>
      <w:r>
        <w:instrText xml:space="preserve"> PAGEREF _Toc487186701 \h </w:instrText>
      </w:r>
      <w:r>
        <w:fldChar w:fldCharType="separate"/>
      </w:r>
      <w:r>
        <w:t>50</w:t>
      </w:r>
      <w:r>
        <w:fldChar w:fldCharType="end"/>
      </w:r>
    </w:p>
    <w:p>
      <w:pPr>
        <w:pStyle w:val="TOC8"/>
        <w:rPr>
          <w:rFonts w:asciiTheme="minorHAnsi" w:eastAsiaTheme="minorEastAsia" w:hAnsiTheme="minorHAnsi" w:cstheme="minorBidi"/>
          <w:szCs w:val="22"/>
        </w:rPr>
      </w:pPr>
      <w:r>
        <w:t>44T</w:t>
      </w:r>
      <w:r>
        <w:rPr>
          <w:snapToGrid w:val="0"/>
        </w:rPr>
        <w:t>.</w:t>
      </w:r>
      <w:r>
        <w:rPr>
          <w:snapToGrid w:val="0"/>
        </w:rPr>
        <w:tab/>
        <w:t>Use or disposal of excess oysters from nursery site</w:t>
      </w:r>
      <w:r>
        <w:tab/>
      </w:r>
      <w:r>
        <w:fldChar w:fldCharType="begin"/>
      </w:r>
      <w:r>
        <w:instrText xml:space="preserve"> PAGEREF _Toc487186702 \h </w:instrText>
      </w:r>
      <w:r>
        <w:fldChar w:fldCharType="separate"/>
      </w:r>
      <w:r>
        <w:t>50</w:t>
      </w:r>
      <w:r>
        <w:fldChar w:fldCharType="end"/>
      </w:r>
    </w:p>
    <w:p>
      <w:pPr>
        <w:pStyle w:val="TOC8"/>
        <w:rPr>
          <w:rFonts w:asciiTheme="minorHAnsi" w:eastAsiaTheme="minorEastAsia" w:hAnsiTheme="minorHAnsi" w:cstheme="minorBidi"/>
          <w:szCs w:val="22"/>
        </w:rPr>
      </w:pPr>
      <w:r>
        <w:t>44U</w:t>
      </w:r>
      <w:r>
        <w:rPr>
          <w:snapToGrid w:val="0"/>
        </w:rPr>
        <w:t>.</w:t>
      </w:r>
      <w:r>
        <w:rPr>
          <w:snapToGrid w:val="0"/>
        </w:rPr>
        <w:tab/>
        <w:t>Pearl seeding operations on grown out oysters</w:t>
      </w:r>
      <w:r>
        <w:tab/>
      </w:r>
      <w:r>
        <w:fldChar w:fldCharType="begin"/>
      </w:r>
      <w:r>
        <w:instrText xml:space="preserve"> PAGEREF _Toc487186703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45</w:t>
      </w:r>
      <w:r>
        <w:rPr>
          <w:snapToGrid w:val="0"/>
        </w:rPr>
        <w:t>.</w:t>
      </w:r>
      <w:r>
        <w:rPr>
          <w:snapToGrid w:val="0"/>
        </w:rPr>
        <w:tab/>
        <w:t>Miscellaneous offences</w:t>
      </w:r>
      <w:r>
        <w:tab/>
      </w:r>
      <w:r>
        <w:fldChar w:fldCharType="begin"/>
      </w:r>
      <w:r>
        <w:instrText xml:space="preserve"> PAGEREF _Toc487186705 \h </w:instrText>
      </w:r>
      <w:r>
        <w:fldChar w:fldCharType="separate"/>
      </w:r>
      <w:r>
        <w:t>52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Sizes of letters and numbers on floats</w:t>
      </w:r>
      <w:r>
        <w:tab/>
      </w:r>
      <w:r>
        <w:fldChar w:fldCharType="begin"/>
      </w:r>
      <w:r>
        <w:instrText xml:space="preserve"> PAGEREF _Toc487186706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Persons who may use, or transport pearl oysters to, holding sites</w:t>
      </w:r>
      <w:r>
        <w:tab/>
      </w:r>
      <w:r>
        <w:fldChar w:fldCharType="begin"/>
      </w:r>
      <w:r>
        <w:instrText xml:space="preserve"> PAGEREF _Toc487186707 \h </w:instrText>
      </w:r>
      <w:r>
        <w:fldChar w:fldCharType="separate"/>
      </w:r>
      <w:r>
        <w:t>53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Pearl boat licence number</w:t>
      </w:r>
      <w:r>
        <w:tab/>
      </w:r>
      <w:r>
        <w:fldChar w:fldCharType="begin"/>
      </w:r>
      <w:r>
        <w:instrText xml:space="preserve"> PAGEREF _Toc487186708 \h </w:instrText>
      </w:r>
      <w:r>
        <w:fldChar w:fldCharType="separate"/>
      </w:r>
      <w:r>
        <w:t>53</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Sending of written documents electronically</w:t>
      </w:r>
      <w:r>
        <w:tab/>
      </w:r>
      <w:r>
        <w:fldChar w:fldCharType="begin"/>
      </w:r>
      <w:r>
        <w:instrText xml:space="preserve"> PAGEREF _Toc487186709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rPr>
          <w:bCs/>
        </w:rPr>
        <w:t>Designated containers</w:t>
      </w:r>
    </w:p>
    <w:p>
      <w:pPr>
        <w:pStyle w:val="TOC2"/>
        <w:tabs>
          <w:tab w:val="right" w:leader="dot" w:pos="7077"/>
        </w:tabs>
        <w:rPr>
          <w:rFonts w:asciiTheme="minorHAnsi" w:eastAsiaTheme="minorEastAsia" w:hAnsiTheme="minorHAnsi" w:cstheme="minorBidi"/>
          <w:b w:val="0"/>
          <w:sz w:val="22"/>
          <w:szCs w:val="22"/>
        </w:rPr>
      </w:pPr>
      <w:r>
        <w:t>Schedule 2 — Requirements for hatcheries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Cleaning and disinfecting</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Treatment of water, air and equipment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_Toc487186716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3" w:name="_Toc378175651"/>
      <w:bookmarkStart w:id="4" w:name="_Toc424216647"/>
      <w:bookmarkStart w:id="5" w:name="_Toc48718661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175652"/>
      <w:bookmarkStart w:id="7" w:name="_Toc487186616"/>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8" w:name="_Toc378175653"/>
      <w:bookmarkStart w:id="9" w:name="_Toc487186617"/>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10" w:name="_Toc378175654"/>
      <w:bookmarkStart w:id="11" w:name="_Toc48718661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approved</w:t>
      </w:r>
      <w:r>
        <w:rPr>
          <w:bCs/>
        </w:rPr>
        <w:t xml:space="preserve">, except in relation to a form, </w:t>
      </w:r>
      <w:r>
        <w:t>means approved in writing by an inspector;</w:t>
      </w:r>
    </w:p>
    <w:p>
      <w:pPr>
        <w:pStyle w:val="Defstart"/>
      </w:pPr>
      <w:r>
        <w:tab/>
      </w:r>
      <w:r>
        <w:rPr>
          <w:rStyle w:val="CharDefText"/>
        </w:rPr>
        <w:t>approved form</w:t>
      </w:r>
      <w:r>
        <w:t xml:space="preserve"> means a form approved by the CEO;</w:t>
      </w:r>
    </w:p>
    <w:p>
      <w:pPr>
        <w:pStyle w:val="Defstart"/>
        <w:keepNext/>
      </w:pPr>
      <w:r>
        <w:tab/>
      </w:r>
      <w:r>
        <w:rPr>
          <w:rStyle w:val="CharDefText"/>
        </w:rPr>
        <w:t>batch</w:t>
      </w:r>
      <w:r>
        <w:rPr>
          <w:bCs/>
        </w:rPr>
        <w:t xml:space="preserve"> </w:t>
      </w:r>
      <w:r>
        <w:t>means group of spat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tab/>
      </w:r>
      <w:r>
        <w:rPr>
          <w:rStyle w:val="CharDefText"/>
        </w:rPr>
        <w:t>certificate of health</w:t>
      </w:r>
      <w:r>
        <w:t xml:space="preserve"> has the meaning given in the </w:t>
      </w:r>
      <w:r>
        <w:rPr>
          <w:i/>
        </w:rPr>
        <w:t>Fish Resources Management Regulations 1995</w:t>
      </w:r>
      <w:r>
        <w:t xml:space="preserve"> regulation 144A;</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in relation to pearl oysters, means hold on a nursery site while the pearl oysters grow to the minimum length;</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means area, being a pearl oyster farm the farm lease for which allows the area to be used for the purpose of quarantining and disease testing pearl oysters;</w:t>
      </w:r>
    </w:p>
    <w:p>
      <w:pPr>
        <w:pStyle w:val="Defstart"/>
      </w:pPr>
      <w:r>
        <w:tab/>
      </w:r>
      <w:r>
        <w:rPr>
          <w:rStyle w:val="CharDefText"/>
        </w:rPr>
        <w:t>returned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means pearl oysters at any stage prior to settlement or which, having settled, are less than the minimum length;</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 or</w:t>
      </w:r>
    </w:p>
    <w:p>
      <w:pPr>
        <w:pStyle w:val="Defpara"/>
      </w:pPr>
      <w:r>
        <w:tab/>
        <w:t>(b)</w:t>
      </w:r>
      <w:r>
        <w:tab/>
        <w:t>acquired in accordance with regulation 44T(2)(a); or</w:t>
      </w:r>
    </w:p>
    <w:p>
      <w:pPr>
        <w:pStyle w:val="Defpara"/>
      </w:pPr>
      <w:r>
        <w:tab/>
        <w:t>(c)</w:t>
      </w:r>
      <w:r>
        <w:tab/>
        <w:t>collected from a spat collector located on a pearl oyster farm operated by the person taking them and are more than 80 mm in length; or</w:t>
      </w:r>
    </w:p>
    <w:p>
      <w:pPr>
        <w:pStyle w:val="Defpara"/>
      </w:pPr>
      <w:r>
        <w:tab/>
        <w:t>(d)</w:t>
      </w:r>
      <w:r>
        <w:tab/>
        <w:t>collected from any other spat collector and are more than 40 mm in length; or</w:t>
      </w:r>
    </w:p>
    <w:p>
      <w:pPr>
        <w:pStyle w:val="Defpara"/>
      </w:pPr>
      <w:r>
        <w:tab/>
        <w:t>(e)</w:t>
      </w:r>
      <w:r>
        <w:tab/>
        <w:t>obtained from a hatchery and are —</w:t>
      </w:r>
    </w:p>
    <w:p>
      <w:pPr>
        <w:pStyle w:val="Defsubpara"/>
      </w:pPr>
      <w:r>
        <w:tab/>
        <w:t>(i)</w:t>
      </w:r>
      <w:r>
        <w:tab/>
        <w:t>more than 12 months old; or</w:t>
      </w:r>
    </w:p>
    <w:p>
      <w:pPr>
        <w:pStyle w:val="Defsubpara"/>
      </w:pPr>
      <w:r>
        <w:tab/>
        <w:t>(ii)</w:t>
      </w:r>
      <w: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Gazette 17 Dec 1999 p. 6200</w:t>
      </w:r>
      <w:r>
        <w:noBreakHyphen/>
        <w:t>2; 15 Apr 2011 p. 1415; 24 Sep 2013 p. 4386-7.]</w:t>
      </w:r>
    </w:p>
    <w:p>
      <w:pPr>
        <w:pStyle w:val="Heading2"/>
      </w:pPr>
      <w:bookmarkStart w:id="12" w:name="_Toc378175655"/>
      <w:bookmarkStart w:id="13" w:name="_Toc424216651"/>
      <w:bookmarkStart w:id="14" w:name="_Toc487186619"/>
      <w:r>
        <w:rPr>
          <w:rStyle w:val="CharPartNo"/>
        </w:rPr>
        <w:t>Part 2</w:t>
      </w:r>
      <w:r>
        <w:rPr>
          <w:rStyle w:val="CharDivNo"/>
        </w:rPr>
        <w:t> </w:t>
      </w:r>
      <w:r>
        <w:t>—</w:t>
      </w:r>
      <w:r>
        <w:rPr>
          <w:rStyle w:val="CharDivText"/>
        </w:rPr>
        <w:t> </w:t>
      </w:r>
      <w:r>
        <w:rPr>
          <w:rStyle w:val="CharPartText"/>
        </w:rPr>
        <w:t>Prescribed matters</w:t>
      </w:r>
      <w:bookmarkEnd w:id="12"/>
      <w:bookmarkEnd w:id="13"/>
      <w:bookmarkEnd w:id="14"/>
    </w:p>
    <w:p>
      <w:pPr>
        <w:pStyle w:val="Heading5"/>
      </w:pPr>
      <w:bookmarkStart w:id="15" w:name="_Toc378175656"/>
      <w:bookmarkStart w:id="16" w:name="_Toc487186620"/>
      <w:r>
        <w:rPr>
          <w:rStyle w:val="CharSectno"/>
        </w:rPr>
        <w:t>4</w:t>
      </w:r>
      <w:r>
        <w:t>.</w:t>
      </w:r>
      <w:r>
        <w:tab/>
        <w:t xml:space="preserve">Geocentric Datum of </w:t>
      </w:r>
      <w:smartTag w:uri="urn:schemas-microsoft-com:office:smarttags" w:element="place">
        <w:smartTag w:uri="urn:schemas-microsoft-com:office:smarttags" w:element="country-region">
          <w:r>
            <w:t>Australia</w:t>
          </w:r>
        </w:smartTag>
      </w:smartTag>
      <w:r>
        <w:t xml:space="preserve"> (Act s. 4(1))</w:t>
      </w:r>
      <w:bookmarkEnd w:id="15"/>
      <w:bookmarkEnd w:id="16"/>
    </w:p>
    <w:p>
      <w:pPr>
        <w:pStyle w:val="Subsection"/>
      </w:pPr>
      <w:r>
        <w:tab/>
        <w:t>(1)</w:t>
      </w:r>
      <w:r>
        <w:tab/>
        <w:t xml:space="preserve">The Geocentric Datum of Australia (the </w:t>
      </w:r>
      <w:r>
        <w:rPr>
          <w:rStyle w:val="CharDefText"/>
        </w:rPr>
        <w:t>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place">
              <w:smartTag w:uri="urn:schemas-microsoft-com:office:smarttags" w:element="City">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place">
              <w:smartTag w:uri="urn:schemas-microsoft-com:office:smarttags" w:element="City">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Gazette 19 Aug 2003 p. 3713</w:t>
      </w:r>
      <w:r>
        <w:noBreakHyphen/>
        <w:t>14.]</w:t>
      </w:r>
    </w:p>
    <w:p>
      <w:pPr>
        <w:pStyle w:val="Heading5"/>
        <w:rPr>
          <w:snapToGrid w:val="0"/>
        </w:rPr>
      </w:pPr>
      <w:bookmarkStart w:id="17" w:name="_Toc378175657"/>
      <w:bookmarkStart w:id="18" w:name="_Toc487186621"/>
      <w:r>
        <w:rPr>
          <w:rStyle w:val="CharSectno"/>
        </w:rPr>
        <w:t>5</w:t>
      </w:r>
      <w:r>
        <w:rPr>
          <w:snapToGrid w:val="0"/>
        </w:rPr>
        <w:t>.</w:t>
      </w:r>
      <w:r>
        <w:rPr>
          <w:snapToGrid w:val="0"/>
        </w:rPr>
        <w:tab/>
        <w:t>Numbers of pearl oysters prescribed in respect of particular types of containers (Act s. 8(4))</w:t>
      </w:r>
      <w:bookmarkEnd w:id="17"/>
      <w:bookmarkEnd w:id="18"/>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19" w:name="_Toc378175658"/>
      <w:bookmarkStart w:id="20" w:name="_Toc487186622"/>
      <w:r>
        <w:rPr>
          <w:rStyle w:val="CharSectno"/>
        </w:rPr>
        <w:t>6</w:t>
      </w:r>
      <w:r>
        <w:rPr>
          <w:snapToGrid w:val="0"/>
        </w:rPr>
        <w:t>.</w:t>
      </w:r>
      <w:r>
        <w:rPr>
          <w:snapToGrid w:val="0"/>
        </w:rPr>
        <w:tab/>
        <w:t>Application fees (Act s. 19, 22)</w:t>
      </w:r>
      <w:bookmarkEnd w:id="19"/>
      <w:bookmarkEnd w:id="20"/>
    </w:p>
    <w:p>
      <w:pPr>
        <w:pStyle w:val="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THeadingNAm"/>
      </w:pPr>
      <w: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63"/>
        <w:gridCol w:w="2158"/>
      </w:tblGrid>
      <w:tr>
        <w:trPr>
          <w:tblHeader/>
        </w:trPr>
        <w:tc>
          <w:tcPr>
            <w:tcW w:w="3363" w:type="dxa"/>
          </w:tcPr>
          <w:p>
            <w:pPr>
              <w:pStyle w:val="TableNAm"/>
              <w:rPr>
                <w:b/>
              </w:rPr>
            </w:pPr>
            <w:r>
              <w:rPr>
                <w:b/>
              </w:rPr>
              <w:t>Lease, licence or permit</w:t>
            </w:r>
          </w:p>
        </w:tc>
        <w:tc>
          <w:tcPr>
            <w:tcW w:w="2158" w:type="dxa"/>
          </w:tcPr>
          <w:p>
            <w:pPr>
              <w:pStyle w:val="TableNAm"/>
              <w:rPr>
                <w:b/>
              </w:rPr>
            </w:pPr>
            <w:r>
              <w:rPr>
                <w:b/>
              </w:rPr>
              <w:t>Application fee ($)</w:t>
            </w:r>
          </w:p>
        </w:tc>
      </w:tr>
      <w:tr>
        <w:tc>
          <w:tcPr>
            <w:tcW w:w="3363" w:type="dxa"/>
          </w:tcPr>
          <w:p>
            <w:pPr>
              <w:pStyle w:val="TableNAm"/>
            </w:pPr>
            <w:r>
              <w:t>Farm lease</w:t>
            </w:r>
          </w:p>
        </w:tc>
        <w:tc>
          <w:tcPr>
            <w:tcW w:w="2158" w:type="dxa"/>
          </w:tcPr>
          <w:p>
            <w:pPr>
              <w:pStyle w:val="TableNAm"/>
            </w:pPr>
            <w:r>
              <w:t>2 283</w:t>
            </w:r>
          </w:p>
        </w:tc>
      </w:tr>
      <w:tr>
        <w:tc>
          <w:tcPr>
            <w:tcW w:w="3363" w:type="dxa"/>
          </w:tcPr>
          <w:p>
            <w:pPr>
              <w:pStyle w:val="TableNAm"/>
            </w:pPr>
            <w:r>
              <w:t xml:space="preserve">Pearling licence or permit </w:t>
            </w:r>
          </w:p>
        </w:tc>
        <w:tc>
          <w:tcPr>
            <w:tcW w:w="2158" w:type="dxa"/>
          </w:tcPr>
          <w:p>
            <w:pPr>
              <w:pStyle w:val="TableNAm"/>
            </w:pPr>
            <w:r>
              <w:t>406</w:t>
            </w:r>
          </w:p>
        </w:tc>
      </w:tr>
      <w:tr>
        <w:tc>
          <w:tcPr>
            <w:tcW w:w="3363" w:type="dxa"/>
          </w:tcPr>
          <w:p>
            <w:pPr>
              <w:pStyle w:val="TableNAm"/>
            </w:pPr>
            <w:r>
              <w:t>Hatchery licence or permit</w:t>
            </w:r>
          </w:p>
        </w:tc>
        <w:tc>
          <w:tcPr>
            <w:tcW w:w="2158" w:type="dxa"/>
          </w:tcPr>
          <w:p>
            <w:pPr>
              <w:pStyle w:val="TableNAm"/>
            </w:pPr>
            <w:r>
              <w:t>406</w:t>
            </w:r>
          </w:p>
        </w:tc>
      </w:tr>
    </w:tbl>
    <w:p>
      <w:pPr>
        <w:pStyle w:val="Subsection"/>
        <w:keepNext/>
      </w:pPr>
      <w:r>
        <w:tab/>
        <w:t>(2)</w:t>
      </w:r>
      <w:r>
        <w:tab/>
        <w:t xml:space="preserve">A person </w:t>
      </w:r>
      <w:r>
        <w:rPr>
          <w:snapToGrid w:val="0"/>
        </w:rPr>
        <w:t>requesting</w:t>
      </w:r>
      <w:r>
        <w:t xml:space="preserve"> the Minister to publish a notice under section 19 of the Act shall pay to the Minister a fee of $1 683.</w:t>
      </w:r>
    </w:p>
    <w:p>
      <w:pPr>
        <w:pStyle w:val="Footnotesection"/>
      </w:pPr>
      <w:r>
        <w:tab/>
        <w:t>[Regulation 6 amended: Gazette 30 Jun 1992 p. 2874; 29 Jun 1993 p. 3171; 28 Jun 1994 p. 3014; 22 Dec 1995 p. 6170; 17 Dec 1999 p. 6202; 28 Jun 2002 p. 3068; 7 Oct 2003 p. 4381; 15 Nov 2005 p. 5598; 10 Jul 2007 p. 3417; 15 Apr 2011 p. 1416; 7 Jul 2017 p. 3697.]</w:t>
      </w:r>
    </w:p>
    <w:p>
      <w:pPr>
        <w:pStyle w:val="Heading5"/>
        <w:rPr>
          <w:snapToGrid w:val="0"/>
        </w:rPr>
      </w:pPr>
      <w:bookmarkStart w:id="21" w:name="_Toc378175659"/>
      <w:bookmarkStart w:id="22" w:name="_Toc487186623"/>
      <w:r>
        <w:rPr>
          <w:rStyle w:val="CharSectno"/>
        </w:rPr>
        <w:t>7</w:t>
      </w:r>
      <w:r>
        <w:rPr>
          <w:snapToGrid w:val="0"/>
        </w:rPr>
        <w:t>.</w:t>
      </w:r>
      <w:r>
        <w:rPr>
          <w:snapToGrid w:val="0"/>
        </w:rPr>
        <w:tab/>
        <w:t>Requirements prescribed in respect of holders of pearl divers’ licences (Act s. 26(2)(a))</w:t>
      </w:r>
      <w:bookmarkEnd w:id="21"/>
      <w:bookmarkEnd w:id="22"/>
    </w:p>
    <w:p>
      <w:pPr>
        <w:pStyle w:val="Subsection"/>
        <w:keepNext/>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rPr>
          <w:snapToGrid w:val="0"/>
        </w:rPr>
      </w:pPr>
      <w:r>
        <w:rPr>
          <w:snapToGrid w:val="0"/>
        </w:rPr>
        <w:tab/>
        <w:t>(3)</w:t>
      </w:r>
      <w:r>
        <w:rPr>
          <w:snapToGrid w:val="0"/>
        </w:rPr>
        <w:tab/>
        <w:t>In subregulation (1)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pPr>
      <w:r>
        <w:tab/>
        <w:t>[Regulation 7 amended: Gazette 29 Apr 2011 p. 1523.]</w:t>
      </w:r>
    </w:p>
    <w:p>
      <w:pPr>
        <w:pStyle w:val="Heading5"/>
      </w:pPr>
      <w:bookmarkStart w:id="23" w:name="_Toc378175660"/>
      <w:bookmarkStart w:id="24" w:name="_Toc487186624"/>
      <w:r>
        <w:rPr>
          <w:rStyle w:val="CharSectno"/>
        </w:rPr>
        <w:t>8</w:t>
      </w:r>
      <w:r>
        <w:t>.</w:t>
      </w:r>
      <w:r>
        <w:tab/>
        <w:t>Annual fees for certain licences (Act s. 27(1)(b))</w:t>
      </w:r>
      <w:bookmarkEnd w:id="23"/>
      <w:bookmarkEnd w:id="24"/>
    </w:p>
    <w:p>
      <w:pPr>
        <w:pStyle w:val="Subsection"/>
      </w:pPr>
      <w:r>
        <w:tab/>
      </w:r>
      <w:r>
        <w:tab/>
        <w:t>For the purposes of section 27(1)(b) of the Act, the annual fee for a licence referred to in the Table is the fee set out opposite the licence.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rPr>
                <w:b/>
              </w:rPr>
            </w:pPr>
            <w:r>
              <w:rPr>
                <w:b/>
              </w:rPr>
              <w:t>Licence</w:t>
            </w:r>
          </w:p>
        </w:tc>
        <w:tc>
          <w:tcPr>
            <w:tcW w:w="1843" w:type="dxa"/>
          </w:tcPr>
          <w:p>
            <w:pPr>
              <w:pStyle w:val="TableNAm"/>
              <w:rPr>
                <w:b/>
              </w:rPr>
            </w:pPr>
            <w:r>
              <w:rPr>
                <w:b/>
              </w:rPr>
              <w:t>Fee ($)</w:t>
            </w:r>
          </w:p>
        </w:tc>
      </w:tr>
      <w:tr>
        <w:tc>
          <w:tcPr>
            <w:tcW w:w="3685" w:type="dxa"/>
          </w:tcPr>
          <w:p>
            <w:pPr>
              <w:pStyle w:val="TableNAm"/>
            </w:pPr>
            <w:r>
              <w:t>Pearl diver’s licence</w:t>
            </w:r>
          </w:p>
        </w:tc>
        <w:tc>
          <w:tcPr>
            <w:tcW w:w="1843" w:type="dxa"/>
          </w:tcPr>
          <w:p>
            <w:pPr>
              <w:pStyle w:val="TableNAm"/>
            </w:pPr>
            <w:r>
              <w:t>80</w:t>
            </w:r>
          </w:p>
        </w:tc>
      </w:tr>
      <w:tr>
        <w:tc>
          <w:tcPr>
            <w:tcW w:w="3685" w:type="dxa"/>
          </w:tcPr>
          <w:p>
            <w:pPr>
              <w:pStyle w:val="TableNAm"/>
            </w:pPr>
            <w:r>
              <w:t>Pearl boat licence</w:t>
            </w:r>
          </w:p>
        </w:tc>
        <w:tc>
          <w:tcPr>
            <w:tcW w:w="1843" w:type="dxa"/>
          </w:tcPr>
          <w:p>
            <w:pPr>
              <w:pStyle w:val="TableNAm"/>
            </w:pPr>
            <w:r>
              <w:t>80</w:t>
            </w:r>
          </w:p>
        </w:tc>
      </w:tr>
      <w:tr>
        <w:tc>
          <w:tcPr>
            <w:tcW w:w="3685" w:type="dxa"/>
          </w:tcPr>
          <w:p>
            <w:pPr>
              <w:pStyle w:val="TableNAm"/>
            </w:pPr>
            <w:r>
              <w:t>Pearl boat master’s licence</w:t>
            </w:r>
          </w:p>
        </w:tc>
        <w:tc>
          <w:tcPr>
            <w:tcW w:w="1843" w:type="dxa"/>
          </w:tcPr>
          <w:p>
            <w:pPr>
              <w:pStyle w:val="TableNAm"/>
            </w:pPr>
            <w:r>
              <w:t>80</w:t>
            </w:r>
          </w:p>
        </w:tc>
      </w:tr>
    </w:tbl>
    <w:p>
      <w:pPr>
        <w:pStyle w:val="Footnotesection"/>
        <w:spacing w:before="80"/>
        <w:ind w:left="890" w:hanging="890"/>
      </w:pPr>
      <w:r>
        <w:tab/>
        <w:t>[Regulation 8 inserted: Gazette 15 Apr 2011 p. 1416.]</w:t>
      </w:r>
    </w:p>
    <w:p>
      <w:pPr>
        <w:pStyle w:val="Heading5"/>
        <w:rPr>
          <w:snapToGrid w:val="0"/>
        </w:rPr>
      </w:pPr>
      <w:bookmarkStart w:id="25" w:name="_Toc378175661"/>
      <w:bookmarkStart w:id="26" w:name="_Toc487186625"/>
      <w:r>
        <w:rPr>
          <w:rStyle w:val="CharSectno"/>
        </w:rPr>
        <w:t>9</w:t>
      </w:r>
      <w:r>
        <w:rPr>
          <w:snapToGrid w:val="0"/>
        </w:rPr>
        <w:t>.</w:t>
      </w:r>
      <w:r>
        <w:rPr>
          <w:snapToGrid w:val="0"/>
        </w:rPr>
        <w:tab/>
        <w:t>Transfers (Act s. 32)</w:t>
      </w:r>
      <w:bookmarkEnd w:id="25"/>
      <w:bookmarkEnd w:id="26"/>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r>
        <w:t>CEO</w:t>
      </w:r>
      <w:r>
        <w:rPr>
          <w:snapToGrid w:val="0"/>
        </w:rPr>
        <w:t xml:space="preserve"> in an approved form (or, if no form is approved, in writing) with the appropriate fee as set out in the Table to this regulation.</w:t>
      </w:r>
    </w:p>
    <w:p>
      <w:pPr>
        <w:pStyle w:val="THeadingNAm"/>
        <w:rPr>
          <w:snapToGrid w:val="0"/>
        </w:rPr>
      </w:pPr>
      <w:r>
        <w:rPr>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ind w:left="201" w:hanging="201"/>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t>737</w:t>
            </w:r>
          </w:p>
        </w:tc>
      </w:tr>
      <w:tr>
        <w:tc>
          <w:tcPr>
            <w:tcW w:w="4536" w:type="dxa"/>
          </w:tcPr>
          <w:p>
            <w:pPr>
              <w:pStyle w:val="Table"/>
              <w:spacing w:before="0"/>
              <w:ind w:left="201" w:hanging="201"/>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82</w:t>
            </w:r>
          </w:p>
        </w:tc>
      </w:tr>
      <w:tr>
        <w:tc>
          <w:tcPr>
            <w:tcW w:w="4536" w:type="dxa"/>
          </w:tcPr>
          <w:p>
            <w:pPr>
              <w:pStyle w:val="Table"/>
              <w:spacing w:before="0"/>
              <w:ind w:left="201" w:hanging="201"/>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82</w:t>
            </w:r>
          </w:p>
        </w:tc>
      </w:tr>
      <w:tr>
        <w:tc>
          <w:tcPr>
            <w:tcW w:w="4536" w:type="dxa"/>
          </w:tcPr>
          <w:p>
            <w:pPr>
              <w:pStyle w:val="Table"/>
              <w:spacing w:before="0"/>
              <w:ind w:left="201" w:hanging="201"/>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t>455</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may be made in relation to a permanent or temporary approved transfer, but the request can be made only if the holder of the licence from which part, or all, of the quota is to be transferred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CEO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Gazette 17 Dec 1999 p. 6203; amended: Gazette 28 Jun 2002 p. 3068</w:t>
      </w:r>
      <w:r>
        <w:noBreakHyphen/>
        <w:t>9; 10 Sep 2002 p. 4594</w:t>
      </w:r>
      <w:r>
        <w:noBreakHyphen/>
        <w:t>5; 7 Oct 2003 p. 4381; 15 Nov 2005 p. 5598; 10 Jul 2007 p. 3418; 15 Apr 2011 p. 1416-17; 7 Jul 2017 p. 3697.]</w:t>
      </w:r>
    </w:p>
    <w:p>
      <w:pPr>
        <w:pStyle w:val="Heading5"/>
      </w:pPr>
      <w:bookmarkStart w:id="27" w:name="_Toc378175662"/>
      <w:bookmarkStart w:id="28" w:name="_Toc487186626"/>
      <w:r>
        <w:rPr>
          <w:rStyle w:val="CharSectno"/>
        </w:rPr>
        <w:t>9A</w:t>
      </w:r>
      <w:r>
        <w:t>.</w:t>
      </w:r>
      <w:r>
        <w:tab/>
        <w:t>Payment by instalments (Act s. 27(1)(a))</w:t>
      </w:r>
      <w:bookmarkEnd w:id="27"/>
      <w:bookmarkEnd w:id="28"/>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If a fee referred to in subregulation (1) is to be paid by instalments, a surcharge of —</w:t>
      </w:r>
    </w:p>
    <w:p>
      <w:pPr>
        <w:pStyle w:val="Indenta"/>
        <w:spacing w:before="70"/>
      </w:pPr>
      <w:r>
        <w:tab/>
        <w:t>(a)</w:t>
      </w:r>
      <w:r>
        <w:tab/>
        <w:t>10% of that fee; or</w:t>
      </w:r>
    </w:p>
    <w:p>
      <w:pPr>
        <w:pStyle w:val="Indenta"/>
        <w:spacing w:before="70"/>
      </w:pPr>
      <w:r>
        <w:tab/>
        <w:t>(b)</w:t>
      </w:r>
      <w:r>
        <w:tab/>
        <w:t>any lesser percentage of that fee, if such a percentage is specified in the notice,</w:t>
      </w:r>
    </w:p>
    <w:p>
      <w:pPr>
        <w:pStyle w:val="Subsection"/>
        <w:spacing w:before="120"/>
      </w:pPr>
      <w:r>
        <w:tab/>
      </w:r>
      <w:r>
        <w:tab/>
        <w:t>is payable with the first instalment.</w:t>
      </w:r>
    </w:p>
    <w:p>
      <w:pPr>
        <w:pStyle w:val="Subsection"/>
      </w:pPr>
      <w:r>
        <w:tab/>
        <w:t>(3)</w:t>
      </w:r>
      <w:r>
        <w:tab/>
        <w:t xml:space="preserve">If an instalment of a fee, including the surcharge if payable with the instalment, is not paid on or before the day specified in the notice (the </w:t>
      </w:r>
      <w:r>
        <w:rPr>
          <w:rStyle w:val="CharDefText"/>
        </w:rPr>
        <w:t>due date</w:t>
      </w:r>
      <w:r>
        <w:t>) —</w:t>
      </w:r>
    </w:p>
    <w:p>
      <w:pPr>
        <w:pStyle w:val="Indenta"/>
        <w:spacing w:before="70"/>
      </w:pPr>
      <w:r>
        <w:tab/>
        <w:t>(a)</w:t>
      </w:r>
      <w:r>
        <w:tab/>
        <w:t>the full amount outstanding of the fee becomes immediately payable; and</w:t>
      </w:r>
    </w:p>
    <w:p>
      <w:pPr>
        <w:pStyle w:val="Indenta"/>
        <w:spacing w:before="70"/>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In subregulation (3) —</w:t>
      </w:r>
    </w:p>
    <w:p>
      <w:pPr>
        <w:pStyle w:val="Defstart"/>
      </w:pPr>
      <w:r>
        <w:tab/>
      </w:r>
      <w:r>
        <w:rPr>
          <w:rStyle w:val="CharDefText"/>
        </w:rPr>
        <w:t>full amount outstanding of the fee</w:t>
      </w:r>
      <w:r>
        <w:t xml:space="preserve"> includes the surcharge payable under subregulation (2).</w:t>
      </w:r>
    </w:p>
    <w:p>
      <w:pPr>
        <w:pStyle w:val="Footnotesection"/>
      </w:pPr>
      <w:r>
        <w:tab/>
        <w:t>[Regulation 9A inserted: Gazette 18 Dec 1998 p. 6758.]</w:t>
      </w:r>
    </w:p>
    <w:p>
      <w:pPr>
        <w:pStyle w:val="Heading5"/>
        <w:rPr>
          <w:snapToGrid w:val="0"/>
        </w:rPr>
      </w:pPr>
      <w:bookmarkStart w:id="29" w:name="_Toc378175663"/>
      <w:bookmarkStart w:id="30" w:name="_Toc487186627"/>
      <w:r>
        <w:rPr>
          <w:rStyle w:val="CharSectno"/>
        </w:rPr>
        <w:t>10</w:t>
      </w:r>
      <w:r>
        <w:rPr>
          <w:snapToGrid w:val="0"/>
        </w:rPr>
        <w:t>.</w:t>
      </w:r>
      <w:r>
        <w:rPr>
          <w:snapToGrid w:val="0"/>
        </w:rPr>
        <w:tab/>
        <w:t>Prescribed manner of sale of seized pearl oysters or pearl oyster spat (Act s. 55(1)(a), (b))</w:t>
      </w:r>
      <w:bookmarkEnd w:id="29"/>
      <w:bookmarkEnd w:id="30"/>
    </w:p>
    <w:p>
      <w:pPr>
        <w:pStyle w:val="Subsection"/>
        <w:rPr>
          <w:snapToGrid w:val="0"/>
        </w:rPr>
      </w:pPr>
      <w:r>
        <w:rPr>
          <w:snapToGrid w:val="0"/>
        </w:rPr>
        <w:tab/>
      </w:r>
      <w:r>
        <w:rPr>
          <w:snapToGrid w:val="0"/>
        </w:rPr>
        <w:tab/>
        <w:t xml:space="preserve">For the purposes of section 55(1)(a)(ii) and (b)(i) of the Act, the </w:t>
      </w:r>
      <w:r>
        <w:t>CEO</w:t>
      </w:r>
      <w:r>
        <w:rPr>
          <w:snapToGrid w:val="0"/>
        </w:rPr>
        <w:t xml:space="preserve"> may, with the approval in writing of the Minister, sell the relevant pearl oysters or pearl oyster spat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pPr>
      <w:r>
        <w:tab/>
        <w:t>[Regulation 10 amended: Gazette 15 Apr 2011 p. 1417.]</w:t>
      </w:r>
    </w:p>
    <w:p>
      <w:pPr>
        <w:pStyle w:val="Heading2"/>
      </w:pPr>
      <w:bookmarkStart w:id="31" w:name="_Toc378175664"/>
      <w:bookmarkStart w:id="32" w:name="_Toc424216660"/>
      <w:bookmarkStart w:id="33" w:name="_Toc487186628"/>
      <w:r>
        <w:rPr>
          <w:rStyle w:val="CharPartNo"/>
        </w:rPr>
        <w:t>Part 3</w:t>
      </w:r>
      <w:r>
        <w:rPr>
          <w:rStyle w:val="CharDivNo"/>
        </w:rPr>
        <w:t> </w:t>
      </w:r>
      <w:r>
        <w:t>—</w:t>
      </w:r>
      <w:r>
        <w:rPr>
          <w:rStyle w:val="CharDivText"/>
        </w:rPr>
        <w:t> </w:t>
      </w:r>
      <w:r>
        <w:rPr>
          <w:rStyle w:val="CharPartText"/>
        </w:rPr>
        <w:t>Forms</w:t>
      </w:r>
      <w:bookmarkEnd w:id="31"/>
      <w:bookmarkEnd w:id="32"/>
      <w:bookmarkEnd w:id="33"/>
    </w:p>
    <w:p>
      <w:pPr>
        <w:pStyle w:val="Footnoteheading"/>
        <w:rPr>
          <w:snapToGrid w:val="0"/>
        </w:rPr>
      </w:pPr>
      <w:r>
        <w:rPr>
          <w:snapToGrid w:val="0"/>
        </w:rPr>
        <w:tab/>
        <w:t>[Heading amended: Gazette 17 Dec 1999 p. 6203.]</w:t>
      </w:r>
    </w:p>
    <w:p>
      <w:pPr>
        <w:pStyle w:val="Heading5"/>
      </w:pPr>
      <w:bookmarkStart w:id="34" w:name="_Toc378175665"/>
      <w:bookmarkStart w:id="35" w:name="_Toc487186629"/>
      <w:r>
        <w:rPr>
          <w:rStyle w:val="CharSectno"/>
        </w:rPr>
        <w:t>11</w:t>
      </w:r>
      <w:r>
        <w:rPr>
          <w:snapToGrid w:val="0"/>
        </w:rPr>
        <w:t>.</w:t>
      </w:r>
      <w:r>
        <w:rPr>
          <w:snapToGrid w:val="0"/>
        </w:rPr>
        <w:tab/>
      </w:r>
      <w:r>
        <w:t>Annual notice of intent</w:t>
      </w:r>
      <w:bookmarkEnd w:id="34"/>
      <w:bookmarkEnd w:id="35"/>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Gazette 17 Dec 1999 p. 6203; amended: Gazette 10 Sep 2002 p. 4595.]</w:t>
      </w:r>
    </w:p>
    <w:p>
      <w:pPr>
        <w:pStyle w:val="Heading5"/>
        <w:rPr>
          <w:snapToGrid w:val="0"/>
        </w:rPr>
      </w:pPr>
      <w:bookmarkStart w:id="36" w:name="_Toc378175666"/>
      <w:bookmarkStart w:id="37" w:name="_Toc487186630"/>
      <w:r>
        <w:rPr>
          <w:rStyle w:val="CharSectno"/>
        </w:rPr>
        <w:t>12</w:t>
      </w:r>
      <w:r>
        <w:t>.</w:t>
      </w:r>
      <w:r>
        <w:tab/>
      </w:r>
      <w:r>
        <w:rPr>
          <w:snapToGrid w:val="0"/>
        </w:rPr>
        <w:t>Notice of pearling or hatchery activity</w:t>
      </w:r>
      <w:bookmarkEnd w:id="36"/>
      <w:bookmarkEnd w:id="37"/>
    </w:p>
    <w:p>
      <w:pPr>
        <w:pStyle w:val="Subsection"/>
        <w:rPr>
          <w:snapToGrid w:val="0"/>
        </w:rPr>
      </w:pPr>
      <w:r>
        <w:tab/>
      </w:r>
      <w:r>
        <w:tab/>
      </w:r>
      <w:r>
        <w:rPr>
          <w:snapToGrid w:val="0"/>
        </w:rPr>
        <w:t>A licensee or permit holder shall not carry out pearling or hatchery activities, nor allow any agent, employee or subordinate to carry out those activities, unless the licensee or permit holder has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Gazette 17 Dec 1999 p. 6203.]</w:t>
      </w:r>
    </w:p>
    <w:p>
      <w:pPr>
        <w:pStyle w:val="Heading5"/>
        <w:rPr>
          <w:snapToGrid w:val="0"/>
        </w:rPr>
      </w:pPr>
      <w:bookmarkStart w:id="38" w:name="_Toc378175667"/>
      <w:bookmarkStart w:id="39" w:name="_Toc487186631"/>
      <w:r>
        <w:rPr>
          <w:rStyle w:val="CharSectno"/>
        </w:rPr>
        <w:t>13</w:t>
      </w:r>
      <w:r>
        <w:rPr>
          <w:snapToGrid w:val="0"/>
        </w:rPr>
        <w:t>.</w:t>
      </w:r>
      <w:r>
        <w:rPr>
          <w:snapToGrid w:val="0"/>
        </w:rPr>
        <w:tab/>
        <w:t>Pearl oyster fishing daily log sheet</w:t>
      </w:r>
      <w:bookmarkEnd w:id="38"/>
      <w:bookmarkEnd w:id="39"/>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completing a pearl oyster fishing daily log sheet under subregulation (1), the master of the relevant catcher boat shall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 and</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Gazette 17 Dec 1999 p. 6204.]</w:t>
      </w:r>
    </w:p>
    <w:p>
      <w:pPr>
        <w:pStyle w:val="Heading5"/>
        <w:rPr>
          <w:snapToGrid w:val="0"/>
        </w:rPr>
      </w:pPr>
      <w:bookmarkStart w:id="40" w:name="_Toc378175668"/>
      <w:bookmarkStart w:id="41" w:name="_Toc487186632"/>
      <w:r>
        <w:rPr>
          <w:rStyle w:val="CharSectno"/>
        </w:rPr>
        <w:t>14</w:t>
      </w:r>
      <w:r>
        <w:rPr>
          <w:snapToGrid w:val="0"/>
        </w:rPr>
        <w:t>.</w:t>
      </w:r>
      <w:r>
        <w:rPr>
          <w:snapToGrid w:val="0"/>
        </w:rPr>
        <w:tab/>
        <w:t>Diver’s catch record log sheet</w:t>
      </w:r>
      <w:bookmarkEnd w:id="40"/>
      <w:bookmarkEnd w:id="41"/>
    </w:p>
    <w:p>
      <w:pPr>
        <w:pStyle w:val="Subsection"/>
        <w:rPr>
          <w:snapToGrid w:val="0"/>
          <w:spacing w:val="-4"/>
        </w:rPr>
      </w:pPr>
      <w:r>
        <w:rPr>
          <w:snapToGrid w:val="0"/>
          <w:spacing w:val="-4"/>
        </w:rPr>
        <w:tab/>
        <w:t>(1)</w:t>
      </w:r>
      <w:r>
        <w:rPr>
          <w:snapToGrid w:val="0"/>
          <w:spacing w:val="-4"/>
        </w:rPr>
        <w:tab/>
        <w:t>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w:t>
      </w:r>
    </w:p>
    <w:p>
      <w:pPr>
        <w:pStyle w:val="Subsection"/>
        <w:rPr>
          <w:snapToGrid w:val="0"/>
        </w:rPr>
      </w:pPr>
      <w:r>
        <w:rPr>
          <w:snapToGrid w:val="0"/>
        </w:rPr>
        <w:tab/>
        <w:t>(2)</w:t>
      </w:r>
      <w:r>
        <w:rPr>
          <w:snapToGrid w:val="0"/>
        </w:rPr>
        <w:tab/>
        <w:t>The master of a catcher boat who completes a diver’s catch record log sheet under subregulation (1) shall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Gazette 17 Dec 1999 p. 6204.]</w:t>
      </w:r>
    </w:p>
    <w:p>
      <w:pPr>
        <w:pStyle w:val="Heading5"/>
        <w:rPr>
          <w:snapToGrid w:val="0"/>
        </w:rPr>
      </w:pPr>
      <w:bookmarkStart w:id="42" w:name="_Toc378175669"/>
      <w:bookmarkStart w:id="43" w:name="_Toc487186633"/>
      <w:r>
        <w:rPr>
          <w:rStyle w:val="CharSectno"/>
        </w:rPr>
        <w:t>15</w:t>
      </w:r>
      <w:r>
        <w:rPr>
          <w:snapToGrid w:val="0"/>
        </w:rPr>
        <w:t>.</w:t>
      </w:r>
      <w:r>
        <w:rPr>
          <w:snapToGrid w:val="0"/>
        </w:rPr>
        <w:tab/>
        <w:t>Dump record log sheet</w:t>
      </w:r>
      <w:bookmarkEnd w:id="42"/>
      <w:bookmarkEnd w:id="43"/>
    </w:p>
    <w:p>
      <w:pPr>
        <w:pStyle w:val="Subsection"/>
        <w:rPr>
          <w:snapToGrid w:val="0"/>
        </w:rPr>
      </w:pPr>
      <w:r>
        <w:rPr>
          <w:snapToGrid w:val="0"/>
        </w:rPr>
        <w:tab/>
        <w:t>(1)</w:t>
      </w:r>
      <w:r>
        <w:rPr>
          <w:snapToGrid w:val="0"/>
        </w:rPr>
        <w:tab/>
        <w:t>Subject to this regulation, the master of a boat which is used —</w:t>
      </w:r>
    </w:p>
    <w:p>
      <w:pPr>
        <w:pStyle w:val="Indenta"/>
        <w:spacing w:before="60"/>
        <w:rPr>
          <w:snapToGrid w:val="0"/>
        </w:rPr>
      </w:pPr>
      <w:r>
        <w:rPr>
          <w:snapToGrid w:val="0"/>
        </w:rPr>
        <w:tab/>
        <w:t>(a)</w:t>
      </w:r>
      <w:r>
        <w:rPr>
          <w:snapToGrid w:val="0"/>
        </w:rPr>
        <w:tab/>
        <w:t>to take and dump pearl oysters; or</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rPr>
      </w:pPr>
      <w:r>
        <w:rPr>
          <w:snapToGrid w:val="0"/>
          <w:spacing w:val="-4"/>
        </w:rPr>
        <w:tab/>
        <w:t>(4)</w:t>
      </w:r>
      <w:r>
        <w:rPr>
          <w:snapToGrid w:val="0"/>
          <w:spacing w:val="-4"/>
        </w:rPr>
        <w:tab/>
      </w:r>
      <w:r>
        <w:rPr>
          <w:snapToGrid w:val="0"/>
        </w:rPr>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Gazette 17 Dec 1999 p. 6204.]</w:t>
      </w:r>
    </w:p>
    <w:p>
      <w:pPr>
        <w:pStyle w:val="Heading5"/>
      </w:pPr>
      <w:bookmarkStart w:id="44" w:name="_Toc378175670"/>
      <w:bookmarkStart w:id="45" w:name="_Toc487186634"/>
      <w:r>
        <w:rPr>
          <w:rStyle w:val="CharSectno"/>
        </w:rPr>
        <w:t>16</w:t>
      </w:r>
      <w:r>
        <w:t>.</w:t>
      </w:r>
      <w:r>
        <w:tab/>
        <w:t>Transport log sheet</w:t>
      </w:r>
      <w:bookmarkEnd w:id="44"/>
      <w:bookmarkEnd w:id="45"/>
    </w:p>
    <w:p>
      <w:pPr>
        <w:pStyle w:val="Subsection"/>
      </w:pPr>
      <w:r>
        <w:tab/>
        <w:t>(1)</w:t>
      </w:r>
      <w:r>
        <w:tab/>
        <w:t>Unless otherwise approved and subject to subregulation (2) —</w:t>
      </w:r>
    </w:p>
    <w:p>
      <w:pPr>
        <w:pStyle w:val="Indenta"/>
        <w:spacing w:before="70"/>
      </w:pPr>
      <w:r>
        <w:tab/>
        <w:t>(a)</w:t>
      </w:r>
      <w:r>
        <w:tab/>
        <w:t>the pilot of an aircraft</w:t>
      </w:r>
      <w:r>
        <w:rPr>
          <w:snapToGrid w:val="0"/>
        </w:rPr>
        <w:t>, or the driver of a vehicle,</w:t>
      </w:r>
      <w:r>
        <w:t xml:space="preserve"> which is used for transporting pearl oysters; or</w:t>
      </w:r>
    </w:p>
    <w:p>
      <w:pPr>
        <w:pStyle w:val="Indenta"/>
        <w:spacing w:before="70"/>
      </w:pPr>
      <w:r>
        <w:tab/>
        <w:t>(b)</w:t>
      </w:r>
      <w:r>
        <w:tab/>
        <w:t>the master of a transport boat,</w:t>
      </w:r>
    </w:p>
    <w:p>
      <w:pPr>
        <w:pStyle w:val="Subsection"/>
        <w:spacing w:before="120"/>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Subregulation (1) does not apply to or in relation to pearl oysters —</w:t>
      </w:r>
    </w:p>
    <w:p>
      <w:pPr>
        <w:pStyle w:val="Indenta"/>
        <w:spacing w:before="70"/>
        <w:rPr>
          <w:snapToGrid w:val="0"/>
        </w:rPr>
      </w:pPr>
      <w:r>
        <w:rPr>
          <w:snapToGrid w:val="0"/>
        </w:rPr>
        <w:tab/>
        <w:t>(a)</w:t>
      </w:r>
      <w:r>
        <w:rPr>
          <w:snapToGrid w:val="0"/>
        </w:rPr>
        <w:tab/>
        <w:t>transported entirely within the area of a pearl oyster farm (unless the pearl oysters are transported to or from a nursery site on that pearl oyster farm); or</w:t>
      </w:r>
    </w:p>
    <w:p>
      <w:pPr>
        <w:pStyle w:val="Indenta"/>
        <w:spacing w:before="70"/>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spacing w:before="70"/>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Gazette 17 Dec 1999 p. 6204</w:t>
      </w:r>
      <w:r>
        <w:noBreakHyphen/>
        <w:t>5.]</w:t>
      </w:r>
    </w:p>
    <w:p>
      <w:pPr>
        <w:pStyle w:val="Heading5"/>
      </w:pPr>
      <w:bookmarkStart w:id="46" w:name="_Toc378175671"/>
      <w:bookmarkStart w:id="47" w:name="_Toc487186635"/>
      <w:r>
        <w:rPr>
          <w:rStyle w:val="CharSectno"/>
        </w:rPr>
        <w:t>17</w:t>
      </w:r>
      <w:r>
        <w:t>.</w:t>
      </w:r>
      <w:r>
        <w:tab/>
        <w:t>Transport (seeding) log sheet</w:t>
      </w:r>
      <w:bookmarkEnd w:id="46"/>
      <w:bookmarkEnd w:id="47"/>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Gazette 17 Dec 1999 p. 6205.]</w:t>
      </w:r>
    </w:p>
    <w:p>
      <w:pPr>
        <w:pStyle w:val="Heading5"/>
        <w:rPr>
          <w:snapToGrid w:val="0"/>
        </w:rPr>
      </w:pPr>
      <w:bookmarkStart w:id="48" w:name="_Toc378175672"/>
      <w:bookmarkStart w:id="49" w:name="_Toc487186636"/>
      <w:r>
        <w:rPr>
          <w:rStyle w:val="CharSectno"/>
        </w:rPr>
        <w:t>18</w:t>
      </w:r>
      <w:r>
        <w:t>.</w:t>
      </w:r>
      <w:r>
        <w:tab/>
      </w:r>
      <w:r>
        <w:rPr>
          <w:snapToGrid w:val="0"/>
        </w:rPr>
        <w:t>Pearl seeding log sheet</w:t>
      </w:r>
      <w:bookmarkEnd w:id="48"/>
      <w:bookmarkEnd w:id="49"/>
    </w:p>
    <w:p>
      <w:pPr>
        <w:pStyle w:val="Subsection"/>
        <w:rPr>
          <w:snapToGrid w:val="0"/>
        </w:rPr>
      </w:pPr>
      <w:r>
        <w:rPr>
          <w:snapToGrid w:val="0"/>
        </w:rPr>
        <w:tab/>
      </w:r>
      <w:r>
        <w:rPr>
          <w:snapToGrid w:val="0"/>
        </w:rPr>
        <w:tab/>
        <w:t>A licensee or permit holder shall complete a pearl seeding log sheet in an approved form for each day on which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Gazette 17 Dec 1999 p. 6205.]</w:t>
      </w:r>
    </w:p>
    <w:p>
      <w:pPr>
        <w:pStyle w:val="Heading5"/>
      </w:pPr>
      <w:bookmarkStart w:id="50" w:name="_Toc378175673"/>
      <w:bookmarkStart w:id="51" w:name="_Toc487186637"/>
      <w:r>
        <w:rPr>
          <w:rStyle w:val="CharSectno"/>
        </w:rPr>
        <w:t>18A</w:t>
      </w:r>
      <w:r>
        <w:rPr>
          <w:snapToGrid w:val="0"/>
        </w:rPr>
        <w:t>.</w:t>
      </w:r>
      <w:r>
        <w:rPr>
          <w:snapToGrid w:val="0"/>
        </w:rPr>
        <w:tab/>
      </w:r>
      <w:r>
        <w:t>Pearl oyster tag log sheet</w:t>
      </w:r>
      <w:bookmarkEnd w:id="50"/>
      <w:bookmarkEnd w:id="51"/>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issued; or</w:t>
      </w:r>
    </w:p>
    <w:p>
      <w:pPr>
        <w:pStyle w:val="Indenta"/>
      </w:pPr>
      <w:r>
        <w:tab/>
        <w:t>(b)</w:t>
      </w:r>
      <w:r>
        <w:tab/>
        <w:t>allocated by the licensee or permit holder to a boat crew; or</w:t>
      </w:r>
    </w:p>
    <w:p>
      <w:pPr>
        <w:pStyle w:val="Indenta"/>
      </w:pPr>
      <w:r>
        <w:tab/>
        <w:t>(c)</w:t>
      </w:r>
      <w:r>
        <w:tab/>
        <w:t>affixed to designated containers; or</w:t>
      </w:r>
    </w:p>
    <w:p>
      <w:pPr>
        <w:pStyle w:val="Indenta"/>
        <w:keepNext/>
      </w:pPr>
      <w:r>
        <w:tab/>
        <w:t>(d)</w:t>
      </w:r>
      <w:r>
        <w:tab/>
        <w:t>removed from designated containers.</w:t>
      </w:r>
    </w:p>
    <w:p>
      <w:pPr>
        <w:pStyle w:val="Penstart"/>
      </w:pPr>
      <w:r>
        <w:tab/>
        <w:t>Penalty: $1 000.</w:t>
      </w:r>
    </w:p>
    <w:p>
      <w:pPr>
        <w:pStyle w:val="Footnotesection"/>
      </w:pPr>
      <w:r>
        <w:tab/>
        <w:t>[Regulation 18A inserted: Gazette 17 Dec 1999 p. 6205</w:t>
      </w:r>
      <w:r>
        <w:noBreakHyphen/>
        <w:t>6.]</w:t>
      </w:r>
    </w:p>
    <w:p>
      <w:pPr>
        <w:pStyle w:val="Heading5"/>
        <w:rPr>
          <w:snapToGrid w:val="0"/>
        </w:rPr>
      </w:pPr>
      <w:bookmarkStart w:id="52" w:name="_Toc378175674"/>
      <w:bookmarkStart w:id="53" w:name="_Toc487186638"/>
      <w:r>
        <w:rPr>
          <w:rStyle w:val="CharSectno"/>
        </w:rPr>
        <w:t>18B</w:t>
      </w:r>
      <w:r>
        <w:rPr>
          <w:snapToGrid w:val="0"/>
        </w:rPr>
        <w:t>.</w:t>
      </w:r>
      <w:r>
        <w:rPr>
          <w:snapToGrid w:val="0"/>
        </w:rPr>
        <w:tab/>
        <w:t>Notice of settlement of spat</w:t>
      </w:r>
      <w:bookmarkEnd w:id="52"/>
      <w:bookmarkEnd w:id="53"/>
    </w:p>
    <w:p>
      <w:pPr>
        <w:pStyle w:val="Subsection"/>
        <w:keepNext/>
        <w:keepLines/>
        <w:rPr>
          <w:snapToGrid w:val="0"/>
        </w:rPr>
      </w:pPr>
      <w:r>
        <w:rPr>
          <w:snapToGrid w:val="0"/>
        </w:rPr>
        <w:tab/>
      </w:r>
      <w:r>
        <w:rPr>
          <w:snapToGrid w:val="0"/>
        </w:rPr>
        <w:tab/>
        <w:t>A licensee or permit holder operating a hatchery in which settlement of a batch of spat occurs shall —</w:t>
      </w:r>
    </w:p>
    <w:p>
      <w:pPr>
        <w:pStyle w:val="Indenta"/>
        <w:spacing w:before="70"/>
        <w:rPr>
          <w:snapToGrid w:val="0"/>
        </w:rPr>
      </w:pPr>
      <w:r>
        <w:rPr>
          <w:snapToGrid w:val="0"/>
        </w:rPr>
        <w:tab/>
        <w:t>(a)</w:t>
      </w:r>
      <w:r>
        <w:rPr>
          <w:snapToGrid w:val="0"/>
        </w:rPr>
        <w:tab/>
        <w:t>complete a notice of settlement of spat in an approved form within 24 hours of the completion of that settlement; and</w:t>
      </w:r>
    </w:p>
    <w:p>
      <w:pPr>
        <w:pStyle w:val="Indenta"/>
        <w:spacing w:before="70"/>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Gazette 17 Dec 1999 p. 6206.]</w:t>
      </w:r>
    </w:p>
    <w:p>
      <w:pPr>
        <w:pStyle w:val="Heading5"/>
        <w:rPr>
          <w:snapToGrid w:val="0"/>
        </w:rPr>
      </w:pPr>
      <w:bookmarkStart w:id="54" w:name="_Toc378175675"/>
      <w:bookmarkStart w:id="55" w:name="_Toc487186639"/>
      <w:r>
        <w:rPr>
          <w:rStyle w:val="CharSectno"/>
        </w:rPr>
        <w:t>18C</w:t>
      </w:r>
      <w:r>
        <w:rPr>
          <w:snapToGrid w:val="0"/>
        </w:rPr>
        <w:t>.</w:t>
      </w:r>
      <w:r>
        <w:rPr>
          <w:snapToGrid w:val="0"/>
        </w:rPr>
        <w:tab/>
        <w:t xml:space="preserve">Nursery site </w:t>
      </w:r>
      <w:r>
        <w:t>stock</w:t>
      </w:r>
      <w:r>
        <w:rPr>
          <w:snapToGrid w:val="0"/>
        </w:rPr>
        <w:t xml:space="preserve"> report</w:t>
      </w:r>
      <w:bookmarkEnd w:id="54"/>
      <w:bookmarkEnd w:id="55"/>
    </w:p>
    <w:p>
      <w:pPr>
        <w:pStyle w:val="Subsection"/>
        <w:keepNext/>
        <w:keepLines/>
        <w:rPr>
          <w:snapToGrid w:val="0"/>
        </w:rPr>
      </w:pPr>
      <w:r>
        <w:rPr>
          <w:snapToGrid w:val="0"/>
        </w:rPr>
        <w:tab/>
        <w:t>(1)</w:t>
      </w:r>
      <w:r>
        <w:rPr>
          <w:snapToGrid w:val="0"/>
        </w:rPr>
        <w:tab/>
        <w:t>A licensee or permit holder who is licensed or permitted to use a nursery site shall —</w:t>
      </w:r>
    </w:p>
    <w:p>
      <w:pPr>
        <w:pStyle w:val="Indenta"/>
        <w:spacing w:before="70"/>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spacing w:before="70"/>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Gazette 17 Dec 1999 p. 6206.]</w:t>
      </w:r>
    </w:p>
    <w:p>
      <w:pPr>
        <w:pStyle w:val="Heading5"/>
      </w:pPr>
      <w:bookmarkStart w:id="56" w:name="_Toc378175676"/>
      <w:bookmarkStart w:id="57" w:name="_Toc487186640"/>
      <w:r>
        <w:rPr>
          <w:rStyle w:val="CharSectno"/>
        </w:rPr>
        <w:t>19</w:t>
      </w:r>
      <w:r>
        <w:rPr>
          <w:snapToGrid w:val="0"/>
        </w:rPr>
        <w:t>.</w:t>
      </w:r>
      <w:r>
        <w:rPr>
          <w:snapToGrid w:val="0"/>
        </w:rPr>
        <w:tab/>
        <w:t>Completion of forms</w:t>
      </w:r>
      <w:bookmarkEnd w:id="56"/>
      <w:bookmarkEnd w:id="57"/>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in log books; or</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w:t>
      </w:r>
    </w:p>
    <w:p>
      <w:pPr>
        <w:pStyle w:val="Indenta"/>
        <w:rPr>
          <w:snapToGrid w:val="0"/>
        </w:rPr>
      </w:pPr>
      <w:r>
        <w:rPr>
          <w:snapToGrid w:val="0"/>
        </w:rPr>
        <w:tab/>
        <w:t>(a)</w:t>
      </w:r>
      <w:r>
        <w:rPr>
          <w:snapToGrid w:val="0"/>
        </w:rPr>
        <w:tab/>
        <w:t>do so only in respect of that aircraft, vehicle or boat; and</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need not sign the electronic form; and</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Gazette 17 Dec 1999 p. 6206</w:t>
      </w:r>
      <w:r>
        <w:noBreakHyphen/>
        <w:t>7.]</w:t>
      </w:r>
    </w:p>
    <w:p>
      <w:pPr>
        <w:pStyle w:val="Heading5"/>
      </w:pPr>
      <w:bookmarkStart w:id="58" w:name="_Toc378175677"/>
      <w:bookmarkStart w:id="59" w:name="_Toc487186641"/>
      <w:r>
        <w:rPr>
          <w:rStyle w:val="CharSectno"/>
        </w:rPr>
        <w:t>19A</w:t>
      </w:r>
      <w:r>
        <w:t>.</w:t>
      </w:r>
      <w:r>
        <w:tab/>
        <w:t>Lodgment of forms</w:t>
      </w:r>
      <w:bookmarkEnd w:id="58"/>
      <w:bookmarkEnd w:id="59"/>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If a person lodges a form electronically the person must keep a paper copy of the form together with such documentation as is reasonably necessary to prove that the form was sent electronically and the time and date it was sent.</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Gazette 17 Dec 1999 p. 6207</w:t>
      </w:r>
      <w:r>
        <w:noBreakHyphen/>
        <w:t>8.]</w:t>
      </w:r>
    </w:p>
    <w:p>
      <w:pPr>
        <w:pStyle w:val="Heading5"/>
        <w:rPr>
          <w:snapToGrid w:val="0"/>
        </w:rPr>
      </w:pPr>
      <w:bookmarkStart w:id="60" w:name="_Toc378175678"/>
      <w:bookmarkStart w:id="61" w:name="_Toc487186642"/>
      <w:r>
        <w:rPr>
          <w:rStyle w:val="CharSectno"/>
        </w:rPr>
        <w:t>20</w:t>
      </w:r>
      <w:r>
        <w:rPr>
          <w:snapToGrid w:val="0"/>
        </w:rPr>
        <w:t>.</w:t>
      </w:r>
      <w:r>
        <w:rPr>
          <w:snapToGrid w:val="0"/>
        </w:rPr>
        <w:tab/>
        <w:t>Power of inspector to direct delivery of form</w:t>
      </w:r>
      <w:bookmarkEnd w:id="60"/>
      <w:bookmarkEnd w:id="61"/>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Gazette 17 Dec 1999 p. 6208.]</w:t>
      </w:r>
    </w:p>
    <w:p>
      <w:pPr>
        <w:pStyle w:val="Heading2"/>
      </w:pPr>
      <w:bookmarkStart w:id="62" w:name="_Toc378175679"/>
      <w:bookmarkStart w:id="63" w:name="_Toc424216675"/>
      <w:bookmarkStart w:id="64" w:name="_Toc487186643"/>
      <w:r>
        <w:rPr>
          <w:rStyle w:val="CharPartNo"/>
        </w:rPr>
        <w:t>Part 4</w:t>
      </w:r>
      <w:r>
        <w:rPr>
          <w:rStyle w:val="CharDivNo"/>
        </w:rPr>
        <w:t> </w:t>
      </w:r>
      <w:r>
        <w:t>—</w:t>
      </w:r>
      <w:r>
        <w:rPr>
          <w:rStyle w:val="CharDivText"/>
        </w:rPr>
        <w:t> </w:t>
      </w:r>
      <w:r>
        <w:rPr>
          <w:rStyle w:val="CharPartText"/>
        </w:rPr>
        <w:t>Designated containers and tags</w:t>
      </w:r>
      <w:bookmarkEnd w:id="62"/>
      <w:bookmarkEnd w:id="63"/>
      <w:bookmarkEnd w:id="64"/>
    </w:p>
    <w:p>
      <w:pPr>
        <w:pStyle w:val="Heading5"/>
        <w:rPr>
          <w:snapToGrid w:val="0"/>
        </w:rPr>
      </w:pPr>
      <w:bookmarkStart w:id="65" w:name="_Toc378175680"/>
      <w:bookmarkStart w:id="66" w:name="_Toc487186644"/>
      <w:r>
        <w:rPr>
          <w:rStyle w:val="CharSectno"/>
        </w:rPr>
        <w:t>21</w:t>
      </w:r>
      <w:r>
        <w:rPr>
          <w:snapToGrid w:val="0"/>
        </w:rPr>
        <w:t>.</w:t>
      </w:r>
      <w:r>
        <w:rPr>
          <w:snapToGrid w:val="0"/>
        </w:rPr>
        <w:tab/>
        <w:t>Pearl oysters to be held in designated containers</w:t>
      </w:r>
      <w:bookmarkEnd w:id="65"/>
      <w:bookmarkEnd w:id="66"/>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w:t>
      </w:r>
    </w:p>
    <w:p>
      <w:pPr>
        <w:pStyle w:val="Indenta"/>
      </w:pPr>
      <w:r>
        <w:tab/>
        <w:t>(a)</w:t>
      </w:r>
      <w:r>
        <w:tab/>
        <w:t>is removed from a designated container for the purpose of subjecting the pearl oyster to pearl seeding operations on board an operation boat; or</w:t>
      </w:r>
    </w:p>
    <w:p>
      <w:pPr>
        <w:pStyle w:val="Indenta"/>
      </w:pPr>
      <w:r>
        <w:tab/>
        <w:t>(b)</w:t>
      </w:r>
      <w:r>
        <w:tab/>
      </w:r>
      <w:r>
        <w:rPr>
          <w:snapToGrid w:val="0"/>
        </w:rPr>
        <w:t xml:space="preserve">subject to paragraphs (e) and (f), </w:t>
      </w:r>
      <w:r>
        <w:t>is being held on a pearl oyster farm; or</w:t>
      </w:r>
    </w:p>
    <w:p>
      <w:pPr>
        <w:pStyle w:val="Indenta"/>
      </w:pPr>
      <w:r>
        <w:tab/>
        <w:t>(c)</w:t>
      </w:r>
      <w:r>
        <w:tab/>
        <w:t>is being taken by the holder of a pearl diver’s licence; or</w:t>
      </w:r>
    </w:p>
    <w:p>
      <w:pPr>
        <w:pStyle w:val="Indenta"/>
        <w:rPr>
          <w:snapToGrid w:val="0"/>
        </w:rPr>
      </w:pPr>
      <w:r>
        <w:tab/>
        <w:t>(d)</w:t>
      </w:r>
      <w:r>
        <w:tab/>
      </w:r>
      <w:r>
        <w:rPr>
          <w:snapToGrid w:val="0"/>
        </w:rPr>
        <w:t>is spat which is being held in the hatchery in which it was produced; or</w:t>
      </w:r>
    </w:p>
    <w:p>
      <w:pPr>
        <w:pStyle w:val="Indenta"/>
        <w:rPr>
          <w:snapToGrid w:val="0"/>
        </w:rPr>
      </w:pPr>
      <w:r>
        <w:rPr>
          <w:snapToGrid w:val="0"/>
        </w:rPr>
        <w:tab/>
        <w:t>(e)</w:t>
      </w:r>
      <w:r>
        <w:rPr>
          <w:snapToGrid w:val="0"/>
        </w:rPr>
        <w:tab/>
        <w:t>is spat which is being held on a nursery site and which is less than 90 mm in length; or</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Gazette 17 Dec 1999 p. 6208</w:t>
      </w:r>
      <w:r>
        <w:noBreakHyphen/>
        <w:t>9.]</w:t>
      </w:r>
    </w:p>
    <w:p>
      <w:pPr>
        <w:pStyle w:val="Heading5"/>
        <w:keepNext w:val="0"/>
        <w:keepLines w:val="0"/>
        <w:rPr>
          <w:snapToGrid w:val="0"/>
        </w:rPr>
      </w:pPr>
      <w:bookmarkStart w:id="67" w:name="_Toc378175681"/>
      <w:bookmarkStart w:id="68" w:name="_Toc487186645"/>
      <w:r>
        <w:rPr>
          <w:rStyle w:val="CharSectno"/>
        </w:rPr>
        <w:t>22</w:t>
      </w:r>
      <w:r>
        <w:rPr>
          <w:snapToGrid w:val="0"/>
        </w:rPr>
        <w:t>.</w:t>
      </w:r>
      <w:r>
        <w:rPr>
          <w:snapToGrid w:val="0"/>
        </w:rPr>
        <w:tab/>
        <w:t>Pearl oysters to be placed in tagged designated containers after being taken</w:t>
      </w:r>
      <w:bookmarkEnd w:id="67"/>
      <w:bookmarkEnd w:id="68"/>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Gazette 17 Dec 1999 p. 6209.]</w:t>
      </w:r>
    </w:p>
    <w:p>
      <w:pPr>
        <w:pStyle w:val="Heading5"/>
        <w:rPr>
          <w:snapToGrid w:val="0"/>
        </w:rPr>
      </w:pPr>
      <w:bookmarkStart w:id="69" w:name="_Toc378175682"/>
      <w:bookmarkStart w:id="70" w:name="_Toc487186646"/>
      <w:r>
        <w:rPr>
          <w:rStyle w:val="CharSectno"/>
        </w:rPr>
        <w:t>23</w:t>
      </w:r>
      <w:r>
        <w:rPr>
          <w:snapToGrid w:val="0"/>
        </w:rPr>
        <w:t>.</w:t>
      </w:r>
      <w:r>
        <w:rPr>
          <w:snapToGrid w:val="0"/>
        </w:rPr>
        <w:tab/>
        <w:t>Manner in which designated containers to be filled</w:t>
      </w:r>
      <w:bookmarkEnd w:id="69"/>
      <w:bookmarkEnd w:id="70"/>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71" w:name="_Toc378175683"/>
      <w:bookmarkStart w:id="72" w:name="_Toc487186647"/>
      <w:r>
        <w:rPr>
          <w:rStyle w:val="CharSectno"/>
        </w:rPr>
        <w:t>24</w:t>
      </w:r>
      <w:r>
        <w:rPr>
          <w:snapToGrid w:val="0"/>
        </w:rPr>
        <w:t>.</w:t>
      </w:r>
      <w:r>
        <w:rPr>
          <w:snapToGrid w:val="0"/>
        </w:rPr>
        <w:tab/>
        <w:t>Issue and allocation of pearl oyster identification tags</w:t>
      </w:r>
      <w:bookmarkEnd w:id="71"/>
      <w:bookmarkEnd w:id="72"/>
    </w:p>
    <w:p>
      <w:pPr>
        <w:pStyle w:val="Subsection"/>
        <w:rPr>
          <w:snapToGrid w:val="0"/>
        </w:rPr>
      </w:pPr>
      <w:r>
        <w:rPr>
          <w:snapToGrid w:val="0"/>
        </w:rPr>
        <w:tab/>
        <w:t>(1)</w:t>
      </w:r>
      <w:r>
        <w:rPr>
          <w:snapToGrid w:val="0"/>
        </w:rPr>
        <w:tab/>
        <w:t>An inspector shall, on the application of a licensee or permit holder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take wildstock or broodstock; or</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whose licence or permit is subject to a condition referred to in section 26(2)(c) or (d)(ii) of the Act; and</w:t>
      </w:r>
    </w:p>
    <w:p>
      <w:pPr>
        <w:pStyle w:val="Indenta"/>
        <w:spacing w:before="60"/>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Gazette 17 Dec 1999 p. 6209.]</w:t>
      </w:r>
    </w:p>
    <w:p>
      <w:pPr>
        <w:pStyle w:val="Heading5"/>
        <w:rPr>
          <w:snapToGrid w:val="0"/>
        </w:rPr>
      </w:pPr>
      <w:bookmarkStart w:id="73" w:name="_Toc378175684"/>
      <w:bookmarkStart w:id="74" w:name="_Toc487186648"/>
      <w:r>
        <w:rPr>
          <w:rStyle w:val="CharSectno"/>
        </w:rPr>
        <w:t>25</w:t>
      </w:r>
      <w:r>
        <w:rPr>
          <w:snapToGrid w:val="0"/>
        </w:rPr>
        <w:t>.</w:t>
      </w:r>
      <w:r>
        <w:rPr>
          <w:snapToGrid w:val="0"/>
        </w:rPr>
        <w:tab/>
        <w:t>Tag specifications</w:t>
      </w:r>
      <w:bookmarkEnd w:id="73"/>
      <w:bookmarkEnd w:id="74"/>
    </w:p>
    <w:p>
      <w:pPr>
        <w:pStyle w:val="Subsection"/>
        <w:rPr>
          <w:snapToGrid w:val="0"/>
        </w:rPr>
      </w:pPr>
      <w:r>
        <w:rPr>
          <w:snapToGrid w:val="0"/>
        </w:rPr>
        <w:tab/>
      </w:r>
      <w:r>
        <w:rPr>
          <w:snapToGrid w:val="0"/>
        </w:rPr>
        <w:tab/>
        <w:t>Each tag shall —</w:t>
      </w:r>
    </w:p>
    <w:p>
      <w:pPr>
        <w:pStyle w:val="Indenta"/>
        <w:spacing w:before="60"/>
        <w:rPr>
          <w:snapToGrid w:val="0"/>
        </w:rPr>
      </w:pPr>
      <w:r>
        <w:rPr>
          <w:snapToGrid w:val="0"/>
        </w:rPr>
        <w:tab/>
        <w:t>(a)</w:t>
      </w:r>
      <w:r>
        <w:rPr>
          <w:snapToGrid w:val="0"/>
        </w:rPr>
        <w:tab/>
        <w:t>be of a locking type; and</w:t>
      </w:r>
    </w:p>
    <w:p>
      <w:pPr>
        <w:pStyle w:val="Indenta"/>
        <w:spacing w:before="60"/>
        <w:rPr>
          <w:snapToGrid w:val="0"/>
        </w:rPr>
      </w:pPr>
      <w:r>
        <w:rPr>
          <w:snapToGrid w:val="0"/>
        </w:rPr>
        <w:tab/>
        <w:t>(b)</w:t>
      </w:r>
      <w:r>
        <w:rPr>
          <w:snapToGrid w:val="0"/>
        </w:rPr>
        <w:tab/>
        <w:t>carry a serial number.</w:t>
      </w:r>
    </w:p>
    <w:p>
      <w:pPr>
        <w:pStyle w:val="Heading5"/>
        <w:rPr>
          <w:snapToGrid w:val="0"/>
        </w:rPr>
      </w:pPr>
      <w:bookmarkStart w:id="75" w:name="_Toc378175685"/>
      <w:bookmarkStart w:id="76" w:name="_Toc487186649"/>
      <w:r>
        <w:rPr>
          <w:rStyle w:val="CharSectno"/>
        </w:rPr>
        <w:t>26</w:t>
      </w:r>
      <w:r>
        <w:rPr>
          <w:snapToGrid w:val="0"/>
        </w:rPr>
        <w:t>.</w:t>
      </w:r>
      <w:r>
        <w:rPr>
          <w:snapToGrid w:val="0"/>
        </w:rPr>
        <w:tab/>
        <w:t>Use and possession of tags</w:t>
      </w:r>
      <w:bookmarkEnd w:id="75"/>
      <w:bookmarkEnd w:id="76"/>
    </w:p>
    <w:p>
      <w:pPr>
        <w:pStyle w:val="Subsection"/>
        <w:rPr>
          <w:snapToGrid w:val="0"/>
        </w:rPr>
      </w:pPr>
      <w:r>
        <w:rPr>
          <w:snapToGrid w:val="0"/>
        </w:rPr>
        <w:tab/>
        <w:t>(1)</w:t>
      </w:r>
      <w:r>
        <w:rPr>
          <w:snapToGrid w:val="0"/>
        </w:rPr>
        <w:tab/>
        <w:t>A person, other than —</w:t>
      </w:r>
    </w:p>
    <w:p>
      <w:pPr>
        <w:pStyle w:val="Indenta"/>
        <w:spacing w:before="60"/>
        <w:rPr>
          <w:snapToGrid w:val="0"/>
        </w:rPr>
      </w:pPr>
      <w:r>
        <w:rPr>
          <w:snapToGrid w:val="0"/>
        </w:rPr>
        <w:tab/>
        <w:t>(a)</w:t>
      </w:r>
      <w:r>
        <w:rPr>
          <w:snapToGrid w:val="0"/>
        </w:rPr>
        <w:tab/>
        <w:t>a licensee or permit holder to whom particular tags have been issued; or</w:t>
      </w:r>
    </w:p>
    <w:p>
      <w:pPr>
        <w:pStyle w:val="Indenta"/>
        <w:spacing w:before="60"/>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Gazette 17 Dec 1999 p. 6210.]</w:t>
      </w:r>
    </w:p>
    <w:p>
      <w:pPr>
        <w:pStyle w:val="Heading5"/>
        <w:rPr>
          <w:snapToGrid w:val="0"/>
        </w:rPr>
      </w:pPr>
      <w:bookmarkStart w:id="77" w:name="_Toc378175686"/>
      <w:bookmarkStart w:id="78" w:name="_Toc487186650"/>
      <w:r>
        <w:rPr>
          <w:rStyle w:val="CharSectno"/>
        </w:rPr>
        <w:t>27</w:t>
      </w:r>
      <w:r>
        <w:rPr>
          <w:snapToGrid w:val="0"/>
        </w:rPr>
        <w:t>.</w:t>
      </w:r>
      <w:r>
        <w:rPr>
          <w:snapToGrid w:val="0"/>
        </w:rPr>
        <w:tab/>
        <w:t>Transfer of tags</w:t>
      </w:r>
      <w:bookmarkEnd w:id="77"/>
      <w:bookmarkEnd w:id="78"/>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Gazette 17 Dec 1999 p. 6210.]</w:t>
      </w:r>
    </w:p>
    <w:p>
      <w:pPr>
        <w:pStyle w:val="Heading5"/>
        <w:rPr>
          <w:snapToGrid w:val="0"/>
        </w:rPr>
      </w:pPr>
      <w:bookmarkStart w:id="79" w:name="_Toc378175687"/>
      <w:bookmarkStart w:id="80" w:name="_Toc487186651"/>
      <w:r>
        <w:rPr>
          <w:rStyle w:val="CharSectno"/>
        </w:rPr>
        <w:t>28</w:t>
      </w:r>
      <w:r>
        <w:rPr>
          <w:snapToGrid w:val="0"/>
        </w:rPr>
        <w:t>.</w:t>
      </w:r>
      <w:r>
        <w:rPr>
          <w:snapToGrid w:val="0"/>
        </w:rPr>
        <w:tab/>
        <w:t>Boat not to be used for taking pearl oysters unless tags allocated to, and on board, boat</w:t>
      </w:r>
      <w:bookmarkEnd w:id="79"/>
      <w:bookmarkEnd w:id="80"/>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81" w:name="_Toc378175688"/>
      <w:bookmarkStart w:id="82" w:name="_Toc487186652"/>
      <w:r>
        <w:rPr>
          <w:rStyle w:val="CharSectno"/>
        </w:rPr>
        <w:t>29</w:t>
      </w:r>
      <w:r>
        <w:rPr>
          <w:snapToGrid w:val="0"/>
        </w:rPr>
        <w:t>.</w:t>
      </w:r>
      <w:r>
        <w:rPr>
          <w:snapToGrid w:val="0"/>
        </w:rPr>
        <w:tab/>
        <w:t>Affixing of tags</w:t>
      </w:r>
      <w:bookmarkEnd w:id="81"/>
      <w:bookmarkEnd w:id="82"/>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Gazette 17 Dec 1999 p. 6210.]</w:t>
      </w:r>
    </w:p>
    <w:p>
      <w:pPr>
        <w:pStyle w:val="Heading5"/>
        <w:rPr>
          <w:snapToGrid w:val="0"/>
        </w:rPr>
      </w:pPr>
      <w:bookmarkStart w:id="83" w:name="_Toc378175689"/>
      <w:bookmarkStart w:id="84" w:name="_Toc487186653"/>
      <w:r>
        <w:rPr>
          <w:rStyle w:val="CharSectno"/>
        </w:rPr>
        <w:t>30</w:t>
      </w:r>
      <w:r>
        <w:rPr>
          <w:snapToGrid w:val="0"/>
        </w:rPr>
        <w:t>.</w:t>
      </w:r>
      <w:r>
        <w:rPr>
          <w:snapToGrid w:val="0"/>
        </w:rPr>
        <w:tab/>
        <w:t>Removal of tags</w:t>
      </w:r>
      <w:bookmarkEnd w:id="83"/>
      <w:bookmarkEnd w:id="84"/>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Gazette 17 Dec 1999 p. 6210.]</w:t>
      </w:r>
    </w:p>
    <w:p>
      <w:pPr>
        <w:pStyle w:val="Heading2"/>
      </w:pPr>
      <w:bookmarkStart w:id="85" w:name="_Toc378175690"/>
      <w:bookmarkStart w:id="86" w:name="_Toc424216686"/>
      <w:bookmarkStart w:id="87" w:name="_Toc487186654"/>
      <w:r>
        <w:rPr>
          <w:rStyle w:val="CharPartNo"/>
        </w:rPr>
        <w:t>Part 5</w:t>
      </w:r>
      <w:r>
        <w:t> — </w:t>
      </w:r>
      <w:r>
        <w:rPr>
          <w:rStyle w:val="CharPartText"/>
        </w:rPr>
        <w:t>Dumping of pearl oysters</w:t>
      </w:r>
      <w:bookmarkEnd w:id="85"/>
      <w:bookmarkEnd w:id="86"/>
      <w:bookmarkEnd w:id="87"/>
    </w:p>
    <w:p>
      <w:pPr>
        <w:pStyle w:val="Heading3"/>
      </w:pPr>
      <w:bookmarkStart w:id="88" w:name="_Toc378175691"/>
      <w:bookmarkStart w:id="89" w:name="_Toc424216687"/>
      <w:bookmarkStart w:id="90" w:name="_Toc487186655"/>
      <w:r>
        <w:rPr>
          <w:rStyle w:val="CharDivNo"/>
        </w:rPr>
        <w:t>Division 1</w:t>
      </w:r>
      <w:r>
        <w:rPr>
          <w:snapToGrid w:val="0"/>
        </w:rPr>
        <w:t> — </w:t>
      </w:r>
      <w:r>
        <w:rPr>
          <w:rStyle w:val="CharDivText"/>
        </w:rPr>
        <w:t>Dumps not on pearl oyster farms or holding sites following pearl seeding operations</w:t>
      </w:r>
      <w:bookmarkEnd w:id="88"/>
      <w:bookmarkEnd w:id="89"/>
      <w:bookmarkEnd w:id="90"/>
    </w:p>
    <w:p>
      <w:pPr>
        <w:pStyle w:val="Footnoteheading"/>
        <w:rPr>
          <w:snapToGrid w:val="0"/>
        </w:rPr>
      </w:pPr>
      <w:r>
        <w:rPr>
          <w:snapToGrid w:val="0"/>
        </w:rPr>
        <w:tab/>
        <w:t>[Heading inserted: Gazette 17 Dec 1999 p. 6211.]</w:t>
      </w:r>
    </w:p>
    <w:p>
      <w:pPr>
        <w:pStyle w:val="Heading5"/>
        <w:rPr>
          <w:snapToGrid w:val="0"/>
        </w:rPr>
      </w:pPr>
      <w:bookmarkStart w:id="91" w:name="_Toc378175692"/>
      <w:bookmarkStart w:id="92" w:name="_Toc487186656"/>
      <w:r>
        <w:rPr>
          <w:rStyle w:val="CharSectno"/>
        </w:rPr>
        <w:t>31</w:t>
      </w:r>
      <w:r>
        <w:rPr>
          <w:snapToGrid w:val="0"/>
        </w:rPr>
        <w:t>.</w:t>
      </w:r>
      <w:r>
        <w:rPr>
          <w:snapToGrid w:val="0"/>
        </w:rPr>
        <w:tab/>
        <w:t>Division 1 not to apply to certain dumps</w:t>
      </w:r>
      <w:bookmarkEnd w:id="91"/>
      <w:bookmarkEnd w:id="92"/>
    </w:p>
    <w:p>
      <w:pPr>
        <w:pStyle w:val="Subsection"/>
        <w:rPr>
          <w:snapToGrid w:val="0"/>
        </w:rPr>
      </w:pPr>
      <w:r>
        <w:rPr>
          <w:snapToGrid w:val="0"/>
        </w:rPr>
        <w:tab/>
      </w:r>
      <w:r>
        <w:rPr>
          <w:snapToGrid w:val="0"/>
        </w:rPr>
        <w:tab/>
        <w:t>This Division does not apply to or in relation to a dump made —</w:t>
      </w:r>
    </w:p>
    <w:p>
      <w:pPr>
        <w:pStyle w:val="Indenta"/>
        <w:rPr>
          <w:snapToGrid w:val="0"/>
        </w:rPr>
      </w:pPr>
      <w:r>
        <w:rPr>
          <w:snapToGrid w:val="0"/>
        </w:rPr>
        <w:tab/>
        <w:t>(a)</w:t>
      </w:r>
      <w:r>
        <w:rPr>
          <w:snapToGrid w:val="0"/>
        </w:rPr>
        <w:tab/>
        <w:t>in accordance with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93" w:name="_Toc378175693"/>
      <w:bookmarkStart w:id="94" w:name="_Toc487186657"/>
      <w:r>
        <w:rPr>
          <w:rStyle w:val="CharSectno"/>
        </w:rPr>
        <w:t>32</w:t>
      </w:r>
      <w:r>
        <w:rPr>
          <w:snapToGrid w:val="0"/>
        </w:rPr>
        <w:t>.</w:t>
      </w:r>
      <w:r>
        <w:rPr>
          <w:snapToGrid w:val="0"/>
        </w:rPr>
        <w:tab/>
        <w:t>When dumping of pearl oysters permissible</w:t>
      </w:r>
      <w:bookmarkEnd w:id="93"/>
      <w:bookmarkEnd w:id="94"/>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 and</w:t>
      </w:r>
    </w:p>
    <w:p>
      <w:pPr>
        <w:pStyle w:val="Indenta"/>
        <w:rPr>
          <w:snapToGrid w:val="0"/>
        </w:rPr>
      </w:pPr>
      <w:r>
        <w:rPr>
          <w:snapToGrid w:val="0"/>
        </w:rPr>
        <w:tab/>
        <w:t>(b)</w:t>
      </w:r>
      <w:r>
        <w:rPr>
          <w:snapToGrid w:val="0"/>
        </w:rPr>
        <w:tab/>
        <w:t>that dump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 and</w:t>
      </w:r>
    </w:p>
    <w:p>
      <w:pPr>
        <w:pStyle w:val="Indenta"/>
      </w:pPr>
      <w:r>
        <w:rPr>
          <w:snapToGrid w:val="0"/>
        </w:rPr>
        <w:tab/>
        <w:t>(c)</w:t>
      </w:r>
      <w:r>
        <w:rPr>
          <w:snapToGrid w:val="0"/>
        </w:rPr>
        <w:tab/>
      </w:r>
      <w:r>
        <w:t>the pearl oysters are dumped in tagged designated containers or the dumping of the pearl oysters other than in tagged designated containers has been approved; and</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 and</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 and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 and</w:t>
      </w:r>
    </w:p>
    <w:p>
      <w:pPr>
        <w:pStyle w:val="Indenta"/>
        <w:rPr>
          <w:snapToGrid w:val="0"/>
        </w:rPr>
      </w:pPr>
      <w:r>
        <w:rPr>
          <w:snapToGrid w:val="0"/>
        </w:rPr>
        <w:tab/>
        <w:t>(f)</w:t>
      </w:r>
      <w:r>
        <w:rPr>
          <w:snapToGrid w:val="0"/>
        </w:rPr>
        <w:tab/>
        <w:t>all long</w:t>
      </w:r>
      <w:r>
        <w:rPr>
          <w:snapToGrid w:val="0"/>
        </w:rPr>
        <w:noBreakHyphen/>
        <w:t>lines at that dump are within a radius of 200 m of the surface float referred to in paragraph (b) or of a surface float which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Gazette 8 Dec 1998 p. 6570; 17 Dec 1999 p. 6211.]</w:t>
      </w:r>
    </w:p>
    <w:p>
      <w:pPr>
        <w:pStyle w:val="Heading5"/>
        <w:rPr>
          <w:snapToGrid w:val="0"/>
        </w:rPr>
      </w:pPr>
      <w:bookmarkStart w:id="95" w:name="_Toc378175694"/>
      <w:bookmarkStart w:id="96" w:name="_Toc487186658"/>
      <w:r>
        <w:rPr>
          <w:rStyle w:val="CharSectno"/>
        </w:rPr>
        <w:t>33</w:t>
      </w:r>
      <w:r>
        <w:rPr>
          <w:snapToGrid w:val="0"/>
        </w:rPr>
        <w:t>.</w:t>
      </w:r>
      <w:r>
        <w:rPr>
          <w:snapToGrid w:val="0"/>
        </w:rPr>
        <w:tab/>
        <w:t>Nomination and duties of fleet masters</w:t>
      </w:r>
      <w:bookmarkEnd w:id="95"/>
      <w:bookmarkEnd w:id="96"/>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Gazette 17 Dec 1999 p. 6211.]</w:t>
      </w:r>
    </w:p>
    <w:p>
      <w:pPr>
        <w:pStyle w:val="Heading5"/>
        <w:rPr>
          <w:snapToGrid w:val="0"/>
        </w:rPr>
      </w:pPr>
      <w:bookmarkStart w:id="97" w:name="_Toc378175695"/>
      <w:bookmarkStart w:id="98" w:name="_Toc487186659"/>
      <w:r>
        <w:rPr>
          <w:rStyle w:val="CharSectno"/>
        </w:rPr>
        <w:t>34</w:t>
      </w:r>
      <w:r>
        <w:rPr>
          <w:snapToGrid w:val="0"/>
        </w:rPr>
        <w:t>.</w:t>
      </w:r>
      <w:r>
        <w:rPr>
          <w:snapToGrid w:val="0"/>
        </w:rPr>
        <w:tab/>
        <w:t>Map of long</w:t>
      </w:r>
      <w:r>
        <w:rPr>
          <w:snapToGrid w:val="0"/>
        </w:rPr>
        <w:noBreakHyphen/>
        <w:t>lines in relation to master buoy</w:t>
      </w:r>
      <w:bookmarkEnd w:id="97"/>
      <w:bookmarkEnd w:id="98"/>
    </w:p>
    <w:p>
      <w:pPr>
        <w:pStyle w:val="Subsection"/>
        <w:rPr>
          <w:snapToGrid w:val="0"/>
        </w:rPr>
      </w:pPr>
      <w:r>
        <w:rPr>
          <w:snapToGrid w:val="0"/>
        </w:rPr>
        <w:tab/>
      </w:r>
      <w:r>
        <w:rPr>
          <w:snapToGrid w:val="0"/>
        </w:rPr>
        <w:tab/>
        <w:t>The master of a boat using a dump or, if 2 or more boats are using a dump, the fleet master nominated in respect of the dump, shall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99" w:name="_Toc378175696"/>
      <w:bookmarkStart w:id="100" w:name="_Toc487186660"/>
      <w:r>
        <w:rPr>
          <w:rStyle w:val="CharSectno"/>
        </w:rPr>
        <w:t>35</w:t>
      </w:r>
      <w:r>
        <w:rPr>
          <w:snapToGrid w:val="0"/>
        </w:rPr>
        <w:t>.</w:t>
      </w:r>
      <w:r>
        <w:rPr>
          <w:snapToGrid w:val="0"/>
        </w:rPr>
        <w:tab/>
        <w:t>Only one licensee or permit holder to use particular dump</w:t>
      </w:r>
      <w:bookmarkEnd w:id="99"/>
      <w:bookmarkEnd w:id="100"/>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Gazette 17 Dec 1999 p. 6211.]</w:t>
      </w:r>
    </w:p>
    <w:p>
      <w:pPr>
        <w:pStyle w:val="Heading3"/>
      </w:pPr>
      <w:bookmarkStart w:id="101" w:name="_Toc378175697"/>
      <w:bookmarkStart w:id="102" w:name="_Toc424216693"/>
      <w:bookmarkStart w:id="103" w:name="_Toc487186661"/>
      <w:r>
        <w:rPr>
          <w:rStyle w:val="CharDivNo"/>
        </w:rPr>
        <w:t>Division 2</w:t>
      </w:r>
      <w:r>
        <w:rPr>
          <w:snapToGrid w:val="0"/>
        </w:rPr>
        <w:t> — </w:t>
      </w:r>
      <w:r>
        <w:rPr>
          <w:rStyle w:val="CharDivText"/>
        </w:rPr>
        <w:t>Dumps on holding sites following pearl seeding operation</w:t>
      </w:r>
      <w:bookmarkEnd w:id="101"/>
      <w:bookmarkEnd w:id="102"/>
      <w:bookmarkEnd w:id="103"/>
    </w:p>
    <w:p>
      <w:pPr>
        <w:pStyle w:val="Footnoteheading"/>
        <w:rPr>
          <w:snapToGrid w:val="0"/>
        </w:rPr>
      </w:pPr>
      <w:r>
        <w:rPr>
          <w:snapToGrid w:val="0"/>
        </w:rPr>
        <w:tab/>
        <w:t>[Heading inserted: Gazette 17 Dec 1999 p. 6211.]</w:t>
      </w:r>
    </w:p>
    <w:p>
      <w:pPr>
        <w:pStyle w:val="Heading5"/>
        <w:rPr>
          <w:snapToGrid w:val="0"/>
        </w:rPr>
      </w:pPr>
      <w:bookmarkStart w:id="104" w:name="_Toc378175698"/>
      <w:bookmarkStart w:id="105" w:name="_Toc487186662"/>
      <w:r>
        <w:rPr>
          <w:rStyle w:val="CharSectno"/>
        </w:rPr>
        <w:t>36</w:t>
      </w:r>
      <w:r>
        <w:rPr>
          <w:snapToGrid w:val="0"/>
        </w:rPr>
        <w:t>.</w:t>
      </w:r>
      <w:r>
        <w:rPr>
          <w:snapToGrid w:val="0"/>
        </w:rPr>
        <w:tab/>
        <w:t>When dumping of pearl oysters subjected to seeding operations permissible on holding sites</w:t>
      </w:r>
      <w:bookmarkEnd w:id="104"/>
      <w:bookmarkEnd w:id="105"/>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w:t>
      </w:r>
    </w:p>
    <w:p>
      <w:pPr>
        <w:pStyle w:val="Indenta"/>
        <w:rPr>
          <w:snapToGrid w:val="0"/>
        </w:rPr>
      </w:pPr>
      <w:r>
        <w:rPr>
          <w:snapToGrid w:val="0"/>
        </w:rPr>
        <w:tab/>
        <w:t>(a)</w:t>
      </w:r>
      <w:r>
        <w:rPr>
          <w:snapToGrid w:val="0"/>
        </w:rPr>
        <w:tab/>
        <w:t>the holding site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 and</w:t>
      </w:r>
    </w:p>
    <w:p>
      <w:pPr>
        <w:pStyle w:val="Indenta"/>
        <w:spacing w:before="100"/>
        <w:rPr>
          <w:snapToGrid w:val="0"/>
        </w:rPr>
      </w:pPr>
      <w:r>
        <w:rPr>
          <w:snapToGrid w:val="0"/>
        </w:rPr>
        <w:tab/>
        <w:t>(b)</w:t>
      </w:r>
      <w:r>
        <w:rPr>
          <w:snapToGrid w:val="0"/>
        </w:rPr>
        <w:tab/>
        <w:t>those pearl oysters are dumped in designated containers; and</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 and</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 and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 of the surface float referred to in paragraph (a) or of a surface float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Gazette 8 Dec 1998 p. 6570; 17 Dec 1999 p. 6212.]</w:t>
      </w:r>
    </w:p>
    <w:p>
      <w:pPr>
        <w:pStyle w:val="Heading5"/>
        <w:rPr>
          <w:snapToGrid w:val="0"/>
        </w:rPr>
      </w:pPr>
      <w:bookmarkStart w:id="106" w:name="_Toc378175699"/>
      <w:bookmarkStart w:id="107" w:name="_Toc487186663"/>
      <w:r>
        <w:rPr>
          <w:rStyle w:val="CharSectno"/>
        </w:rPr>
        <w:t>37</w:t>
      </w:r>
      <w:r>
        <w:rPr>
          <w:snapToGrid w:val="0"/>
        </w:rPr>
        <w:t>.</w:t>
      </w:r>
      <w:r>
        <w:rPr>
          <w:snapToGrid w:val="0"/>
        </w:rPr>
        <w:tab/>
        <w:t>Duties of masters of operation boats</w:t>
      </w:r>
      <w:bookmarkEnd w:id="106"/>
      <w:bookmarkEnd w:id="107"/>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108" w:name="_Toc378175700"/>
      <w:bookmarkStart w:id="109" w:name="_Toc487186664"/>
      <w:r>
        <w:rPr>
          <w:rStyle w:val="CharSectno"/>
        </w:rPr>
        <w:t>38</w:t>
      </w:r>
      <w:r>
        <w:rPr>
          <w:snapToGrid w:val="0"/>
        </w:rPr>
        <w:t>.</w:t>
      </w:r>
      <w:r>
        <w:rPr>
          <w:snapToGrid w:val="0"/>
        </w:rPr>
        <w:tab/>
        <w:t>Map of long</w:t>
      </w:r>
      <w:r>
        <w:rPr>
          <w:snapToGrid w:val="0"/>
        </w:rPr>
        <w:noBreakHyphen/>
        <w:t>lines in relation to master buoy</w:t>
      </w:r>
      <w:bookmarkEnd w:id="108"/>
      <w:bookmarkEnd w:id="109"/>
    </w:p>
    <w:p>
      <w:pPr>
        <w:pStyle w:val="Subsection"/>
        <w:rPr>
          <w:snapToGrid w:val="0"/>
        </w:rPr>
      </w:pPr>
      <w:r>
        <w:rPr>
          <w:snapToGrid w:val="0"/>
        </w:rPr>
        <w:tab/>
      </w:r>
      <w:r>
        <w:rPr>
          <w:snapToGrid w:val="0"/>
        </w:rPr>
        <w:tab/>
        <w:t>The master of an operation boat shall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110" w:name="_Toc378175701"/>
      <w:bookmarkStart w:id="111" w:name="_Toc424216697"/>
      <w:bookmarkStart w:id="112" w:name="_Toc487186665"/>
      <w:r>
        <w:rPr>
          <w:rStyle w:val="CharPartNo"/>
        </w:rPr>
        <w:t>Part 5A</w:t>
      </w:r>
      <w:r>
        <w:rPr>
          <w:rStyle w:val="CharDivNo"/>
        </w:rPr>
        <w:t> </w:t>
      </w:r>
      <w:r>
        <w:t>—</w:t>
      </w:r>
      <w:r>
        <w:rPr>
          <w:rStyle w:val="CharDivText"/>
        </w:rPr>
        <w:t> </w:t>
      </w:r>
      <w:r>
        <w:rPr>
          <w:rStyle w:val="CharPartText"/>
        </w:rPr>
        <w:t>Holding pearl oysters on pearl oyster farms</w:t>
      </w:r>
      <w:bookmarkEnd w:id="110"/>
      <w:bookmarkEnd w:id="111"/>
      <w:bookmarkEnd w:id="112"/>
    </w:p>
    <w:p>
      <w:pPr>
        <w:pStyle w:val="Footnoteheading"/>
        <w:rPr>
          <w:snapToGrid w:val="0"/>
        </w:rPr>
      </w:pPr>
      <w:r>
        <w:rPr>
          <w:snapToGrid w:val="0"/>
        </w:rPr>
        <w:tab/>
        <w:t>[Heading inserted: Gazette 17 Dec 1999 p. 6212.]</w:t>
      </w:r>
    </w:p>
    <w:p>
      <w:pPr>
        <w:pStyle w:val="Heading5"/>
        <w:rPr>
          <w:snapToGrid w:val="0"/>
        </w:rPr>
      </w:pPr>
      <w:bookmarkStart w:id="113" w:name="_Toc378175702"/>
      <w:bookmarkStart w:id="114" w:name="_Toc487186666"/>
      <w:r>
        <w:rPr>
          <w:rStyle w:val="CharSectno"/>
        </w:rPr>
        <w:t>38A</w:t>
      </w:r>
      <w:r>
        <w:rPr>
          <w:snapToGrid w:val="0"/>
        </w:rPr>
        <w:t>.</w:t>
      </w:r>
      <w:r>
        <w:rPr>
          <w:snapToGrid w:val="0"/>
        </w:rPr>
        <w:tab/>
        <w:t>Farms to be marked and lit</w:t>
      </w:r>
      <w:bookmarkEnd w:id="113"/>
      <w:bookmarkEnd w:id="114"/>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Gazette 17 Dec 1999 p. 6212.]</w:t>
      </w:r>
    </w:p>
    <w:p>
      <w:pPr>
        <w:pStyle w:val="Heading5"/>
        <w:rPr>
          <w:snapToGrid w:val="0"/>
        </w:rPr>
      </w:pPr>
      <w:bookmarkStart w:id="115" w:name="_Toc378175703"/>
      <w:bookmarkStart w:id="116" w:name="_Toc487186667"/>
      <w:r>
        <w:rPr>
          <w:rStyle w:val="CharSectno"/>
        </w:rPr>
        <w:t>38B</w:t>
      </w:r>
      <w:r>
        <w:rPr>
          <w:snapToGrid w:val="0"/>
        </w:rPr>
        <w:t>.</w:t>
      </w:r>
      <w:r>
        <w:rPr>
          <w:snapToGrid w:val="0"/>
        </w:rPr>
        <w:tab/>
        <w:t>Marking of sites on pearl oyster farms</w:t>
      </w:r>
      <w:bookmarkEnd w:id="115"/>
      <w:bookmarkEnd w:id="116"/>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Gazette 17 Dec 1999 p. 6212.]</w:t>
      </w:r>
    </w:p>
    <w:p>
      <w:pPr>
        <w:pStyle w:val="Heading5"/>
        <w:rPr>
          <w:snapToGrid w:val="0"/>
        </w:rPr>
      </w:pPr>
      <w:bookmarkStart w:id="117" w:name="_Toc378175704"/>
      <w:bookmarkStart w:id="118" w:name="_Toc487186668"/>
      <w:r>
        <w:rPr>
          <w:rStyle w:val="CharSectno"/>
        </w:rPr>
        <w:t>38C</w:t>
      </w:r>
      <w:r>
        <w:rPr>
          <w:snapToGrid w:val="0"/>
        </w:rPr>
        <w:t>.</w:t>
      </w:r>
      <w:r>
        <w:rPr>
          <w:snapToGrid w:val="0"/>
        </w:rPr>
        <w:tab/>
        <w:t>Certain pearl oysters to be kept separate</w:t>
      </w:r>
      <w:bookmarkEnd w:id="117"/>
      <w:bookmarkEnd w:id="118"/>
    </w:p>
    <w:p>
      <w:pPr>
        <w:pStyle w:val="Subsection"/>
        <w:rPr>
          <w:snapToGrid w:val="0"/>
        </w:rPr>
      </w:pPr>
      <w:r>
        <w:rPr>
          <w:snapToGrid w:val="0"/>
        </w:rPr>
        <w:tab/>
      </w:r>
      <w:r>
        <w:rPr>
          <w:snapToGrid w:val="0"/>
        </w:rPr>
        <w:tab/>
        <w:t>The holder of a farm lease shall, if required to do so by an inspector, keep pearl oysters designated by the inspector separate from other pearl oysters held on the pearl oyster farm in an approved manner.</w:t>
      </w:r>
    </w:p>
    <w:p>
      <w:pPr>
        <w:pStyle w:val="Penstart"/>
      </w:pPr>
      <w:r>
        <w:rPr>
          <w:snapToGrid w:val="0"/>
        </w:rPr>
        <w:tab/>
        <w:t>Penalty: $1 000.</w:t>
      </w:r>
    </w:p>
    <w:p>
      <w:pPr>
        <w:pStyle w:val="Footnotesection"/>
        <w:keepLines w:val="0"/>
        <w:ind w:left="890" w:hanging="890"/>
      </w:pPr>
      <w:r>
        <w:tab/>
        <w:t>[Regulation 38C inserted: Gazette 17 Dec 1999 p. 6212.]</w:t>
      </w:r>
    </w:p>
    <w:p>
      <w:pPr>
        <w:pStyle w:val="Heading2"/>
      </w:pPr>
      <w:bookmarkStart w:id="119" w:name="_Toc378175705"/>
      <w:bookmarkStart w:id="120" w:name="_Toc424216701"/>
      <w:bookmarkStart w:id="121" w:name="_Toc487186669"/>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119"/>
      <w:bookmarkEnd w:id="120"/>
      <w:bookmarkEnd w:id="121"/>
    </w:p>
    <w:p>
      <w:pPr>
        <w:pStyle w:val="Footnoteheading"/>
        <w:rPr>
          <w:snapToGrid w:val="0"/>
        </w:rPr>
      </w:pPr>
      <w:r>
        <w:rPr>
          <w:snapToGrid w:val="0"/>
        </w:rPr>
        <w:tab/>
        <w:t>[Heading inserted: Gazette 17 Dec 1999 p. 6212.]</w:t>
      </w:r>
    </w:p>
    <w:p>
      <w:pPr>
        <w:pStyle w:val="Heading5"/>
        <w:rPr>
          <w:snapToGrid w:val="0"/>
        </w:rPr>
      </w:pPr>
      <w:bookmarkStart w:id="122" w:name="_Toc378175706"/>
      <w:bookmarkStart w:id="123" w:name="_Toc487186670"/>
      <w:r>
        <w:rPr>
          <w:rStyle w:val="CharSectno"/>
        </w:rPr>
        <w:t>39</w:t>
      </w:r>
      <w:r>
        <w:t>.</w:t>
      </w:r>
      <w:r>
        <w:tab/>
      </w:r>
      <w:r>
        <w:rPr>
          <w:snapToGrid w:val="0"/>
        </w:rPr>
        <w:t>Location of pearl seeding operations</w:t>
      </w:r>
      <w:bookmarkEnd w:id="122"/>
      <w:bookmarkEnd w:id="123"/>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w:t>
      </w:r>
    </w:p>
    <w:p>
      <w:pPr>
        <w:pStyle w:val="Indenta"/>
        <w:rPr>
          <w:snapToGrid w:val="0"/>
        </w:rPr>
      </w:pPr>
      <w:r>
        <w:rPr>
          <w:snapToGrid w:val="0"/>
        </w:rPr>
        <w:tab/>
        <w:t>(a)</w:t>
      </w:r>
      <w:r>
        <w:rPr>
          <w:snapToGrid w:val="0"/>
        </w:rPr>
        <w:tab/>
        <w:t>on a pearl oyster farm (other than a nursery site or quarantine site); or</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Gazette 17 Dec 1999 p. 6212</w:t>
      </w:r>
      <w:r>
        <w:noBreakHyphen/>
        <w:t>13.]</w:t>
      </w:r>
    </w:p>
    <w:p>
      <w:pPr>
        <w:pStyle w:val="Heading5"/>
        <w:rPr>
          <w:snapToGrid w:val="0"/>
        </w:rPr>
      </w:pPr>
      <w:bookmarkStart w:id="124" w:name="_Toc378175707"/>
      <w:bookmarkStart w:id="125" w:name="_Toc487186671"/>
      <w:r>
        <w:rPr>
          <w:rStyle w:val="CharSectno"/>
        </w:rPr>
        <w:t>40</w:t>
      </w:r>
      <w:r>
        <w:rPr>
          <w:snapToGrid w:val="0"/>
        </w:rPr>
        <w:t>.</w:t>
      </w:r>
      <w:r>
        <w:rPr>
          <w:snapToGrid w:val="0"/>
        </w:rPr>
        <w:tab/>
        <w:t>Maximum number of pearl oysters which may be seeded at one time</w:t>
      </w:r>
      <w:bookmarkEnd w:id="124"/>
      <w:bookmarkEnd w:id="125"/>
    </w:p>
    <w:p>
      <w:pPr>
        <w:pStyle w:val="Subsection"/>
        <w:rPr>
          <w:snapToGrid w:val="0"/>
          <w:spacing w:val="-4"/>
        </w:rPr>
      </w:pPr>
      <w:r>
        <w:rPr>
          <w:snapToGrid w:val="0"/>
          <w:spacing w:val="-4"/>
        </w:rPr>
        <w:tab/>
      </w:r>
      <w:r>
        <w:rPr>
          <w:snapToGrid w:val="0"/>
          <w:spacing w:val="-4"/>
        </w:rPr>
        <w:tab/>
        <w:t>A licensee or permit holder shall ensure that the number of pearl oysters that are subjected to pearl seeding during one operation does not exceed the number of pearl oysters specified in the notice of pearling or hatchery activity lodged in respect of the operation.</w:t>
      </w:r>
    </w:p>
    <w:p>
      <w:pPr>
        <w:pStyle w:val="Penstart"/>
        <w:rPr>
          <w:snapToGrid w:val="0"/>
        </w:rPr>
      </w:pPr>
      <w:r>
        <w:rPr>
          <w:snapToGrid w:val="0"/>
        </w:rPr>
        <w:tab/>
        <w:t>Penalty: $2 000.</w:t>
      </w:r>
    </w:p>
    <w:p>
      <w:pPr>
        <w:pStyle w:val="Footnotesection"/>
      </w:pPr>
      <w:r>
        <w:tab/>
        <w:t>[Regulation 40 inserted: Gazette 17 Dec 1999 p. 6213.]</w:t>
      </w:r>
    </w:p>
    <w:p>
      <w:pPr>
        <w:pStyle w:val="Heading5"/>
      </w:pPr>
      <w:bookmarkStart w:id="126" w:name="_Toc378175708"/>
      <w:bookmarkStart w:id="127" w:name="_Toc487186672"/>
      <w:r>
        <w:rPr>
          <w:rStyle w:val="CharSectno"/>
        </w:rPr>
        <w:t>40A</w:t>
      </w:r>
      <w:r>
        <w:rPr>
          <w:snapToGrid w:val="0"/>
        </w:rPr>
        <w:t>.</w:t>
      </w:r>
      <w:r>
        <w:rPr>
          <w:snapToGrid w:val="0"/>
        </w:rPr>
        <w:tab/>
      </w:r>
      <w:r>
        <w:t>Spat not to be seeded</w:t>
      </w:r>
      <w:bookmarkEnd w:id="126"/>
      <w:bookmarkEnd w:id="127"/>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Gazette 17 Dec 1999 p. 6213.]</w:t>
      </w:r>
    </w:p>
    <w:p>
      <w:pPr>
        <w:pStyle w:val="Heading5"/>
        <w:rPr>
          <w:snapToGrid w:val="0"/>
        </w:rPr>
      </w:pPr>
      <w:bookmarkStart w:id="128" w:name="_Toc378175709"/>
      <w:bookmarkStart w:id="129" w:name="_Toc487186673"/>
      <w:r>
        <w:rPr>
          <w:rStyle w:val="CharSectno"/>
        </w:rPr>
        <w:t>41</w:t>
      </w:r>
      <w:r>
        <w:rPr>
          <w:snapToGrid w:val="0"/>
        </w:rPr>
        <w:t>.</w:t>
      </w:r>
      <w:r>
        <w:rPr>
          <w:snapToGrid w:val="0"/>
        </w:rPr>
        <w:tab/>
      </w:r>
      <w:r>
        <w:t>C</w:t>
      </w:r>
      <w:r>
        <w:rPr>
          <w:snapToGrid w:val="0"/>
        </w:rPr>
        <w:t>ircumstances when loose pearl oysters may be held</w:t>
      </w:r>
      <w:bookmarkEnd w:id="128"/>
      <w:bookmarkEnd w:id="129"/>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Gazette 17 Dec 1999 p. 6213.]</w:t>
      </w:r>
    </w:p>
    <w:p>
      <w:pPr>
        <w:pStyle w:val="Heading2"/>
      </w:pPr>
      <w:bookmarkStart w:id="130" w:name="_Toc378175710"/>
      <w:bookmarkStart w:id="131" w:name="_Toc424216706"/>
      <w:bookmarkStart w:id="132" w:name="_Toc487186674"/>
      <w:r>
        <w:rPr>
          <w:rStyle w:val="CharPartNo"/>
        </w:rPr>
        <w:t>Part 7</w:t>
      </w:r>
      <w:r>
        <w:rPr>
          <w:rStyle w:val="CharDivNo"/>
        </w:rPr>
        <w:t> </w:t>
      </w:r>
      <w:r>
        <w:t>—</w:t>
      </w:r>
      <w:r>
        <w:rPr>
          <w:rStyle w:val="CharDivText"/>
        </w:rPr>
        <w:t> </w:t>
      </w:r>
      <w:r>
        <w:rPr>
          <w:rStyle w:val="CharPartText"/>
        </w:rPr>
        <w:t>Transporting of pearl oysters</w:t>
      </w:r>
      <w:bookmarkEnd w:id="130"/>
      <w:bookmarkEnd w:id="131"/>
      <w:bookmarkEnd w:id="132"/>
    </w:p>
    <w:p>
      <w:pPr>
        <w:pStyle w:val="Heading5"/>
        <w:rPr>
          <w:snapToGrid w:val="0"/>
        </w:rPr>
      </w:pPr>
      <w:bookmarkStart w:id="133" w:name="_Toc378175711"/>
      <w:bookmarkStart w:id="134" w:name="_Toc487186675"/>
      <w:r>
        <w:rPr>
          <w:rStyle w:val="CharSectno"/>
        </w:rPr>
        <w:t>42</w:t>
      </w:r>
      <w:r>
        <w:rPr>
          <w:snapToGrid w:val="0"/>
        </w:rPr>
        <w:t>.</w:t>
      </w:r>
      <w:r>
        <w:rPr>
          <w:snapToGrid w:val="0"/>
        </w:rPr>
        <w:tab/>
        <w:t>When transporting of pearl oysters permissible</w:t>
      </w:r>
      <w:bookmarkEnd w:id="133"/>
      <w:bookmarkEnd w:id="134"/>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 or</w:t>
      </w:r>
    </w:p>
    <w:p>
      <w:pPr>
        <w:pStyle w:val="Indenta"/>
        <w:rPr>
          <w:snapToGrid w:val="0"/>
        </w:rPr>
      </w:pPr>
      <w:r>
        <w:rPr>
          <w:snapToGrid w:val="0"/>
        </w:rPr>
        <w:tab/>
        <w:t>(b)</w:t>
      </w:r>
      <w:r>
        <w:rPr>
          <w:snapToGrid w:val="0"/>
        </w:rPr>
        <w:tab/>
        <w:t>prior to that transport, those pearl oysters have been —</w:t>
      </w:r>
    </w:p>
    <w:p>
      <w:pPr>
        <w:pStyle w:val="Indenti"/>
        <w:rPr>
          <w:snapToGrid w:val="0"/>
        </w:rPr>
      </w:pPr>
      <w:r>
        <w:rPr>
          <w:snapToGrid w:val="0"/>
        </w:rPr>
        <w:tab/>
        <w:t>(i)</w:t>
      </w:r>
      <w:r>
        <w:rPr>
          <w:snapToGrid w:val="0"/>
        </w:rPr>
        <w:tab/>
        <w:t>held on a holding site; and</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 or</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 or</w:t>
      </w:r>
    </w:p>
    <w:p>
      <w:pPr>
        <w:pStyle w:val="Indenta"/>
        <w:rPr>
          <w:snapToGrid w:val="0"/>
        </w:rPr>
      </w:pPr>
      <w:r>
        <w:rPr>
          <w:snapToGrid w:val="0"/>
        </w:rPr>
        <w:tab/>
        <w:t>(d)</w:t>
      </w:r>
      <w:r>
        <w:rPr>
          <w:snapToGrid w:val="0"/>
        </w:rPr>
        <w:tab/>
        <w:t>those pearl oysters are being transported —</w:t>
      </w:r>
    </w:p>
    <w:p>
      <w:pPr>
        <w:pStyle w:val="Indenti"/>
        <w:rPr>
          <w:snapToGrid w:val="0"/>
        </w:rPr>
      </w:pPr>
      <w:r>
        <w:rPr>
          <w:snapToGrid w:val="0"/>
        </w:rPr>
        <w:tab/>
        <w:t>(i)</w:t>
      </w:r>
      <w:r>
        <w:rPr>
          <w:snapToGrid w:val="0"/>
        </w:rPr>
        <w:tab/>
        <w:t>entirely within a nursery site; or</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from one part of a pearl oyster farm that is not a nursery site to another part of that farm that is also not a nursery site;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 or</w:t>
      </w:r>
    </w:p>
    <w:p>
      <w:pPr>
        <w:pStyle w:val="Indenta"/>
        <w:keepNext/>
        <w:rPr>
          <w:snapToGrid w:val="0"/>
        </w:rPr>
      </w:pPr>
      <w:r>
        <w:rPr>
          <w:snapToGrid w:val="0"/>
        </w:rPr>
        <w:tab/>
        <w:t>(f)</w:t>
      </w:r>
      <w:r>
        <w:rPr>
          <w:snapToGrid w:val="0"/>
        </w:rPr>
        <w:tab/>
        <w:t>those pearl oysters are —</w:t>
      </w:r>
    </w:p>
    <w:p>
      <w:pPr>
        <w:pStyle w:val="Indenti"/>
        <w:rPr>
          <w:snapToGrid w:val="0"/>
        </w:rPr>
      </w:pPr>
      <w:r>
        <w:rPr>
          <w:snapToGrid w:val="0"/>
        </w:rPr>
        <w:tab/>
        <w:t>(i)</w:t>
      </w:r>
      <w:r>
        <w:rPr>
          <w:snapToGrid w:val="0"/>
        </w:rPr>
        <w:tab/>
        <w:t>in designated containers; and</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r>
      <w:r>
        <w:t>i</w:t>
      </w:r>
      <w:r>
        <w:rPr>
          <w:snapToGrid w:val="0"/>
        </w:rPr>
        <w:t>f the pearl oysters are being transported —</w:t>
      </w:r>
    </w:p>
    <w:p>
      <w:pPr>
        <w:pStyle w:val="Indenti"/>
        <w:rPr>
          <w:snapToGrid w:val="0"/>
        </w:rPr>
      </w:pPr>
      <w:r>
        <w:rPr>
          <w:snapToGrid w:val="0"/>
        </w:rPr>
        <w:tab/>
        <w:t>(i)</w:t>
      </w:r>
      <w:r>
        <w:rPr>
          <w:snapToGrid w:val="0"/>
        </w:rPr>
        <w:tab/>
        <w:t>from a hatchery; or</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a certificate of health is in force in relation to those pearl oysters and that transport has been approved; or</w:t>
      </w:r>
    </w:p>
    <w:p>
      <w:pPr>
        <w:pStyle w:val="Indenta"/>
        <w:rPr>
          <w:snapToGrid w:val="0"/>
        </w:rPr>
      </w:pPr>
      <w:r>
        <w:tab/>
        <w:t>(h)</w:t>
      </w:r>
      <w:r>
        <w:tab/>
        <w:t>if the pearl oysters are being transported to a</w:t>
      </w:r>
      <w:r>
        <w:rPr>
          <w:snapToGrid w:val="0"/>
        </w:rPr>
        <w:t xml:space="preserve"> nursery site either —</w:t>
      </w:r>
    </w:p>
    <w:p>
      <w:pPr>
        <w:pStyle w:val="Indenti"/>
        <w:rPr>
          <w:snapToGrid w:val="0"/>
        </w:rPr>
      </w:pPr>
      <w:r>
        <w:rPr>
          <w:snapToGrid w:val="0"/>
        </w:rPr>
        <w:tab/>
        <w:t>(i)</w:t>
      </w:r>
      <w:r>
        <w:rPr>
          <w:snapToGrid w:val="0"/>
        </w:rPr>
        <w:tab/>
        <w:t>the pearl oysters are pearl oysters to which this subparagraph applies and both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that transport has been approved;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pearl oysters are being transported from another nursery site on the same pearl oyster farm and that transport has been approved;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w:t>
      </w:r>
    </w:p>
    <w:p>
      <w:pPr>
        <w:pStyle w:val="Indenta"/>
        <w:rPr>
          <w:snapToGrid w:val="0"/>
        </w:rPr>
      </w:pPr>
      <w:r>
        <w:rPr>
          <w:snapToGrid w:val="0"/>
        </w:rPr>
        <w:tab/>
        <w:t>(a)</w:t>
      </w:r>
      <w:r>
        <w:rPr>
          <w:snapToGrid w:val="0"/>
        </w:rPr>
        <w:tab/>
        <w:t>a certificate of health has been issued in relation to a sample of pearl oysters taken from the batch of pearl oysters of which the pearl oysters to be transported are part; and</w:t>
      </w:r>
    </w:p>
    <w:p>
      <w:pPr>
        <w:pStyle w:val="Indenta"/>
        <w:spacing w:before="70"/>
        <w:rPr>
          <w:snapToGrid w:val="0"/>
        </w:rPr>
      </w:pPr>
      <w:r>
        <w:rPr>
          <w:snapToGrid w:val="0"/>
        </w:rPr>
        <w:tab/>
        <w:t>(b)</w:t>
      </w:r>
      <w:r>
        <w:rPr>
          <w:snapToGrid w:val="0"/>
        </w:rPr>
        <w:tab/>
        <w:t>not more than 2 weeks have elapsed since that certificate was issued; and</w:t>
      </w:r>
    </w:p>
    <w:p>
      <w:pPr>
        <w:pStyle w:val="Indenta"/>
        <w:spacing w:before="70"/>
        <w:rPr>
          <w:snapToGrid w:val="0"/>
        </w:rPr>
      </w:pPr>
      <w:r>
        <w:rPr>
          <w:snapToGrid w:val="0"/>
        </w:rPr>
        <w:tab/>
        <w:t>(c)</w:t>
      </w:r>
      <w:r>
        <w:rPr>
          <w:snapToGrid w:val="0"/>
        </w:rPr>
        <w:tab/>
        <w:t>no pearl oysters have been transported to the place from which the pearl oysters are to be transported since the tested sample was taken.</w:t>
      </w:r>
    </w:p>
    <w:p>
      <w:pPr>
        <w:pStyle w:val="Subsection"/>
        <w:rPr>
          <w:snapToGrid w:val="0"/>
        </w:rPr>
      </w:pPr>
      <w:r>
        <w:rPr>
          <w:snapToGrid w:val="0"/>
        </w:rPr>
        <w:tab/>
        <w:t>(3)</w:t>
      </w:r>
      <w:r>
        <w:rPr>
          <w:snapToGrid w:val="0"/>
        </w:rPr>
        <w:tab/>
        <w:t>Subregulation (1)(h)(i) applies to pearl oysters which were —</w:t>
      </w:r>
    </w:p>
    <w:p>
      <w:pPr>
        <w:pStyle w:val="Indenta"/>
        <w:spacing w:before="70"/>
        <w:rPr>
          <w:snapToGrid w:val="0"/>
        </w:rPr>
      </w:pPr>
      <w:r>
        <w:rPr>
          <w:snapToGrid w:val="0"/>
        </w:rPr>
        <w:tab/>
        <w:t>(a)</w:t>
      </w:r>
      <w:r>
        <w:rPr>
          <w:snapToGrid w:val="0"/>
        </w:rPr>
        <w:tab/>
        <w:t>collected using a spat collector located on the same pearl oyster farm as the nursery site; or</w:t>
      </w:r>
    </w:p>
    <w:p>
      <w:pPr>
        <w:pStyle w:val="Indenta"/>
        <w:spacing w:before="70"/>
        <w:rPr>
          <w:snapToGrid w:val="0"/>
          <w:spacing w:val="-4"/>
        </w:rPr>
      </w:pPr>
      <w:r>
        <w:rPr>
          <w:snapToGrid w:val="0"/>
          <w:spacing w:val="-4"/>
        </w:rPr>
        <w:tab/>
        <w:t>(b)</w:t>
      </w:r>
      <w:r>
        <w:rPr>
          <w:snapToGrid w:val="0"/>
          <w:spacing w:val="-4"/>
        </w:rPr>
        <w:tab/>
        <w:t>produced in a hatchery, or collected using a spat collector, located in the same zone as the nursery site and either —</w:t>
      </w:r>
    </w:p>
    <w:p>
      <w:pPr>
        <w:pStyle w:val="Indenti"/>
        <w:spacing w:before="70"/>
        <w:rPr>
          <w:snapToGrid w:val="0"/>
        </w:rPr>
      </w:pPr>
      <w:r>
        <w:rPr>
          <w:snapToGrid w:val="0"/>
        </w:rPr>
        <w:tab/>
        <w:t>(i)</w:t>
      </w:r>
      <w:r>
        <w:rPr>
          <w:snapToGrid w:val="0"/>
        </w:rPr>
        <w:tab/>
        <w:t>the pearl oyster farm on which the nursery site is located is more than 5 nautical miles from any other pearl oyster farm; or</w:t>
      </w:r>
    </w:p>
    <w:p>
      <w:pPr>
        <w:pStyle w:val="Indenti"/>
        <w:spacing w:before="70"/>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transported to the nursery site from a quarantine site.</w:t>
      </w:r>
    </w:p>
    <w:p>
      <w:pPr>
        <w:pStyle w:val="Footnotesection"/>
      </w:pPr>
      <w:r>
        <w:tab/>
        <w:t>[Regulation 42 erratum: Gazette 11 Jan 1991 p. 47</w:t>
      </w:r>
      <w:r>
        <w:noBreakHyphen/>
        <w:t>8; amended: Gazette 17 Dec 1999 p. 6213</w:t>
      </w:r>
      <w:r>
        <w:noBreakHyphen/>
        <w:t>15.]</w:t>
      </w:r>
    </w:p>
    <w:p>
      <w:pPr>
        <w:pStyle w:val="Heading5"/>
        <w:rPr>
          <w:snapToGrid w:val="0"/>
        </w:rPr>
      </w:pPr>
      <w:bookmarkStart w:id="135" w:name="_Toc378175712"/>
      <w:bookmarkStart w:id="136" w:name="_Toc487186676"/>
      <w:r>
        <w:rPr>
          <w:rStyle w:val="CharSectno"/>
        </w:rPr>
        <w:t>43</w:t>
      </w:r>
      <w:r>
        <w:rPr>
          <w:snapToGrid w:val="0"/>
        </w:rPr>
        <w:t>.</w:t>
      </w:r>
      <w:r>
        <w:rPr>
          <w:snapToGrid w:val="0"/>
        </w:rPr>
        <w:tab/>
        <w:t>Variation of notice of transport</w:t>
      </w:r>
      <w:bookmarkEnd w:id="135"/>
      <w:bookmarkEnd w:id="136"/>
    </w:p>
    <w:p>
      <w:pPr>
        <w:pStyle w:val="Subsection"/>
        <w:rPr>
          <w:snapToGrid w:val="0"/>
        </w:rPr>
      </w:pPr>
      <w:r>
        <w:rPr>
          <w:snapToGrid w:val="0"/>
        </w:rPr>
        <w:tab/>
        <w:t>(1)</w:t>
      </w:r>
      <w:r>
        <w:rPr>
          <w:snapToGrid w:val="0"/>
        </w:rPr>
        <w:tab/>
        <w:t>Prior notice of transport referred to in regulation 42(1)(a) may be varied by notice lodged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w:t>
      </w:r>
    </w:p>
    <w:p>
      <w:pPr>
        <w:pStyle w:val="Indenta"/>
        <w:rPr>
          <w:snapToGrid w:val="0"/>
        </w:rPr>
      </w:pPr>
      <w:r>
        <w:rPr>
          <w:snapToGrid w:val="0"/>
        </w:rPr>
        <w:tab/>
        <w:t>(a)</w:t>
      </w:r>
      <w:r>
        <w:rPr>
          <w:snapToGrid w:val="0"/>
        </w:rPr>
        <w:tab/>
        <w:t>the pilot of the relevant aircraft; or</w:t>
      </w:r>
    </w:p>
    <w:p>
      <w:pPr>
        <w:pStyle w:val="Indenta"/>
        <w:rPr>
          <w:snapToGrid w:val="0"/>
        </w:rPr>
      </w:pPr>
      <w:r>
        <w:rPr>
          <w:snapToGrid w:val="0"/>
        </w:rPr>
        <w:tab/>
        <w:t>(aa)</w:t>
      </w:r>
      <w:r>
        <w:rPr>
          <w:snapToGrid w:val="0"/>
        </w:rPr>
        <w:tab/>
        <w:t>the driver of the relevant vehicle; or</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Gazette 17 Dec 1999 p. 6215.]</w:t>
      </w:r>
    </w:p>
    <w:p>
      <w:pPr>
        <w:pStyle w:val="Heading5"/>
        <w:rPr>
          <w:snapToGrid w:val="0"/>
        </w:rPr>
      </w:pPr>
      <w:bookmarkStart w:id="137" w:name="_Toc378175713"/>
      <w:bookmarkStart w:id="138" w:name="_Toc487186677"/>
      <w:r>
        <w:rPr>
          <w:rStyle w:val="CharSectno"/>
        </w:rPr>
        <w:t>44</w:t>
      </w:r>
      <w:r>
        <w:rPr>
          <w:snapToGrid w:val="0"/>
        </w:rPr>
        <w:t>.</w:t>
      </w:r>
      <w:r>
        <w:rPr>
          <w:snapToGrid w:val="0"/>
        </w:rPr>
        <w:tab/>
        <w:t>Contents of notices</w:t>
      </w:r>
      <w:bookmarkEnd w:id="137"/>
      <w:bookmarkEnd w:id="138"/>
    </w:p>
    <w:p>
      <w:pPr>
        <w:pStyle w:val="Subsection"/>
        <w:rPr>
          <w:snapToGrid w:val="0"/>
        </w:rPr>
      </w:pPr>
      <w:r>
        <w:rPr>
          <w:snapToGrid w:val="0"/>
        </w:rPr>
        <w:tab/>
      </w:r>
      <w:r>
        <w:rPr>
          <w:snapToGrid w:val="0"/>
        </w:rPr>
        <w:tab/>
        <w:t>Prior notice of transport referred to in regulation 42(1)(a) or notice lodged under regulation 43(1) shall state —</w:t>
      </w:r>
    </w:p>
    <w:p>
      <w:pPr>
        <w:pStyle w:val="Indenta"/>
        <w:rPr>
          <w:snapToGrid w:val="0"/>
        </w:rPr>
      </w:pPr>
      <w:r>
        <w:rPr>
          <w:snapToGrid w:val="0"/>
        </w:rPr>
        <w:tab/>
        <w:t>(a)</w:t>
      </w:r>
      <w:r>
        <w:rPr>
          <w:snapToGrid w:val="0"/>
        </w:rPr>
        <w:tab/>
        <w:t>the date of transport; and</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Gazette 17 Dec 1999 p. 6215</w:t>
      </w:r>
      <w:r>
        <w:noBreakHyphen/>
        <w:t>16.]</w:t>
      </w:r>
    </w:p>
    <w:p>
      <w:pPr>
        <w:pStyle w:val="Heading2"/>
      </w:pPr>
      <w:bookmarkStart w:id="139" w:name="_Toc378175714"/>
      <w:bookmarkStart w:id="140" w:name="_Toc424216710"/>
      <w:bookmarkStart w:id="141" w:name="_Toc487186678"/>
      <w:r>
        <w:rPr>
          <w:rStyle w:val="CharPartNo"/>
        </w:rPr>
        <w:t>Part 7A</w:t>
      </w:r>
      <w:r>
        <w:rPr>
          <w:rStyle w:val="CharDivNo"/>
        </w:rPr>
        <w:t> </w:t>
      </w:r>
      <w:r>
        <w:t>—</w:t>
      </w:r>
      <w:r>
        <w:rPr>
          <w:rStyle w:val="CharDivText"/>
        </w:rPr>
        <w:t> </w:t>
      </w:r>
      <w:r>
        <w:rPr>
          <w:rStyle w:val="CharPartText"/>
        </w:rPr>
        <w:t>Hatcheries</w:t>
      </w:r>
      <w:bookmarkEnd w:id="139"/>
      <w:bookmarkEnd w:id="140"/>
      <w:bookmarkEnd w:id="141"/>
    </w:p>
    <w:p>
      <w:pPr>
        <w:pStyle w:val="Footnoteheading"/>
        <w:rPr>
          <w:snapToGrid w:val="0"/>
        </w:rPr>
      </w:pPr>
      <w:r>
        <w:rPr>
          <w:snapToGrid w:val="0"/>
        </w:rPr>
        <w:tab/>
        <w:t>[Heading inserted: Gazette 17 Dec 1999 p. 6216.]</w:t>
      </w:r>
    </w:p>
    <w:p>
      <w:pPr>
        <w:pStyle w:val="Heading5"/>
        <w:rPr>
          <w:snapToGrid w:val="0"/>
        </w:rPr>
      </w:pPr>
      <w:bookmarkStart w:id="142" w:name="_Toc378175715"/>
      <w:bookmarkStart w:id="143" w:name="_Toc487186679"/>
      <w:r>
        <w:rPr>
          <w:rStyle w:val="CharSectno"/>
        </w:rPr>
        <w:t>44A</w:t>
      </w:r>
      <w:r>
        <w:rPr>
          <w:snapToGrid w:val="0"/>
        </w:rPr>
        <w:t>.</w:t>
      </w:r>
      <w:r>
        <w:rPr>
          <w:snapToGrid w:val="0"/>
        </w:rPr>
        <w:tab/>
        <w:t>Cleaning of hatcheries</w:t>
      </w:r>
      <w:bookmarkEnd w:id="142"/>
      <w:bookmarkEnd w:id="143"/>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clean and disinfect the hatchery and all equipment used in the hatchery if directed to do so by an inspector.</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w:t>
      </w:r>
    </w:p>
    <w:p>
      <w:pPr>
        <w:pStyle w:val="Penstart"/>
        <w:rPr>
          <w:snapToGrid w:val="0"/>
        </w:rPr>
      </w:pPr>
      <w:r>
        <w:rPr>
          <w:snapToGrid w:val="0"/>
        </w:rPr>
        <w:tab/>
        <w:t>Penalty: $2 000.</w:t>
      </w:r>
    </w:p>
    <w:p>
      <w:pPr>
        <w:pStyle w:val="Footnotesection"/>
        <w:keepLines w:val="0"/>
      </w:pPr>
      <w:r>
        <w:tab/>
        <w:t>[Regulation 44A inserted: Gazette 17 Dec 1999 p. 6216; amended: Gazette 24 Sep 2013 p. 4387.]</w:t>
      </w:r>
    </w:p>
    <w:p>
      <w:pPr>
        <w:pStyle w:val="Heading5"/>
        <w:rPr>
          <w:snapToGrid w:val="0"/>
        </w:rPr>
      </w:pPr>
      <w:bookmarkStart w:id="144" w:name="_Toc378175716"/>
      <w:bookmarkStart w:id="145" w:name="_Toc487186680"/>
      <w:r>
        <w:rPr>
          <w:rStyle w:val="CharSectno"/>
        </w:rPr>
        <w:t>44B</w:t>
      </w:r>
      <w:r>
        <w:rPr>
          <w:snapToGrid w:val="0"/>
        </w:rPr>
        <w:t>.</w:t>
      </w:r>
      <w:r>
        <w:rPr>
          <w:snapToGrid w:val="0"/>
        </w:rPr>
        <w:tab/>
        <w:t>Water, air and equipment used in hatchery</w:t>
      </w:r>
      <w:bookmarkEnd w:id="144"/>
      <w:bookmarkEnd w:id="145"/>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in the approved direction,</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w:t>
      </w:r>
    </w:p>
    <w:p>
      <w:pPr>
        <w:pStyle w:val="Penstart"/>
        <w:rPr>
          <w:snapToGrid w:val="0"/>
        </w:rPr>
      </w:pPr>
      <w:r>
        <w:rPr>
          <w:snapToGrid w:val="0"/>
        </w:rPr>
        <w:tab/>
        <w:t>Penalty: $2 000.</w:t>
      </w:r>
    </w:p>
    <w:p>
      <w:pPr>
        <w:pStyle w:val="Footnotesection"/>
        <w:keepLines w:val="0"/>
      </w:pPr>
      <w:r>
        <w:tab/>
        <w:t>[Regulation 44B inserted: Gazette 17 Dec 1999 p. 6216</w:t>
      </w:r>
      <w:r>
        <w:noBreakHyphen/>
        <w:t>17; amended: Gazette 24 Sep 2013 p. 4387.]</w:t>
      </w:r>
    </w:p>
    <w:p>
      <w:pPr>
        <w:pStyle w:val="Heading5"/>
        <w:rPr>
          <w:snapToGrid w:val="0"/>
        </w:rPr>
      </w:pPr>
      <w:bookmarkStart w:id="146" w:name="_Toc378175717"/>
      <w:bookmarkStart w:id="147" w:name="_Toc487186681"/>
      <w:r>
        <w:rPr>
          <w:rStyle w:val="CharSectno"/>
        </w:rPr>
        <w:t>44C</w:t>
      </w:r>
      <w:r>
        <w:rPr>
          <w:snapToGrid w:val="0"/>
        </w:rPr>
        <w:t>.</w:t>
      </w:r>
      <w:r>
        <w:rPr>
          <w:snapToGrid w:val="0"/>
        </w:rPr>
        <w:tab/>
        <w:t>Batches to be kept separate</w:t>
      </w:r>
      <w:bookmarkEnd w:id="146"/>
      <w:bookmarkEnd w:id="147"/>
    </w:p>
    <w:p>
      <w:pPr>
        <w:pStyle w:val="Subsection"/>
        <w:spacing w:before="120"/>
        <w:rPr>
          <w:snapToGrid w:val="0"/>
        </w:rPr>
      </w:pPr>
      <w:r>
        <w:rPr>
          <w:snapToGrid w:val="0"/>
        </w:rPr>
        <w:tab/>
        <w:t>(1)</w:t>
      </w:r>
      <w:r>
        <w:rPr>
          <w:snapToGrid w:val="0"/>
        </w:rPr>
        <w:tab/>
        <w:t>A licensee or permit holder operating a hatchery shall ensure that each batch of spat held in the hatchery is kept separate from other batches of spat in an approved manner.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Gazette 17 Dec 1999 p. 6217.]</w:t>
      </w:r>
    </w:p>
    <w:p>
      <w:pPr>
        <w:pStyle w:val="Heading5"/>
        <w:rPr>
          <w:snapToGrid w:val="0"/>
        </w:rPr>
      </w:pPr>
      <w:bookmarkStart w:id="148" w:name="_Toc378175718"/>
      <w:bookmarkStart w:id="149" w:name="_Toc487186682"/>
      <w:r>
        <w:rPr>
          <w:rStyle w:val="CharSectno"/>
        </w:rPr>
        <w:t>44D</w:t>
      </w:r>
      <w:r>
        <w:rPr>
          <w:snapToGrid w:val="0"/>
        </w:rPr>
        <w:t>.</w:t>
      </w:r>
      <w:r>
        <w:rPr>
          <w:snapToGrid w:val="0"/>
        </w:rPr>
        <w:tab/>
        <w:t>Hatchery records</w:t>
      </w:r>
      <w:bookmarkEnd w:id="148"/>
      <w:bookmarkEnd w:id="149"/>
    </w:p>
    <w:p>
      <w:pPr>
        <w:pStyle w:val="Subsection"/>
        <w:spacing w:before="120"/>
        <w:rPr>
          <w:snapToGrid w:val="0"/>
        </w:rPr>
      </w:pPr>
      <w:r>
        <w:rPr>
          <w:snapToGrid w:val="0"/>
        </w:rPr>
        <w:tab/>
        <w:t>(1)</w:t>
      </w:r>
      <w:r>
        <w:rPr>
          <w:snapToGrid w:val="0"/>
        </w:rPr>
        <w:tab/>
        <w:t>A licensee or permit holder operating a hatchery shall keep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w:t>
      </w:r>
    </w:p>
    <w:p>
      <w:pPr>
        <w:pStyle w:val="Indenta"/>
        <w:rPr>
          <w:snapToGrid w:val="0"/>
        </w:rPr>
      </w:pPr>
      <w:r>
        <w:rPr>
          <w:snapToGrid w:val="0"/>
        </w:rPr>
        <w:tab/>
        <w:t>(a)</w:t>
      </w:r>
      <w:r>
        <w:rPr>
          <w:snapToGrid w:val="0"/>
        </w:rPr>
        <w:tab/>
        <w:t>in relation to each group of broodstock received by the hatchery —</w:t>
      </w:r>
    </w:p>
    <w:p>
      <w:pPr>
        <w:pStyle w:val="Indenti"/>
        <w:rPr>
          <w:snapToGrid w:val="0"/>
        </w:rPr>
      </w:pPr>
      <w:r>
        <w:rPr>
          <w:snapToGrid w:val="0"/>
        </w:rPr>
        <w:tab/>
        <w:t>(i)</w:t>
      </w:r>
      <w:r>
        <w:rPr>
          <w:snapToGrid w:val="0"/>
        </w:rPr>
        <w:tab/>
        <w:t>the number of pearl oysters in the group; and</w:t>
      </w:r>
    </w:p>
    <w:p>
      <w:pPr>
        <w:pStyle w:val="Indenti"/>
        <w:rPr>
          <w:snapToGrid w:val="0"/>
        </w:rPr>
      </w:pPr>
      <w:r>
        <w:rPr>
          <w:snapToGrid w:val="0"/>
        </w:rPr>
        <w:tab/>
        <w:t>(ii)</w:t>
      </w:r>
      <w:r>
        <w:rPr>
          <w:snapToGrid w:val="0"/>
        </w:rPr>
        <w:tab/>
        <w:t>the tag numbers of those pearl oysters; and</w:t>
      </w:r>
    </w:p>
    <w:p>
      <w:pPr>
        <w:pStyle w:val="Indenti"/>
        <w:rPr>
          <w:snapToGrid w:val="0"/>
        </w:rPr>
      </w:pPr>
      <w:r>
        <w:rPr>
          <w:snapToGrid w:val="0"/>
        </w:rPr>
        <w:tab/>
        <w:t>(iii)</w:t>
      </w:r>
      <w:r>
        <w:rPr>
          <w:snapToGrid w:val="0"/>
        </w:rPr>
        <w:tab/>
        <w:t>the name of the licensee or permit holder from whom the pearl oysters were obtained; and</w:t>
      </w:r>
    </w:p>
    <w:p>
      <w:pPr>
        <w:pStyle w:val="Indenti"/>
        <w:rPr>
          <w:snapToGrid w:val="0"/>
        </w:rPr>
      </w:pPr>
      <w:r>
        <w:rPr>
          <w:snapToGrid w:val="0"/>
        </w:rPr>
        <w:tab/>
        <w:t>(iv)</w:t>
      </w:r>
      <w:r>
        <w:rPr>
          <w:snapToGrid w:val="0"/>
        </w:rPr>
        <w:tab/>
        <w:t>the location from which the pearl oysters were obtained; and</w:t>
      </w:r>
    </w:p>
    <w:p>
      <w:pPr>
        <w:pStyle w:val="Indenti"/>
        <w:rPr>
          <w:snapToGrid w:val="0"/>
        </w:rPr>
      </w:pPr>
      <w:r>
        <w:rPr>
          <w:snapToGrid w:val="0"/>
        </w:rPr>
        <w:tab/>
        <w:t>(v)</w:t>
      </w:r>
      <w:r>
        <w:rPr>
          <w:snapToGrid w:val="0"/>
        </w:rPr>
        <w:tab/>
        <w:t>if the broodstock is sold, details of when and to whom it is sold; and</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if the broodstock is otherwise removed from the hatchery, details of when, why and to where it is removed;</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w:t>
      </w:r>
    </w:p>
    <w:p>
      <w:pPr>
        <w:pStyle w:val="Indenti"/>
        <w:rPr>
          <w:snapToGrid w:val="0"/>
        </w:rPr>
      </w:pPr>
      <w:r>
        <w:rPr>
          <w:snapToGrid w:val="0"/>
        </w:rPr>
        <w:tab/>
        <w:t>(i)</w:t>
      </w:r>
      <w:r>
        <w:rPr>
          <w:snapToGrid w:val="0"/>
        </w:rPr>
        <w:tab/>
        <w:t>the date and time when the cleaning and disinfecting were carried out; and</w:t>
      </w:r>
    </w:p>
    <w:p>
      <w:pPr>
        <w:pStyle w:val="Indenti"/>
        <w:rPr>
          <w:snapToGrid w:val="0"/>
        </w:rPr>
      </w:pPr>
      <w:r>
        <w:rPr>
          <w:snapToGrid w:val="0"/>
        </w:rPr>
        <w:tab/>
        <w:t>(ii)</w:t>
      </w:r>
      <w:r>
        <w:rPr>
          <w:snapToGrid w:val="0"/>
        </w:rPr>
        <w:tab/>
        <w:t>details of any tanks and equipment that were cleaned and disinfected; and</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w:t>
      </w:r>
    </w:p>
    <w:p>
      <w:pPr>
        <w:pStyle w:val="Indenta"/>
        <w:rPr>
          <w:snapToGrid w:val="0"/>
        </w:rPr>
      </w:pPr>
      <w:r>
        <w:rPr>
          <w:snapToGrid w:val="0"/>
        </w:rPr>
        <w:tab/>
        <w:t>(a)</w:t>
      </w:r>
      <w:r>
        <w:rPr>
          <w:snapToGrid w:val="0"/>
        </w:rPr>
        <w:tab/>
        <w:t>the tag numbers of the broodstock used to produce the spat; and</w:t>
      </w:r>
    </w:p>
    <w:p>
      <w:pPr>
        <w:pStyle w:val="Indenta"/>
        <w:rPr>
          <w:snapToGrid w:val="0"/>
        </w:rPr>
      </w:pPr>
      <w:r>
        <w:rPr>
          <w:snapToGrid w:val="0"/>
        </w:rPr>
        <w:tab/>
        <w:t>(b)</w:t>
      </w:r>
      <w:r>
        <w:rPr>
          <w:snapToGrid w:val="0"/>
        </w:rPr>
        <w:tab/>
        <w:t>the batch number of the spat produced; and</w:t>
      </w:r>
    </w:p>
    <w:p>
      <w:pPr>
        <w:pStyle w:val="Indenta"/>
        <w:rPr>
          <w:snapToGrid w:val="0"/>
        </w:rPr>
      </w:pPr>
      <w:r>
        <w:rPr>
          <w:snapToGrid w:val="0"/>
        </w:rPr>
        <w:tab/>
        <w:t>(c)</w:t>
      </w:r>
      <w:r>
        <w:rPr>
          <w:snapToGrid w:val="0"/>
        </w:rPr>
        <w:tab/>
        <w:t>the approximate number of spat hatched from those eggs; and</w:t>
      </w:r>
    </w:p>
    <w:p>
      <w:pPr>
        <w:pStyle w:val="Indenta"/>
        <w:rPr>
          <w:snapToGrid w:val="0"/>
        </w:rPr>
      </w:pPr>
      <w:r>
        <w:rPr>
          <w:snapToGrid w:val="0"/>
        </w:rPr>
        <w:tab/>
        <w:t>(d)</w:t>
      </w:r>
      <w:r>
        <w:rPr>
          <w:snapToGrid w:val="0"/>
        </w:rPr>
        <w:tab/>
        <w:t>the times and dates when settlement starts and finishes; and</w:t>
      </w:r>
    </w:p>
    <w:p>
      <w:pPr>
        <w:pStyle w:val="Indenta"/>
        <w:keepNext/>
        <w:rPr>
          <w:snapToGrid w:val="0"/>
        </w:rPr>
      </w:pPr>
      <w:r>
        <w:rPr>
          <w:snapToGrid w:val="0"/>
        </w:rPr>
        <w:tab/>
        <w:t>(e)</w:t>
      </w:r>
      <w:r>
        <w:rPr>
          <w:snapToGrid w:val="0"/>
        </w:rPr>
        <w:tab/>
        <w:t>the approximate number of spat settled; and</w:t>
      </w:r>
    </w:p>
    <w:p>
      <w:pPr>
        <w:pStyle w:val="Indenta"/>
        <w:keepNext/>
        <w:rPr>
          <w:snapToGrid w:val="0"/>
        </w:rPr>
      </w:pPr>
      <w:r>
        <w:rPr>
          <w:snapToGrid w:val="0"/>
        </w:rPr>
        <w:tab/>
        <w:t>(f)</w:t>
      </w:r>
      <w:r>
        <w:rPr>
          <w:snapToGrid w:val="0"/>
        </w:rPr>
        <w:tab/>
        <w:t>each time spat are culled from the batch —</w:t>
      </w:r>
    </w:p>
    <w:p>
      <w:pPr>
        <w:pStyle w:val="Indenti"/>
        <w:rPr>
          <w:snapToGrid w:val="0"/>
        </w:rPr>
      </w:pPr>
      <w:r>
        <w:rPr>
          <w:snapToGrid w:val="0"/>
        </w:rPr>
        <w:tab/>
        <w:t>(i)</w:t>
      </w:r>
      <w:r>
        <w:rPr>
          <w:snapToGrid w:val="0"/>
        </w:rPr>
        <w:tab/>
        <w:t>the date of the cull; and</w:t>
      </w:r>
    </w:p>
    <w:p>
      <w:pPr>
        <w:pStyle w:val="Indenti"/>
        <w:rPr>
          <w:snapToGrid w:val="0"/>
        </w:rPr>
      </w:pPr>
      <w:r>
        <w:rPr>
          <w:snapToGrid w:val="0"/>
        </w:rPr>
        <w:tab/>
        <w:t>(ii)</w:t>
      </w:r>
      <w:r>
        <w:rPr>
          <w:snapToGrid w:val="0"/>
        </w:rPr>
        <w:tab/>
        <w:t>the approximate number of spat retained after culling; and</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 weekly record of the size and stage of the spat; and</w:t>
      </w:r>
    </w:p>
    <w:p>
      <w:pPr>
        <w:pStyle w:val="Indenta"/>
        <w:rPr>
          <w:snapToGrid w:val="0"/>
          <w:spacing w:val="-4"/>
        </w:rPr>
      </w:pPr>
      <w:r>
        <w:rPr>
          <w:snapToGrid w:val="0"/>
          <w:spacing w:val="-4"/>
        </w:rPr>
        <w:tab/>
        <w:t>(h)</w:t>
      </w:r>
      <w:r>
        <w:rPr>
          <w:snapToGrid w:val="0"/>
          <w:spacing w:val="-4"/>
        </w:rPr>
        <w:tab/>
        <w:t>the date and time samples are taken from the batch in accordance with the</w:t>
      </w:r>
      <w:r>
        <w:rPr>
          <w:i/>
        </w:rPr>
        <w:t xml:space="preserve"> Fish Resources Management Regulations 1995</w:t>
      </w:r>
      <w:r>
        <w:t xml:space="preserve"> Part 13A; and</w:t>
      </w:r>
    </w:p>
    <w:p>
      <w:pPr>
        <w:pStyle w:val="Indenta"/>
        <w:rPr>
          <w:snapToGrid w:val="0"/>
        </w:rPr>
      </w:pPr>
      <w:r>
        <w:rPr>
          <w:snapToGrid w:val="0"/>
        </w:rPr>
        <w:tab/>
        <w:t>(i)</w:t>
      </w:r>
      <w:r>
        <w:rPr>
          <w:snapToGrid w:val="0"/>
        </w:rPr>
        <w:tab/>
        <w:t>the size and approximate number of spat in the batch at the time the samples referred to in paragraph (h) are taken; and</w:t>
      </w:r>
    </w:p>
    <w:p>
      <w:pPr>
        <w:pStyle w:val="Indenta"/>
        <w:rPr>
          <w:snapToGrid w:val="0"/>
        </w:rPr>
      </w:pPr>
      <w:r>
        <w:rPr>
          <w:snapToGrid w:val="0"/>
        </w:rPr>
        <w:tab/>
        <w:t>(j)</w:t>
      </w:r>
      <w:r>
        <w:rPr>
          <w:snapToGrid w:val="0"/>
        </w:rPr>
        <w:tab/>
        <w:t>the level of filtration of the water in which the spat are kept; and</w:t>
      </w:r>
    </w:p>
    <w:p>
      <w:pPr>
        <w:pStyle w:val="Indenta"/>
        <w:rPr>
          <w:snapToGrid w:val="0"/>
        </w:rPr>
      </w:pPr>
      <w:r>
        <w:rPr>
          <w:snapToGrid w:val="0"/>
        </w:rPr>
        <w:tab/>
        <w:t>(k)</w:t>
      </w:r>
      <w:r>
        <w:rPr>
          <w:snapToGrid w:val="0"/>
        </w:rPr>
        <w:tab/>
        <w:t>if the broodstock is sold, details of when and to whom it is sold; and</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allow the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Gazette 17 Dec 1999 p. 6217</w:t>
      </w:r>
      <w:r>
        <w:noBreakHyphen/>
        <w:t>19; amended: Gazette 24 Sep 2013 p. 4387.]</w:t>
      </w:r>
    </w:p>
    <w:p>
      <w:pPr>
        <w:pStyle w:val="Heading5"/>
        <w:rPr>
          <w:snapToGrid w:val="0"/>
        </w:rPr>
      </w:pPr>
      <w:bookmarkStart w:id="150" w:name="_Toc378175719"/>
      <w:bookmarkStart w:id="151" w:name="_Toc487186683"/>
      <w:r>
        <w:rPr>
          <w:rStyle w:val="CharSectno"/>
        </w:rPr>
        <w:t>44E</w:t>
      </w:r>
      <w:r>
        <w:rPr>
          <w:snapToGrid w:val="0"/>
        </w:rPr>
        <w:t>.</w:t>
      </w:r>
      <w:r>
        <w:rPr>
          <w:snapToGrid w:val="0"/>
        </w:rPr>
        <w:tab/>
        <w:t>Source of broodstock for hatcheries</w:t>
      </w:r>
      <w:bookmarkEnd w:id="150"/>
      <w:bookmarkEnd w:id="151"/>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Gazette 17 Dec 1999 p. 6219.]</w:t>
      </w:r>
    </w:p>
    <w:p>
      <w:pPr>
        <w:pStyle w:val="Heading5"/>
        <w:rPr>
          <w:snapToGrid w:val="0"/>
        </w:rPr>
      </w:pPr>
      <w:bookmarkStart w:id="152" w:name="_Toc378175720"/>
      <w:bookmarkStart w:id="153" w:name="_Toc487186684"/>
      <w:r>
        <w:rPr>
          <w:rStyle w:val="CharSectno"/>
        </w:rPr>
        <w:t>44F</w:t>
      </w:r>
      <w:r>
        <w:rPr>
          <w:snapToGrid w:val="0"/>
        </w:rPr>
        <w:t>.</w:t>
      </w:r>
      <w:r>
        <w:rPr>
          <w:snapToGrid w:val="0"/>
        </w:rPr>
        <w:tab/>
        <w:t>Supply of hatchery produced spat restricted</w:t>
      </w:r>
      <w:bookmarkEnd w:id="152"/>
      <w:bookmarkEnd w:id="153"/>
    </w:p>
    <w:p>
      <w:pPr>
        <w:pStyle w:val="Subsection"/>
        <w:rPr>
          <w:snapToGrid w:val="0"/>
        </w:rPr>
      </w:pPr>
      <w:r>
        <w:rPr>
          <w:snapToGrid w:val="0"/>
        </w:rPr>
        <w:tab/>
      </w:r>
      <w:r>
        <w:rPr>
          <w:snapToGrid w:val="0"/>
        </w:rPr>
        <w:tab/>
        <w:t>A licensee or permit holder operating a hatchery shall not sell or supply to a person spat produced in the hatchery unless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Gazette 17 Dec 1999 p. 6219.]</w:t>
      </w:r>
    </w:p>
    <w:p>
      <w:pPr>
        <w:pStyle w:val="Heading2"/>
      </w:pPr>
      <w:bookmarkStart w:id="154" w:name="_Toc378175721"/>
      <w:bookmarkStart w:id="155" w:name="_Toc424216717"/>
      <w:bookmarkStart w:id="156" w:name="_Toc487186685"/>
      <w:r>
        <w:rPr>
          <w:rStyle w:val="CharPartNo"/>
        </w:rPr>
        <w:t>Part 7B</w:t>
      </w:r>
      <w:r>
        <w:rPr>
          <w:rStyle w:val="CharDivNo"/>
        </w:rPr>
        <w:t> </w:t>
      </w:r>
      <w:r>
        <w:t>—</w:t>
      </w:r>
      <w:r>
        <w:rPr>
          <w:rStyle w:val="CharDivText"/>
        </w:rPr>
        <w:t> </w:t>
      </w:r>
      <w:r>
        <w:rPr>
          <w:rStyle w:val="CharPartText"/>
        </w:rPr>
        <w:t>Spat collection</w:t>
      </w:r>
      <w:bookmarkEnd w:id="154"/>
      <w:bookmarkEnd w:id="155"/>
      <w:bookmarkEnd w:id="156"/>
    </w:p>
    <w:p>
      <w:pPr>
        <w:pStyle w:val="Footnoteheading"/>
        <w:rPr>
          <w:snapToGrid w:val="0"/>
        </w:rPr>
      </w:pPr>
      <w:r>
        <w:rPr>
          <w:snapToGrid w:val="0"/>
        </w:rPr>
        <w:tab/>
        <w:t>[Heading inserted: Gazette 17 Dec 1999 p. 6219.]</w:t>
      </w:r>
    </w:p>
    <w:p>
      <w:pPr>
        <w:pStyle w:val="Heading5"/>
        <w:rPr>
          <w:snapToGrid w:val="0"/>
        </w:rPr>
      </w:pPr>
      <w:bookmarkStart w:id="157" w:name="_Toc378175722"/>
      <w:bookmarkStart w:id="158" w:name="_Toc487186686"/>
      <w:r>
        <w:rPr>
          <w:rStyle w:val="CharSectno"/>
        </w:rPr>
        <w:t>44G</w:t>
      </w:r>
      <w:r>
        <w:rPr>
          <w:snapToGrid w:val="0"/>
        </w:rPr>
        <w:t>.</w:t>
      </w:r>
      <w:r>
        <w:rPr>
          <w:snapToGrid w:val="0"/>
        </w:rPr>
        <w:tab/>
        <w:t>Spat collection</w:t>
      </w:r>
      <w:bookmarkEnd w:id="157"/>
      <w:bookmarkEnd w:id="158"/>
    </w:p>
    <w:p>
      <w:pPr>
        <w:pStyle w:val="Subsection"/>
        <w:rPr>
          <w:snapToGrid w:val="0"/>
        </w:rPr>
      </w:pPr>
      <w:r>
        <w:rPr>
          <w:snapToGrid w:val="0"/>
        </w:rPr>
        <w:tab/>
        <w:t>(1)</w:t>
      </w:r>
      <w:r>
        <w:rPr>
          <w:snapToGrid w:val="0"/>
        </w:rPr>
        <w:tab/>
        <w:t>A person shall not collect spat unless —</w:t>
      </w:r>
    </w:p>
    <w:p>
      <w:pPr>
        <w:pStyle w:val="Indenta"/>
        <w:rPr>
          <w:snapToGrid w:val="0"/>
        </w:rPr>
      </w:pPr>
      <w:r>
        <w:rPr>
          <w:snapToGrid w:val="0"/>
        </w:rPr>
        <w:tab/>
        <w:t>(a)</w:t>
      </w:r>
      <w:r>
        <w:rPr>
          <w:snapToGrid w:val="0"/>
        </w:rPr>
        <w:tab/>
        <w:t>the person holds a licence or permit authorising that person to collect spat; and</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that other person holds a hatchery (nursery) licence.</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Gazette 17 Dec 1999 p. 6219</w:t>
      </w:r>
      <w:r>
        <w:noBreakHyphen/>
        <w:t>20.]</w:t>
      </w:r>
    </w:p>
    <w:p>
      <w:pPr>
        <w:pStyle w:val="Heading2"/>
      </w:pPr>
      <w:bookmarkStart w:id="159" w:name="_Toc378175723"/>
      <w:bookmarkStart w:id="160" w:name="_Toc424216719"/>
      <w:bookmarkStart w:id="161" w:name="_Toc487186687"/>
      <w:r>
        <w:rPr>
          <w:rStyle w:val="CharPartNo"/>
        </w:rPr>
        <w:t>Part 7C</w:t>
      </w:r>
      <w:r>
        <w:rPr>
          <w:rStyle w:val="CharDivNo"/>
        </w:rPr>
        <w:t xml:space="preserve"> </w:t>
      </w:r>
      <w:r>
        <w:t>—</w:t>
      </w:r>
      <w:r>
        <w:rPr>
          <w:rStyle w:val="CharDivText"/>
        </w:rPr>
        <w:t xml:space="preserve"> </w:t>
      </w:r>
      <w:r>
        <w:rPr>
          <w:rStyle w:val="CharPartText"/>
        </w:rPr>
        <w:t>Quarantine sites</w:t>
      </w:r>
      <w:bookmarkEnd w:id="159"/>
      <w:bookmarkEnd w:id="160"/>
      <w:bookmarkEnd w:id="161"/>
    </w:p>
    <w:p>
      <w:pPr>
        <w:pStyle w:val="Footnoteheading"/>
        <w:rPr>
          <w:snapToGrid w:val="0"/>
        </w:rPr>
      </w:pPr>
      <w:r>
        <w:rPr>
          <w:snapToGrid w:val="0"/>
        </w:rPr>
        <w:tab/>
        <w:t>[Heading inserted: Gazette 17 Dec 1999 p. 6220.]</w:t>
      </w:r>
    </w:p>
    <w:p>
      <w:pPr>
        <w:pStyle w:val="Heading5"/>
        <w:rPr>
          <w:snapToGrid w:val="0"/>
        </w:rPr>
      </w:pPr>
      <w:bookmarkStart w:id="162" w:name="_Toc378175724"/>
      <w:bookmarkStart w:id="163" w:name="_Toc487186688"/>
      <w:r>
        <w:rPr>
          <w:rStyle w:val="CharSectno"/>
        </w:rPr>
        <w:t>44H</w:t>
      </w:r>
      <w:r>
        <w:rPr>
          <w:snapToGrid w:val="0"/>
        </w:rPr>
        <w:t>.</w:t>
      </w:r>
      <w:r>
        <w:rPr>
          <w:snapToGrid w:val="0"/>
        </w:rPr>
        <w:tab/>
        <w:t>Quarantine site not to be used for other purposes</w:t>
      </w:r>
      <w:bookmarkEnd w:id="162"/>
      <w:bookmarkEnd w:id="163"/>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Gazette 17 Dec 1999 p. 6220.]</w:t>
      </w:r>
    </w:p>
    <w:p>
      <w:pPr>
        <w:pStyle w:val="Heading5"/>
        <w:rPr>
          <w:snapToGrid w:val="0"/>
        </w:rPr>
      </w:pPr>
      <w:bookmarkStart w:id="164" w:name="_Toc378175725"/>
      <w:bookmarkStart w:id="165" w:name="_Toc487186689"/>
      <w:r>
        <w:rPr>
          <w:rStyle w:val="CharSectno"/>
        </w:rPr>
        <w:t>44I</w:t>
      </w:r>
      <w:r>
        <w:rPr>
          <w:snapToGrid w:val="0"/>
        </w:rPr>
        <w:t>.</w:t>
      </w:r>
      <w:r>
        <w:rPr>
          <w:snapToGrid w:val="0"/>
        </w:rPr>
        <w:tab/>
        <w:t>Quarantine permitted only on quarantine site</w:t>
      </w:r>
      <w:bookmarkEnd w:id="164"/>
      <w:bookmarkEnd w:id="165"/>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Gazette 17 Dec 1999 p. 6220.]</w:t>
      </w:r>
    </w:p>
    <w:p>
      <w:pPr>
        <w:pStyle w:val="Heading5"/>
        <w:rPr>
          <w:snapToGrid w:val="0"/>
        </w:rPr>
      </w:pPr>
      <w:bookmarkStart w:id="166" w:name="_Toc378175726"/>
      <w:bookmarkStart w:id="167" w:name="_Toc487186690"/>
      <w:r>
        <w:rPr>
          <w:rStyle w:val="CharSectno"/>
        </w:rPr>
        <w:t>44J</w:t>
      </w:r>
      <w:r>
        <w:rPr>
          <w:snapToGrid w:val="0"/>
        </w:rPr>
        <w:t>.</w:t>
      </w:r>
      <w:r>
        <w:rPr>
          <w:snapToGrid w:val="0"/>
        </w:rPr>
        <w:tab/>
        <w:t>Cleaning of boats and equipment</w:t>
      </w:r>
      <w:bookmarkEnd w:id="166"/>
      <w:bookmarkEnd w:id="167"/>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w:t>
      </w:r>
      <w:r>
        <w:t xml:space="preserve"> Chief Executive Officer of the department of the Public Service principally assisting the Minister to whom the administration of the </w:t>
      </w:r>
      <w:r>
        <w:rPr>
          <w:i/>
        </w:rPr>
        <w:t>Fish Resources Management Act 1994</w:t>
      </w:r>
      <w:r>
        <w:t xml:space="preserve"> is for the time being committed in the administration of that Act.</w:t>
      </w:r>
    </w:p>
    <w:p>
      <w:pPr>
        <w:pStyle w:val="Footnotesection"/>
        <w:keepLines w:val="0"/>
      </w:pPr>
      <w:r>
        <w:tab/>
        <w:t>[Regulation 44J inserted: Gazette 17 Dec 1999 p. 6220; amended: Gazette 24 Sep 2013 p. 4387.]</w:t>
      </w:r>
    </w:p>
    <w:p>
      <w:pPr>
        <w:pStyle w:val="Heading5"/>
        <w:rPr>
          <w:snapToGrid w:val="0"/>
        </w:rPr>
      </w:pPr>
      <w:bookmarkStart w:id="168" w:name="_Toc378175727"/>
      <w:bookmarkStart w:id="169" w:name="_Toc487186691"/>
      <w:r>
        <w:rPr>
          <w:rStyle w:val="CharSectno"/>
        </w:rPr>
        <w:t>44K</w:t>
      </w:r>
      <w:r>
        <w:rPr>
          <w:snapToGrid w:val="0"/>
        </w:rPr>
        <w:t>.</w:t>
      </w:r>
      <w:r>
        <w:rPr>
          <w:snapToGrid w:val="0"/>
        </w:rPr>
        <w:tab/>
        <w:t>Notification when quarantine site cleared</w:t>
      </w:r>
      <w:bookmarkEnd w:id="168"/>
      <w:bookmarkEnd w:id="169"/>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Gazette 17 Dec 1999 p. 6220.]</w:t>
      </w:r>
    </w:p>
    <w:p>
      <w:pPr>
        <w:pStyle w:val="Heading5"/>
        <w:rPr>
          <w:snapToGrid w:val="0"/>
        </w:rPr>
      </w:pPr>
      <w:bookmarkStart w:id="170" w:name="_Toc378175728"/>
      <w:bookmarkStart w:id="171" w:name="_Toc487186692"/>
      <w:r>
        <w:rPr>
          <w:rStyle w:val="CharSectno"/>
        </w:rPr>
        <w:t>44L</w:t>
      </w:r>
      <w:r>
        <w:rPr>
          <w:snapToGrid w:val="0"/>
        </w:rPr>
        <w:t>.</w:t>
      </w:r>
      <w:r>
        <w:rPr>
          <w:snapToGrid w:val="0"/>
        </w:rPr>
        <w:tab/>
        <w:t>Spat to be held on quarantine site for 6 weeks</w:t>
      </w:r>
      <w:bookmarkEnd w:id="170"/>
      <w:bookmarkEnd w:id="171"/>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Gazette 17 Dec 1999 p. 6220</w:t>
      </w:r>
      <w:r>
        <w:noBreakHyphen/>
        <w:t>1; amended: Gazette 24 Sep 2013 p. 4387.]</w:t>
      </w:r>
    </w:p>
    <w:p>
      <w:pPr>
        <w:pStyle w:val="Heading5"/>
        <w:rPr>
          <w:snapToGrid w:val="0"/>
        </w:rPr>
      </w:pPr>
      <w:bookmarkStart w:id="172" w:name="_Toc378175729"/>
      <w:bookmarkStart w:id="173" w:name="_Toc487186693"/>
      <w:r>
        <w:rPr>
          <w:rStyle w:val="CharSectno"/>
        </w:rPr>
        <w:t>44M</w:t>
      </w:r>
      <w:r>
        <w:rPr>
          <w:snapToGrid w:val="0"/>
        </w:rPr>
        <w:t>.</w:t>
      </w:r>
      <w:r>
        <w:rPr>
          <w:snapToGrid w:val="0"/>
        </w:rPr>
        <w:tab/>
        <w:t>Disposal of dead pearl oysters</w:t>
      </w:r>
      <w:bookmarkEnd w:id="172"/>
      <w:bookmarkEnd w:id="173"/>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44M inserted: Gazette 17 Dec 1999 p. 6221.]</w:t>
      </w:r>
    </w:p>
    <w:p>
      <w:pPr>
        <w:pStyle w:val="Heading2"/>
      </w:pPr>
      <w:bookmarkStart w:id="174" w:name="_Toc378175730"/>
      <w:bookmarkStart w:id="175" w:name="_Toc424216726"/>
      <w:bookmarkStart w:id="176" w:name="_Toc487186694"/>
      <w:r>
        <w:rPr>
          <w:rStyle w:val="CharPartNo"/>
        </w:rPr>
        <w:t>Part 7D</w:t>
      </w:r>
      <w:r>
        <w:rPr>
          <w:rStyle w:val="CharDivNo"/>
        </w:rPr>
        <w:t> </w:t>
      </w:r>
      <w:r>
        <w:t>—</w:t>
      </w:r>
      <w:r>
        <w:rPr>
          <w:rStyle w:val="CharDivText"/>
        </w:rPr>
        <w:t> </w:t>
      </w:r>
      <w:r>
        <w:rPr>
          <w:rStyle w:val="CharPartText"/>
        </w:rPr>
        <w:t>Nursery sites</w:t>
      </w:r>
      <w:bookmarkEnd w:id="174"/>
      <w:bookmarkEnd w:id="175"/>
      <w:bookmarkEnd w:id="176"/>
    </w:p>
    <w:p>
      <w:pPr>
        <w:pStyle w:val="Footnoteheading"/>
        <w:rPr>
          <w:snapToGrid w:val="0"/>
        </w:rPr>
      </w:pPr>
      <w:r>
        <w:rPr>
          <w:snapToGrid w:val="0"/>
        </w:rPr>
        <w:tab/>
        <w:t>[Heading inserted: Gazette 17 Dec 1999 p. 6221.]</w:t>
      </w:r>
    </w:p>
    <w:p>
      <w:pPr>
        <w:pStyle w:val="Heading5"/>
        <w:rPr>
          <w:snapToGrid w:val="0"/>
        </w:rPr>
      </w:pPr>
      <w:bookmarkStart w:id="177" w:name="_Toc378175731"/>
      <w:bookmarkStart w:id="178" w:name="_Toc487186695"/>
      <w:r>
        <w:rPr>
          <w:rStyle w:val="CharSectno"/>
        </w:rPr>
        <w:t>44N</w:t>
      </w:r>
      <w:r>
        <w:rPr>
          <w:snapToGrid w:val="0"/>
        </w:rPr>
        <w:t>.</w:t>
      </w:r>
      <w:r>
        <w:rPr>
          <w:snapToGrid w:val="0"/>
        </w:rPr>
        <w:tab/>
        <w:t>Nursery site not to be used other than as a nursery</w:t>
      </w:r>
      <w:bookmarkEnd w:id="177"/>
      <w:bookmarkEnd w:id="178"/>
    </w:p>
    <w:p>
      <w:pPr>
        <w:pStyle w:val="Subsection"/>
        <w:rPr>
          <w:snapToGrid w:val="0"/>
        </w:rPr>
      </w:pPr>
      <w:r>
        <w:rPr>
          <w:snapToGrid w:val="0"/>
        </w:rPr>
        <w:tab/>
      </w:r>
      <w:r>
        <w:rPr>
          <w:snapToGrid w:val="0"/>
        </w:rPr>
        <w:tab/>
        <w:t>A licensee or permit holder shall not use a nursery site except for the purpose of growing out pearl oysters.</w:t>
      </w:r>
    </w:p>
    <w:p>
      <w:pPr>
        <w:pStyle w:val="Penstart"/>
        <w:rPr>
          <w:snapToGrid w:val="0"/>
        </w:rPr>
      </w:pPr>
      <w:r>
        <w:rPr>
          <w:snapToGrid w:val="0"/>
        </w:rPr>
        <w:tab/>
        <w:t>Penalty: $2 000.</w:t>
      </w:r>
    </w:p>
    <w:p>
      <w:pPr>
        <w:pStyle w:val="Footnotesection"/>
        <w:keepLines w:val="0"/>
      </w:pPr>
      <w:r>
        <w:tab/>
        <w:t>[Regulation 44N inserted: Gazette 17 Dec 1999 p. 6221.]</w:t>
      </w:r>
    </w:p>
    <w:p>
      <w:pPr>
        <w:pStyle w:val="Heading5"/>
        <w:rPr>
          <w:snapToGrid w:val="0"/>
        </w:rPr>
      </w:pPr>
      <w:bookmarkStart w:id="179" w:name="_Toc378175732"/>
      <w:bookmarkStart w:id="180" w:name="_Toc487186696"/>
      <w:r>
        <w:rPr>
          <w:rStyle w:val="CharSectno"/>
        </w:rPr>
        <w:t>44O</w:t>
      </w:r>
      <w:r>
        <w:rPr>
          <w:snapToGrid w:val="0"/>
        </w:rPr>
        <w:t>.</w:t>
      </w:r>
      <w:r>
        <w:rPr>
          <w:snapToGrid w:val="0"/>
        </w:rPr>
        <w:tab/>
        <w:t>Growing out permitted only on nursery site</w:t>
      </w:r>
      <w:bookmarkEnd w:id="179"/>
      <w:bookmarkEnd w:id="180"/>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Gazette 17 Dec 1999 p. 6221.]</w:t>
      </w:r>
    </w:p>
    <w:p>
      <w:pPr>
        <w:pStyle w:val="Heading5"/>
        <w:rPr>
          <w:snapToGrid w:val="0"/>
        </w:rPr>
      </w:pPr>
      <w:bookmarkStart w:id="181" w:name="_Toc378175733"/>
      <w:bookmarkStart w:id="182" w:name="_Toc487186697"/>
      <w:r>
        <w:rPr>
          <w:rStyle w:val="CharSectno"/>
        </w:rPr>
        <w:t>44P</w:t>
      </w:r>
      <w:r>
        <w:rPr>
          <w:snapToGrid w:val="0"/>
        </w:rPr>
        <w:t>.</w:t>
      </w:r>
      <w:r>
        <w:rPr>
          <w:snapToGrid w:val="0"/>
        </w:rPr>
        <w:tab/>
        <w:t>Nursery site to be used only by holder of hatchery (nursery) licence or permit</w:t>
      </w:r>
      <w:bookmarkEnd w:id="181"/>
      <w:bookmarkEnd w:id="182"/>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Gazette 17 Dec 1999 p. 6221.]</w:t>
      </w:r>
    </w:p>
    <w:p>
      <w:pPr>
        <w:pStyle w:val="Heading5"/>
        <w:rPr>
          <w:snapToGrid w:val="0"/>
        </w:rPr>
      </w:pPr>
      <w:bookmarkStart w:id="183" w:name="_Toc378175734"/>
      <w:bookmarkStart w:id="184" w:name="_Toc487186698"/>
      <w:r>
        <w:rPr>
          <w:rStyle w:val="CharSectno"/>
        </w:rPr>
        <w:t>44Q</w:t>
      </w:r>
      <w:r>
        <w:rPr>
          <w:snapToGrid w:val="0"/>
        </w:rPr>
        <w:t>.</w:t>
      </w:r>
      <w:r>
        <w:rPr>
          <w:snapToGrid w:val="0"/>
        </w:rPr>
        <w:tab/>
        <w:t>Spat to be held on nursery site until full size</w:t>
      </w:r>
      <w:bookmarkEnd w:id="183"/>
      <w:bookmarkEnd w:id="184"/>
    </w:p>
    <w:p>
      <w:pPr>
        <w:pStyle w:val="Subsection"/>
        <w:rPr>
          <w:snapToGrid w:val="0"/>
        </w:rPr>
      </w:pPr>
      <w:r>
        <w:rPr>
          <w:snapToGrid w:val="0"/>
        </w:rPr>
        <w:tab/>
      </w:r>
      <w:r>
        <w:rPr>
          <w:snapToGrid w:val="0"/>
        </w:rPr>
        <w:tab/>
        <w:t>A licensee or permit holder using a nursery site shall not remove a pearl oyster from that nursery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44R; or</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Gazette 17 Dec 1999 p. 6221; amended: Gazette 24 Sep 2013 p. 4387.]</w:t>
      </w:r>
    </w:p>
    <w:p>
      <w:pPr>
        <w:pStyle w:val="Heading5"/>
        <w:rPr>
          <w:snapToGrid w:val="0"/>
        </w:rPr>
      </w:pPr>
      <w:bookmarkStart w:id="185" w:name="_Toc378175735"/>
      <w:bookmarkStart w:id="186" w:name="_Toc487186699"/>
      <w:r>
        <w:rPr>
          <w:rStyle w:val="CharSectno"/>
        </w:rPr>
        <w:t>44R</w:t>
      </w:r>
      <w:r>
        <w:rPr>
          <w:snapToGrid w:val="0"/>
        </w:rPr>
        <w:t>.</w:t>
      </w:r>
      <w:r>
        <w:rPr>
          <w:snapToGrid w:val="0"/>
        </w:rPr>
        <w:tab/>
        <w:t>Disposal of dead pearl oysters</w:t>
      </w:r>
      <w:bookmarkEnd w:id="185"/>
      <w:bookmarkEnd w:id="186"/>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44R inserted: Gazette 17 Dec 1999 p. 6222.]</w:t>
      </w:r>
    </w:p>
    <w:p>
      <w:pPr>
        <w:pStyle w:val="Heading2"/>
      </w:pPr>
      <w:bookmarkStart w:id="187" w:name="_Toc378175736"/>
      <w:bookmarkStart w:id="188" w:name="_Toc424216732"/>
      <w:bookmarkStart w:id="189" w:name="_Toc487186700"/>
      <w:r>
        <w:rPr>
          <w:rStyle w:val="CharPartNo"/>
        </w:rPr>
        <w:t>Part 7E</w:t>
      </w:r>
      <w:r>
        <w:rPr>
          <w:rStyle w:val="CharDivNo"/>
        </w:rPr>
        <w:t> </w:t>
      </w:r>
      <w:r>
        <w:t>—</w:t>
      </w:r>
      <w:r>
        <w:rPr>
          <w:rStyle w:val="CharDivText"/>
        </w:rPr>
        <w:t> </w:t>
      </w:r>
      <w:r>
        <w:rPr>
          <w:rStyle w:val="CharPartText"/>
        </w:rPr>
        <w:t>Growing out spat and seeding grown out pearl oysters</w:t>
      </w:r>
      <w:bookmarkEnd w:id="187"/>
      <w:bookmarkEnd w:id="188"/>
      <w:bookmarkEnd w:id="189"/>
    </w:p>
    <w:p>
      <w:pPr>
        <w:pStyle w:val="Footnoteheading"/>
        <w:rPr>
          <w:snapToGrid w:val="0"/>
        </w:rPr>
      </w:pPr>
      <w:r>
        <w:rPr>
          <w:snapToGrid w:val="0"/>
        </w:rPr>
        <w:tab/>
        <w:t>[Heading inserted: Gazette 17 Dec 1999 p. 6222.]</w:t>
      </w:r>
    </w:p>
    <w:p>
      <w:pPr>
        <w:pStyle w:val="Heading5"/>
        <w:rPr>
          <w:snapToGrid w:val="0"/>
        </w:rPr>
      </w:pPr>
      <w:bookmarkStart w:id="190" w:name="_Toc378175737"/>
      <w:bookmarkStart w:id="191" w:name="_Toc487186701"/>
      <w:r>
        <w:rPr>
          <w:rStyle w:val="CharSectno"/>
        </w:rPr>
        <w:t>44S</w:t>
      </w:r>
      <w:r>
        <w:rPr>
          <w:snapToGrid w:val="0"/>
        </w:rPr>
        <w:t>.</w:t>
      </w:r>
      <w:r>
        <w:rPr>
          <w:snapToGrid w:val="0"/>
        </w:rPr>
        <w:tab/>
        <w:t>Restrictions on spat which may be taken under a hatchery (nursery) licence</w:t>
      </w:r>
      <w:bookmarkEnd w:id="190"/>
      <w:bookmarkEnd w:id="191"/>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w:t>
      </w:r>
    </w:p>
    <w:p>
      <w:pPr>
        <w:pStyle w:val="Indenta"/>
        <w:rPr>
          <w:snapToGrid w:val="0"/>
        </w:rPr>
      </w:pPr>
      <w:r>
        <w:rPr>
          <w:snapToGrid w:val="0"/>
        </w:rPr>
        <w:tab/>
        <w:t>(a)</w:t>
      </w:r>
      <w:r>
        <w:rPr>
          <w:snapToGrid w:val="0"/>
        </w:rPr>
        <w:tab/>
        <w:t>is collected from a spat collector located on a pearl oyster farm (other than on a nursery site or quarantine site) operated by that licensee or permit holder and is not more than 80 mm in length; or</w:t>
      </w:r>
    </w:p>
    <w:p>
      <w:pPr>
        <w:pStyle w:val="Indenta"/>
        <w:rPr>
          <w:snapToGrid w:val="0"/>
        </w:rPr>
      </w:pPr>
      <w:r>
        <w:rPr>
          <w:snapToGrid w:val="0"/>
        </w:rPr>
        <w:tab/>
        <w:t>(b)</w:t>
      </w:r>
      <w:r>
        <w:rPr>
          <w:snapToGrid w:val="0"/>
        </w:rPr>
        <w:tab/>
        <w:t>is —</w:t>
      </w:r>
    </w:p>
    <w:p>
      <w:pPr>
        <w:pStyle w:val="Indenti"/>
        <w:rPr>
          <w:snapToGrid w:val="0"/>
        </w:rPr>
      </w:pPr>
      <w:r>
        <w:rPr>
          <w:snapToGrid w:val="0"/>
        </w:rPr>
        <w:tab/>
        <w:t>(i)</w:t>
      </w:r>
      <w:r>
        <w:rPr>
          <w:snapToGrid w:val="0"/>
        </w:rPr>
        <w:tab/>
        <w:t>collected from any other spat collector; and</w:t>
      </w:r>
    </w:p>
    <w:p>
      <w:pPr>
        <w:pStyle w:val="Indenti"/>
        <w:rPr>
          <w:snapToGrid w:val="0"/>
        </w:rPr>
      </w:pPr>
      <w:r>
        <w:rPr>
          <w:snapToGrid w:val="0"/>
        </w:rPr>
        <w:tab/>
        <w:t>(ii)</w:t>
      </w:r>
      <w:r>
        <w:rPr>
          <w:snapToGrid w:val="0"/>
        </w:rPr>
        <w:tab/>
        <w:t>is not more than 40 mm in length at the time it is taken;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40 mm in length,</w:t>
      </w:r>
    </w:p>
    <w:p>
      <w:pPr>
        <w:pStyle w:val="Indenta"/>
        <w:rPr>
          <w:snapToGrid w:val="0"/>
        </w:rPr>
      </w:pPr>
      <w:r>
        <w:rPr>
          <w:snapToGrid w:val="0"/>
        </w:rPr>
        <w:tab/>
      </w:r>
      <w:r>
        <w:rPr>
          <w:snapToGrid w:val="0"/>
        </w:rPr>
        <w:tab/>
        <w:t>at the time it is taken.</w:t>
      </w:r>
    </w:p>
    <w:p>
      <w:pPr>
        <w:pStyle w:val="Footnotesection"/>
        <w:keepLines w:val="0"/>
      </w:pPr>
      <w:r>
        <w:tab/>
        <w:t>[Regulation 44S inserted: Gazette 17 Dec 1999 p. 6222.]</w:t>
      </w:r>
    </w:p>
    <w:p>
      <w:pPr>
        <w:pStyle w:val="Heading5"/>
        <w:keepNext w:val="0"/>
        <w:keepLines w:val="0"/>
        <w:rPr>
          <w:snapToGrid w:val="0"/>
        </w:rPr>
      </w:pPr>
      <w:bookmarkStart w:id="192" w:name="_Toc378175738"/>
      <w:bookmarkStart w:id="193" w:name="_Toc487186702"/>
      <w:r>
        <w:rPr>
          <w:rStyle w:val="CharSectno"/>
        </w:rPr>
        <w:t>44T</w:t>
      </w:r>
      <w:r>
        <w:rPr>
          <w:snapToGrid w:val="0"/>
        </w:rPr>
        <w:t>.</w:t>
      </w:r>
      <w:r>
        <w:rPr>
          <w:snapToGrid w:val="0"/>
        </w:rPr>
        <w:tab/>
        <w:t>Use or disposal of excess oysters from nursery site</w:t>
      </w:r>
      <w:bookmarkEnd w:id="192"/>
      <w:bookmarkEnd w:id="193"/>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Gazette 17 Dec 1999 p. 6222</w:t>
      </w:r>
      <w:r>
        <w:noBreakHyphen/>
        <w:t>3.]</w:t>
      </w:r>
    </w:p>
    <w:p>
      <w:pPr>
        <w:pStyle w:val="Heading5"/>
        <w:rPr>
          <w:snapToGrid w:val="0"/>
        </w:rPr>
      </w:pPr>
      <w:bookmarkStart w:id="194" w:name="_Toc378175739"/>
      <w:bookmarkStart w:id="195" w:name="_Toc487186703"/>
      <w:r>
        <w:rPr>
          <w:rStyle w:val="CharSectno"/>
        </w:rPr>
        <w:t>44U</w:t>
      </w:r>
      <w:r>
        <w:rPr>
          <w:snapToGrid w:val="0"/>
        </w:rPr>
        <w:t>.</w:t>
      </w:r>
      <w:r>
        <w:rPr>
          <w:snapToGrid w:val="0"/>
        </w:rPr>
        <w:tab/>
      </w:r>
      <w:smartTag w:uri="urn:schemas-microsoft-com:office:smarttags" w:element="place">
        <w:smartTag w:uri="urn:schemas-microsoft-com:office:smarttags" w:element="City">
          <w:r>
            <w:rPr>
              <w:snapToGrid w:val="0"/>
            </w:rPr>
            <w:t>Pearl</w:t>
          </w:r>
        </w:smartTag>
      </w:smartTag>
      <w:r>
        <w:rPr>
          <w:snapToGrid w:val="0"/>
        </w:rPr>
        <w:t xml:space="preserve"> seeding operations on grown out oysters</w:t>
      </w:r>
      <w:bookmarkEnd w:id="194"/>
      <w:bookmarkEnd w:id="195"/>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w:t>
      </w:r>
    </w:p>
    <w:p>
      <w:pPr>
        <w:pStyle w:val="Indenta"/>
        <w:rPr>
          <w:snapToGrid w:val="0"/>
        </w:rPr>
      </w:pPr>
      <w:r>
        <w:rPr>
          <w:snapToGrid w:val="0"/>
        </w:rPr>
        <w:tab/>
        <w:t>(a)</w:t>
      </w:r>
      <w:r>
        <w:rPr>
          <w:snapToGrid w:val="0"/>
        </w:rPr>
        <w:tab/>
        <w:t>was taken under a hatchery (nursery) licence or permit; and</w:t>
      </w:r>
    </w:p>
    <w:p>
      <w:pPr>
        <w:pStyle w:val="Indenta"/>
        <w:rPr>
          <w:snapToGrid w:val="0"/>
        </w:rPr>
      </w:pPr>
      <w:r>
        <w:rPr>
          <w:snapToGrid w:val="0"/>
        </w:rPr>
        <w:tab/>
        <w:t>(b)</w:t>
      </w:r>
      <w:r>
        <w:rPr>
          <w:snapToGrid w:val="0"/>
        </w:rPr>
        <w:tab/>
        <w:t>has been grown out on a nursery site operated by the holder of a hatchery (nursery) licence or permit; and</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Gazette 17 Dec 1999 p. 6223.]</w:t>
      </w:r>
    </w:p>
    <w:p>
      <w:pPr>
        <w:pStyle w:val="Heading2"/>
      </w:pPr>
      <w:bookmarkStart w:id="196" w:name="_Toc378175740"/>
      <w:bookmarkStart w:id="197" w:name="_Toc424216736"/>
      <w:bookmarkStart w:id="198" w:name="_Toc487186704"/>
      <w:r>
        <w:rPr>
          <w:rStyle w:val="CharPartNo"/>
        </w:rPr>
        <w:t>Part 8</w:t>
      </w:r>
      <w:r>
        <w:rPr>
          <w:rStyle w:val="CharDivNo"/>
        </w:rPr>
        <w:t> </w:t>
      </w:r>
      <w:r>
        <w:t>—</w:t>
      </w:r>
      <w:r>
        <w:rPr>
          <w:rStyle w:val="CharDivText"/>
        </w:rPr>
        <w:t> </w:t>
      </w:r>
      <w:r>
        <w:rPr>
          <w:rStyle w:val="CharPartText"/>
        </w:rPr>
        <w:t>General</w:t>
      </w:r>
      <w:bookmarkEnd w:id="196"/>
      <w:bookmarkEnd w:id="197"/>
      <w:bookmarkEnd w:id="198"/>
    </w:p>
    <w:p>
      <w:pPr>
        <w:pStyle w:val="Heading5"/>
        <w:rPr>
          <w:snapToGrid w:val="0"/>
        </w:rPr>
      </w:pPr>
      <w:bookmarkStart w:id="199" w:name="_Toc378175741"/>
      <w:bookmarkStart w:id="200" w:name="_Toc487186705"/>
      <w:r>
        <w:rPr>
          <w:rStyle w:val="CharSectno"/>
        </w:rPr>
        <w:t>45</w:t>
      </w:r>
      <w:r>
        <w:rPr>
          <w:snapToGrid w:val="0"/>
        </w:rPr>
        <w:t>.</w:t>
      </w:r>
      <w:r>
        <w:rPr>
          <w:snapToGrid w:val="0"/>
        </w:rPr>
        <w:tab/>
        <w:t>Miscellaneous offences</w:t>
      </w:r>
      <w:bookmarkEnd w:id="199"/>
      <w:bookmarkEnd w:id="200"/>
    </w:p>
    <w:p>
      <w:pPr>
        <w:pStyle w:val="Subsection"/>
        <w:rPr>
          <w:snapToGrid w:val="0"/>
        </w:rPr>
      </w:pPr>
      <w:r>
        <w:rPr>
          <w:snapToGrid w:val="0"/>
        </w:rPr>
        <w:tab/>
      </w:r>
      <w:r>
        <w:rPr>
          <w:snapToGrid w:val="0"/>
        </w:rPr>
        <w:tab/>
        <w:t>A person shall not, except in accordance with a condition imposed on a licence or permit or as otherwise approved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 or</w:t>
      </w:r>
    </w:p>
    <w:p>
      <w:pPr>
        <w:pStyle w:val="Indenta"/>
        <w:rPr>
          <w:snapToGrid w:val="0"/>
        </w:rPr>
      </w:pPr>
      <w:r>
        <w:rPr>
          <w:snapToGrid w:val="0"/>
        </w:rPr>
        <w:tab/>
        <w:t>(b)</w:t>
      </w:r>
      <w:r>
        <w:rPr>
          <w:snapToGrid w:val="0"/>
        </w:rPr>
        <w:tab/>
        <w:t>have on board a boat any equipment capable of being used for the taking of pearl oysters, other than pearl diving equipment; or</w:t>
      </w:r>
    </w:p>
    <w:p>
      <w:pPr>
        <w:pStyle w:val="Indenta"/>
        <w:rPr>
          <w:snapToGrid w:val="0"/>
        </w:rPr>
      </w:pPr>
      <w:r>
        <w:rPr>
          <w:snapToGrid w:val="0"/>
        </w:rPr>
        <w:tab/>
        <w:t>(c)</w:t>
      </w:r>
      <w:r>
        <w:rPr>
          <w:snapToGrid w:val="0"/>
        </w:rPr>
        <w:tab/>
        <w:t>kill, or permit or suffer his or her agent, employee or subordinate to kill, a pearl oyster except for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Gazette 17 Dec 1999 p. 6223.]</w:t>
      </w:r>
    </w:p>
    <w:p>
      <w:pPr>
        <w:pStyle w:val="Heading5"/>
        <w:rPr>
          <w:snapToGrid w:val="0"/>
        </w:rPr>
      </w:pPr>
      <w:bookmarkStart w:id="201" w:name="_Toc378175742"/>
      <w:bookmarkStart w:id="202" w:name="_Toc487186706"/>
      <w:r>
        <w:rPr>
          <w:rStyle w:val="CharSectno"/>
        </w:rPr>
        <w:t>46</w:t>
      </w:r>
      <w:r>
        <w:rPr>
          <w:snapToGrid w:val="0"/>
        </w:rPr>
        <w:t>.</w:t>
      </w:r>
      <w:r>
        <w:rPr>
          <w:snapToGrid w:val="0"/>
        </w:rPr>
        <w:tab/>
        <w:t>Sizes of letters and numbers on floats</w:t>
      </w:r>
      <w:bookmarkEnd w:id="201"/>
      <w:bookmarkEnd w:id="202"/>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203" w:name="_Toc378175743"/>
      <w:bookmarkStart w:id="204" w:name="_Toc487186707"/>
      <w:r>
        <w:rPr>
          <w:rStyle w:val="CharSectno"/>
        </w:rPr>
        <w:t>47</w:t>
      </w:r>
      <w:r>
        <w:rPr>
          <w:snapToGrid w:val="0"/>
        </w:rPr>
        <w:t>.</w:t>
      </w:r>
      <w:r>
        <w:rPr>
          <w:snapToGrid w:val="0"/>
        </w:rPr>
        <w:tab/>
        <w:t>Persons who may use, or transport pearl oysters to, holding sites</w:t>
      </w:r>
      <w:bookmarkEnd w:id="203"/>
      <w:bookmarkEnd w:id="204"/>
    </w:p>
    <w:p>
      <w:pPr>
        <w:pStyle w:val="Subsection"/>
        <w:rPr>
          <w:snapToGrid w:val="0"/>
        </w:rPr>
      </w:pPr>
      <w:r>
        <w:rPr>
          <w:snapToGrid w:val="0"/>
        </w:rPr>
        <w:tab/>
      </w:r>
      <w:r>
        <w:rPr>
          <w:snapToGrid w:val="0"/>
        </w:rPr>
        <w:tab/>
        <w:t>A person, other than a licensee or permit holder authorised under section 19 of the Act to use a holding site, shall not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CEO.</w:t>
      </w:r>
    </w:p>
    <w:p>
      <w:pPr>
        <w:pStyle w:val="Penstart"/>
        <w:rPr>
          <w:snapToGrid w:val="0"/>
        </w:rPr>
      </w:pPr>
      <w:r>
        <w:rPr>
          <w:snapToGrid w:val="0"/>
        </w:rPr>
        <w:tab/>
        <w:t>Penalty: $2 000.</w:t>
      </w:r>
    </w:p>
    <w:p>
      <w:pPr>
        <w:pStyle w:val="Footnotesection"/>
        <w:keepLines w:val="0"/>
      </w:pPr>
      <w:r>
        <w:tab/>
        <w:t>[Regulation 47 amended: Gazette 17 Dec 1999 p. 6223; 15 Apr 2011 p. 1417.]</w:t>
      </w:r>
    </w:p>
    <w:p>
      <w:pPr>
        <w:pStyle w:val="Heading5"/>
        <w:rPr>
          <w:snapToGrid w:val="0"/>
        </w:rPr>
      </w:pPr>
      <w:bookmarkStart w:id="205" w:name="_Toc378175744"/>
      <w:bookmarkStart w:id="206" w:name="_Toc487186708"/>
      <w:r>
        <w:rPr>
          <w:rStyle w:val="CharSectno"/>
        </w:rPr>
        <w:t>48</w:t>
      </w:r>
      <w:r>
        <w:rPr>
          <w:snapToGrid w:val="0"/>
        </w:rPr>
        <w:t>.</w:t>
      </w:r>
      <w:r>
        <w:rPr>
          <w:snapToGrid w:val="0"/>
        </w:rPr>
        <w:tab/>
        <w:t>Pearl boat licence number</w:t>
      </w:r>
      <w:bookmarkEnd w:id="205"/>
      <w:bookmarkEnd w:id="206"/>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The master of a boat in respect of which a pearl boat licence is issued shall ensure that there is at all times legibly painted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Gazette 17 Dec 1999 p. 6223.]</w:t>
      </w:r>
    </w:p>
    <w:p>
      <w:pPr>
        <w:pStyle w:val="Heading5"/>
        <w:rPr>
          <w:snapToGrid w:val="0"/>
        </w:rPr>
      </w:pPr>
      <w:bookmarkStart w:id="207" w:name="_Toc378175745"/>
      <w:bookmarkStart w:id="208" w:name="_Toc487186709"/>
      <w:r>
        <w:rPr>
          <w:rStyle w:val="CharSectno"/>
        </w:rPr>
        <w:t>48A</w:t>
      </w:r>
      <w:r>
        <w:rPr>
          <w:snapToGrid w:val="0"/>
        </w:rPr>
        <w:t>.</w:t>
      </w:r>
      <w:r>
        <w:rPr>
          <w:snapToGrid w:val="0"/>
        </w:rPr>
        <w:tab/>
        <w:t>Sending of written documents electronically</w:t>
      </w:r>
      <w:bookmarkEnd w:id="207"/>
      <w:bookmarkEnd w:id="208"/>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Gazette 17 Dec 1999 p. 6224.]</w:t>
      </w:r>
    </w:p>
    <w:p>
      <w:pPr>
        <w:pStyle w:val="Ednotesection"/>
      </w:pPr>
      <w:r>
        <w:t>[</w:t>
      </w:r>
      <w:r>
        <w:rPr>
          <w:b/>
          <w:bCs/>
        </w:rPr>
        <w:t>49.</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9" w:name="_Toc378175746"/>
      <w:bookmarkStart w:id="210" w:name="_Toc424216742"/>
      <w:bookmarkStart w:id="211" w:name="_Toc487186710"/>
      <w:r>
        <w:rPr>
          <w:rStyle w:val="CharSchNo"/>
        </w:rPr>
        <w:t>Schedule 1</w:t>
      </w:r>
      <w:bookmarkEnd w:id="209"/>
      <w:bookmarkEnd w:id="210"/>
      <w:bookmarkEnd w:id="211"/>
    </w:p>
    <w:p>
      <w:pPr>
        <w:pStyle w:val="yShoulderClause"/>
        <w:rPr>
          <w:snapToGrid w:val="0"/>
        </w:rPr>
      </w:pPr>
      <w:r>
        <w:rPr>
          <w:snapToGrid w:val="0"/>
        </w:rPr>
        <w:t>[Regulations</w:t>
      </w:r>
      <w:r>
        <w:rPr>
          <w:rStyle w:val="CharSDivNo"/>
          <w:sz w:val="22"/>
          <w:szCs w:val="22"/>
        </w:rPr>
        <w:t> </w:t>
      </w:r>
      <w:r>
        <w:rPr>
          <w:snapToGrid w:val="0"/>
        </w:rPr>
        <w:t>3</w:t>
      </w:r>
      <w:r>
        <w:rPr>
          <w:rStyle w:val="CharSDivText"/>
          <w:sz w:val="22"/>
          <w:szCs w:val="22"/>
        </w:rPr>
        <w:t xml:space="preserve"> </w:t>
      </w:r>
      <w:r>
        <w:rPr>
          <w:snapToGrid w:val="0"/>
        </w:rPr>
        <w:t>and 5]</w:t>
      </w:r>
    </w:p>
    <w:p>
      <w:pPr>
        <w:pStyle w:val="yHeading2"/>
        <w:spacing w:before="120"/>
      </w:pPr>
      <w:bookmarkStart w:id="212" w:name="_Toc378175747"/>
      <w:bookmarkStart w:id="213" w:name="_Toc424216743"/>
      <w:bookmarkStart w:id="214" w:name="_Toc487186711"/>
      <w:r>
        <w:rPr>
          <w:rStyle w:val="CharSchText"/>
          <w:bCs/>
        </w:rPr>
        <w:t>Designated containers</w:t>
      </w:r>
      <w:bookmarkEnd w:id="212"/>
      <w:bookmarkEnd w:id="213"/>
      <w:bookmarkEnd w:id="214"/>
    </w:p>
    <w:tbl>
      <w:tblPr>
        <w:tblW w:w="0" w:type="auto"/>
        <w:tblLayout w:type="fixed"/>
        <w:tblLook w:val="0000" w:firstRow="0" w:lastRow="0" w:firstColumn="0" w:lastColumn="0" w:noHBand="0" w:noVBand="0"/>
      </w:tblPr>
      <w:tblGrid>
        <w:gridCol w:w="2376"/>
        <w:gridCol w:w="4936"/>
      </w:tblGrid>
      <w:tr>
        <w:tc>
          <w:tcPr>
            <w:tcW w:w="2376" w:type="dxa"/>
          </w:tcPr>
          <w:p>
            <w:pPr>
              <w:pStyle w:val="yTableNAm"/>
              <w:rPr>
                <w:b/>
                <w:snapToGrid w:val="0"/>
              </w:rPr>
            </w:pPr>
            <w:r>
              <w:rPr>
                <w:b/>
                <w:snapToGrid w:val="0"/>
              </w:rPr>
              <w:t>Type</w:t>
            </w:r>
          </w:p>
        </w:tc>
        <w:tc>
          <w:tcPr>
            <w:tcW w:w="4936" w:type="dxa"/>
          </w:tcPr>
          <w:p>
            <w:pPr>
              <w:pStyle w:val="yTableNAm"/>
              <w:rPr>
                <w:b/>
                <w:snapToGrid w:val="0"/>
              </w:rPr>
            </w:pPr>
            <w:r>
              <w:rPr>
                <w:b/>
                <w:snapToGrid w:val="0"/>
              </w:rPr>
              <w:t>Specification</w:t>
            </w:r>
          </w:p>
        </w:tc>
      </w:tr>
      <w:tr>
        <w:tc>
          <w:tcPr>
            <w:tcW w:w="2376" w:type="dxa"/>
          </w:tcPr>
          <w:p>
            <w:pPr>
              <w:pStyle w:val="yTableNAm"/>
              <w:rPr>
                <w:snapToGrid w:val="0"/>
              </w:rPr>
            </w:pPr>
            <w:r>
              <w:rPr>
                <w:snapToGrid w:val="0"/>
              </w:rPr>
              <w:t>6 pocket panel</w:t>
            </w:r>
          </w:p>
        </w:tc>
        <w:tc>
          <w:tcPr>
            <w:tcW w:w="4936" w:type="dxa"/>
          </w:tcPr>
          <w:p>
            <w:pPr>
              <w:pStyle w:val="yTableNAm"/>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6 mesh net pockets, each of which has a maximum length of 290 mm and a maximum width of 230 mm.</w:t>
            </w:r>
          </w:p>
        </w:tc>
      </w:tr>
      <w:tr>
        <w:tc>
          <w:tcPr>
            <w:tcW w:w="2376" w:type="dxa"/>
          </w:tcPr>
          <w:p>
            <w:pPr>
              <w:pStyle w:val="yTableNAm"/>
              <w:rPr>
                <w:snapToGrid w:val="0"/>
              </w:rPr>
            </w:pPr>
            <w:r>
              <w:rPr>
                <w:snapToGrid w:val="0"/>
              </w:rPr>
              <w:t>8 pocket panel</w:t>
            </w:r>
          </w:p>
        </w:tc>
        <w:tc>
          <w:tcPr>
            <w:tcW w:w="4936" w:type="dxa"/>
          </w:tcPr>
          <w:p>
            <w:pPr>
              <w:pStyle w:val="yTableNAm"/>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8 mesh net pockets, each of which has a maximum length of 230 mm and a maximum width of 230 mm.</w:t>
            </w:r>
          </w:p>
        </w:tc>
      </w:tr>
      <w:tr>
        <w:tc>
          <w:tcPr>
            <w:tcW w:w="2376" w:type="dxa"/>
          </w:tcPr>
          <w:p>
            <w:pPr>
              <w:pStyle w:val="yTableNAm"/>
              <w:rPr>
                <w:snapToGrid w:val="0"/>
              </w:rPr>
            </w:pPr>
            <w:r>
              <w:rPr>
                <w:snapToGrid w:val="0"/>
              </w:rPr>
              <w:t>9 pocket panel</w:t>
            </w:r>
          </w:p>
        </w:tc>
        <w:tc>
          <w:tcPr>
            <w:tcW w:w="4936" w:type="dxa"/>
          </w:tcPr>
          <w:p>
            <w:pPr>
              <w:pStyle w:val="yTableNAm"/>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9 mesh net pockets, each of which has a maximum length of 230 mm and a maximum width of 230 mm.</w:t>
            </w:r>
          </w:p>
        </w:tc>
      </w:tr>
      <w:tr>
        <w:tc>
          <w:tcPr>
            <w:tcW w:w="2376" w:type="dxa"/>
          </w:tcPr>
          <w:p>
            <w:pPr>
              <w:pStyle w:val="yTableNAm"/>
              <w:rPr>
                <w:snapToGrid w:val="0"/>
              </w:rPr>
            </w:pPr>
            <w:r>
              <w:rPr>
                <w:snapToGrid w:val="0"/>
              </w:rPr>
              <w:t>10 compartment basket</w:t>
            </w:r>
          </w:p>
        </w:tc>
        <w:tc>
          <w:tcPr>
            <w:tcW w:w="4936" w:type="dxa"/>
          </w:tcPr>
          <w:p>
            <w:pPr>
              <w:pStyle w:val="yTableNAm"/>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NAm"/>
              <w:rPr>
                <w:snapToGrid w:val="0"/>
              </w:rPr>
            </w:pPr>
          </w:p>
        </w:tc>
        <w:tc>
          <w:tcPr>
            <w:tcW w:w="4936" w:type="dxa"/>
          </w:tcPr>
          <w:p>
            <w:pPr>
              <w:pStyle w:val="yTableNAm"/>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215" w:name="_Toc378175748"/>
      <w:bookmarkStart w:id="216" w:name="_Toc424216744"/>
      <w:bookmarkStart w:id="217" w:name="_Toc487186712"/>
      <w:r>
        <w:rPr>
          <w:rStyle w:val="CharSchNo"/>
        </w:rPr>
        <w:t>Schedule 2</w:t>
      </w:r>
      <w:r>
        <w:t> — </w:t>
      </w:r>
      <w:r>
        <w:rPr>
          <w:rStyle w:val="CharSchText"/>
        </w:rPr>
        <w:t>Requirements for hatcheries</w:t>
      </w:r>
      <w:bookmarkEnd w:id="215"/>
      <w:bookmarkEnd w:id="216"/>
      <w:bookmarkEnd w:id="217"/>
    </w:p>
    <w:p>
      <w:pPr>
        <w:pStyle w:val="yShoulderClause"/>
        <w:rPr>
          <w:snapToGrid w:val="0"/>
        </w:rPr>
      </w:pPr>
      <w:r>
        <w:rPr>
          <w:snapToGrid w:val="0"/>
        </w:rPr>
        <w:t>[Regulations 44A and 44B]</w:t>
      </w:r>
    </w:p>
    <w:p>
      <w:pPr>
        <w:pStyle w:val="yFootnoteheading"/>
      </w:pPr>
      <w:r>
        <w:tab/>
        <w:t>[Heading inserted: Gazette 17 Dec 1999 p. 6224.]</w:t>
      </w:r>
    </w:p>
    <w:p>
      <w:pPr>
        <w:pStyle w:val="yHeading3"/>
        <w:rPr>
          <w:snapToGrid w:val="0"/>
        </w:rPr>
      </w:pPr>
      <w:bookmarkStart w:id="218" w:name="_Toc378175749"/>
      <w:bookmarkStart w:id="219" w:name="_Toc424216745"/>
      <w:bookmarkStart w:id="220" w:name="_Toc487186713"/>
      <w:r>
        <w:rPr>
          <w:rStyle w:val="CharSDivNo"/>
        </w:rPr>
        <w:t>Division 1</w:t>
      </w:r>
      <w:r>
        <w:rPr>
          <w:snapToGrid w:val="0"/>
        </w:rPr>
        <w:t> — </w:t>
      </w:r>
      <w:r>
        <w:rPr>
          <w:rStyle w:val="CharSDivText"/>
        </w:rPr>
        <w:t>Cleaning and disinfecting</w:t>
      </w:r>
      <w:bookmarkEnd w:id="218"/>
      <w:bookmarkEnd w:id="219"/>
      <w:bookmarkEnd w:id="220"/>
    </w:p>
    <w:p>
      <w:pPr>
        <w:pStyle w:val="yFootnoteheading"/>
      </w:pPr>
      <w:r>
        <w:tab/>
        <w:t>[Heading inserted: Gazette 17 Dec 1999 p. 6224.]</w:t>
      </w:r>
    </w:p>
    <w:p>
      <w:pPr>
        <w:pStyle w:val="ySubsection"/>
        <w:rPr>
          <w:snapToGrid w:val="0"/>
        </w:rPr>
      </w:pPr>
      <w:r>
        <w:rPr>
          <w:snapToGrid w:val="0"/>
        </w:rPr>
        <w:tab/>
      </w:r>
      <w:r>
        <w:rPr>
          <w:snapToGrid w:val="0"/>
        </w:rPr>
        <w:tab/>
        <w:t>When a hatchery, tank or piece of equipment is required to be cleaned and disinfected it is to be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w:t>
      </w:r>
    </w:p>
    <w:p>
      <w:pPr>
        <w:pStyle w:val="yIndenti0"/>
        <w:rPr>
          <w:snapToGrid w:val="0"/>
        </w:rPr>
      </w:pPr>
      <w:r>
        <w:rPr>
          <w:snapToGrid w:val="0"/>
        </w:rPr>
        <w:tab/>
        <w:t>(i)</w:t>
      </w:r>
      <w:r>
        <w:rPr>
          <w:snapToGrid w:val="0"/>
        </w:rPr>
        <w:tab/>
        <w:t>keeping the surface of the place or thing wet for at least 60 minutes using a solution of either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60 mg of free chlorine per litre of water;</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otherwise, to 0.1 µm;</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allowed to dry.</w:t>
      </w:r>
    </w:p>
    <w:p>
      <w:pPr>
        <w:pStyle w:val="yFootnotesection"/>
      </w:pPr>
      <w:r>
        <w:tab/>
        <w:t>[Division 1 inserted: Gazette 17 Dec 1999 p. 6224.]</w:t>
      </w:r>
    </w:p>
    <w:p>
      <w:pPr>
        <w:pStyle w:val="yHeading3"/>
        <w:rPr>
          <w:snapToGrid w:val="0"/>
        </w:rPr>
      </w:pPr>
      <w:bookmarkStart w:id="221" w:name="_Toc378175750"/>
      <w:bookmarkStart w:id="222" w:name="_Toc424216746"/>
      <w:bookmarkStart w:id="223" w:name="_Toc487186714"/>
      <w:r>
        <w:rPr>
          <w:rStyle w:val="CharSDivNo"/>
        </w:rPr>
        <w:t>Division 2</w:t>
      </w:r>
      <w:r>
        <w:rPr>
          <w:snapToGrid w:val="0"/>
        </w:rPr>
        <w:t> — </w:t>
      </w:r>
      <w:r>
        <w:rPr>
          <w:rStyle w:val="CharSDivText"/>
        </w:rPr>
        <w:t>Treatment of water, air and equipment</w:t>
      </w:r>
      <w:bookmarkEnd w:id="221"/>
      <w:bookmarkEnd w:id="222"/>
      <w:bookmarkEnd w:id="223"/>
    </w:p>
    <w:p>
      <w:pPr>
        <w:pStyle w:val="yFootnoteheading"/>
      </w:pPr>
      <w:r>
        <w:tab/>
        <w:t>[Heading inserted: Gazette 17 Dec 1999 p. 6225.]</w:t>
      </w:r>
    </w:p>
    <w:p>
      <w:pPr>
        <w:pStyle w:val="ySubsection"/>
        <w:rPr>
          <w:snapToGrid w:val="0"/>
        </w:rPr>
      </w:pPr>
      <w:r>
        <w:rPr>
          <w:snapToGrid w:val="0"/>
        </w:rPr>
        <w:t>1.</w:t>
      </w:r>
      <w:r>
        <w:rPr>
          <w:snapToGrid w:val="0"/>
        </w:rPr>
        <w:tab/>
      </w:r>
      <w:r>
        <w:rPr>
          <w:snapToGrid w:val="0"/>
        </w:rPr>
        <w:tab/>
        <w:t>Sea water to be used in the hatchery is to be treated, before it is so used, as follows —</w:t>
      </w:r>
    </w:p>
    <w:p>
      <w:pPr>
        <w:pStyle w:val="yIndenta"/>
        <w:rPr>
          <w:snapToGrid w:val="0"/>
        </w:rPr>
      </w:pPr>
      <w:r>
        <w:rPr>
          <w:snapToGrid w:val="0"/>
        </w:rPr>
        <w:tab/>
        <w:t>(a)</w:t>
      </w:r>
      <w:r>
        <w:rPr>
          <w:snapToGrid w:val="0"/>
        </w:rPr>
        <w:tab/>
        <w:t>water which is to be used to rear spat is to be filtered to 20 µm or finer;</w:t>
      </w:r>
    </w:p>
    <w:p>
      <w:pPr>
        <w:pStyle w:val="yIndenta"/>
        <w:rPr>
          <w:snapToGrid w:val="0"/>
        </w:rPr>
      </w:pPr>
      <w:r>
        <w:rPr>
          <w:snapToGrid w:val="0"/>
        </w:rPr>
        <w:tab/>
        <w:t>(b)</w:t>
      </w:r>
      <w:r>
        <w:rPr>
          <w:snapToGrid w:val="0"/>
        </w:rPr>
        <w:tab/>
        <w:t>water which is to be used in the production of algal food for spat is to be autoclaved or filtered to 20 µm;</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r>
        <w:rPr>
          <w:snapToGrid w:val="0"/>
        </w:rPr>
        <w:t>2.</w:t>
      </w:r>
      <w:r>
        <w:rPr>
          <w:snapToGrid w:val="0"/>
        </w:rPr>
        <w:tab/>
      </w:r>
      <w:r>
        <w:rPr>
          <w:snapToGrid w:val="0"/>
        </w:rPr>
        <w:tab/>
        <w:t>Air which is to be used in the production of algal food for spat is to be filtered, before it is so used, to 20 µm using sterile filters.</w:t>
      </w:r>
    </w:p>
    <w:p>
      <w:pPr>
        <w:pStyle w:val="ySubsection"/>
        <w:rPr>
          <w:snapToGrid w:val="0"/>
        </w:rPr>
      </w:pPr>
      <w:r>
        <w:rPr>
          <w:snapToGrid w:val="0"/>
        </w:rPr>
        <w:t>3.</w:t>
      </w:r>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r>
        <w:rPr>
          <w:snapToGrid w:val="0"/>
        </w:rPr>
        <w:t>4.</w:t>
      </w:r>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Gazette 17 Dec 1999 p. 6225.]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5" w:name="_Toc378175751"/>
      <w:bookmarkStart w:id="226" w:name="_Toc424216747"/>
      <w:bookmarkStart w:id="227" w:name="_Toc487186715"/>
      <w:r>
        <w:t>Notes</w:t>
      </w:r>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(General)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228" w:name="_Toc378175752"/>
      <w:bookmarkStart w:id="229" w:name="_Toc487186716"/>
      <w:r>
        <w:t>Compilation table</w:t>
      </w:r>
      <w:bookmarkEnd w:id="228"/>
      <w:bookmarkEnd w:id="229"/>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05"/>
        <w:gridCol w:w="1271"/>
        <w:gridCol w:w="2682"/>
        <w:gridCol w:w="29"/>
      </w:tblGrid>
      <w:tr>
        <w:trPr>
          <w:gridAfter w:val="1"/>
          <w:wAfter w:w="29" w:type="dxa"/>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Regulations 1991</w:t>
            </w:r>
          </w:p>
        </w:tc>
        <w:tc>
          <w:tcPr>
            <w:tcW w:w="1276" w:type="dxa"/>
          </w:tcPr>
          <w:p>
            <w:pPr>
              <w:pStyle w:val="nTable"/>
              <w:spacing w:after="40"/>
            </w:pPr>
            <w:r>
              <w:t>27 Dec 1990 p. 6335</w:t>
            </w:r>
            <w:r>
              <w:noBreakHyphen/>
              <w:t>66</w:t>
            </w:r>
            <w:r>
              <w:br/>
              <w:t>(erratum 11 Jan 1991 p. 47</w:t>
            </w:r>
            <w:r>
              <w:noBreakHyphen/>
              <w:t>8)</w:t>
            </w:r>
          </w:p>
        </w:tc>
        <w:tc>
          <w:tcPr>
            <w:tcW w:w="2693" w:type="dxa"/>
          </w:tcPr>
          <w:p>
            <w:pPr>
              <w:pStyle w:val="nTable"/>
              <w:spacing w:after="40"/>
            </w:pPr>
            <w:r>
              <w:t>1 Jan 1991 (see r. 2 and </w:t>
            </w:r>
            <w:r>
              <w:rPr>
                <w:i/>
              </w:rPr>
              <w:t>Gazette</w:t>
            </w:r>
            <w:r>
              <w:t xml:space="preserve"> 21 Dec 1990 p. 6199)</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1991</w:t>
            </w:r>
          </w:p>
        </w:tc>
        <w:tc>
          <w:tcPr>
            <w:tcW w:w="1276" w:type="dxa"/>
          </w:tcPr>
          <w:p>
            <w:pPr>
              <w:pStyle w:val="nTable"/>
              <w:spacing w:after="40"/>
            </w:pPr>
            <w:r>
              <w:t>26 Apr 1991 p. 1864</w:t>
            </w:r>
          </w:p>
        </w:tc>
        <w:tc>
          <w:tcPr>
            <w:tcW w:w="2693" w:type="dxa"/>
          </w:tcPr>
          <w:p>
            <w:pPr>
              <w:pStyle w:val="nTable"/>
              <w:spacing w:after="40"/>
            </w:pPr>
            <w:r>
              <w:t>26 Apr 1991</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1992</w:t>
            </w:r>
          </w:p>
        </w:tc>
        <w:tc>
          <w:tcPr>
            <w:tcW w:w="1276" w:type="dxa"/>
          </w:tcPr>
          <w:p>
            <w:pPr>
              <w:pStyle w:val="nTable"/>
              <w:spacing w:after="40"/>
            </w:pPr>
            <w:r>
              <w:t>30 Jun 1992 p. 2873</w:t>
            </w:r>
            <w:r>
              <w:noBreakHyphen/>
              <w:t>4</w:t>
            </w:r>
          </w:p>
        </w:tc>
        <w:tc>
          <w:tcPr>
            <w:tcW w:w="2693" w:type="dxa"/>
          </w:tcPr>
          <w:p>
            <w:pPr>
              <w:pStyle w:val="nTable"/>
              <w:spacing w:after="40"/>
            </w:pPr>
            <w:r>
              <w:t>1 Jul 1992 (see r. 2)</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1993</w:t>
            </w:r>
          </w:p>
        </w:tc>
        <w:tc>
          <w:tcPr>
            <w:tcW w:w="1276" w:type="dxa"/>
          </w:tcPr>
          <w:p>
            <w:pPr>
              <w:pStyle w:val="nTable"/>
              <w:spacing w:after="40"/>
            </w:pPr>
            <w:r>
              <w:t>29 Jun 1993 p. 3170</w:t>
            </w:r>
            <w:r>
              <w:noBreakHyphen/>
              <w:t>2</w:t>
            </w:r>
          </w:p>
        </w:tc>
        <w:tc>
          <w:tcPr>
            <w:tcW w:w="2693" w:type="dxa"/>
          </w:tcPr>
          <w:p>
            <w:pPr>
              <w:pStyle w:val="nTable"/>
              <w:spacing w:after="40"/>
            </w:pPr>
            <w:r>
              <w:t>1 Jul 1993 (see r. 2)</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1994</w:t>
            </w:r>
          </w:p>
        </w:tc>
        <w:tc>
          <w:tcPr>
            <w:tcW w:w="1276" w:type="dxa"/>
          </w:tcPr>
          <w:p>
            <w:pPr>
              <w:pStyle w:val="nTable"/>
              <w:spacing w:after="40"/>
            </w:pPr>
            <w:r>
              <w:t>28 Jun 1994 p. 3014</w:t>
            </w:r>
            <w:r>
              <w:noBreakHyphen/>
              <w:t>15</w:t>
            </w:r>
          </w:p>
        </w:tc>
        <w:tc>
          <w:tcPr>
            <w:tcW w:w="2693" w:type="dxa"/>
          </w:tcPr>
          <w:p>
            <w:pPr>
              <w:pStyle w:val="nTable"/>
              <w:spacing w:after="40"/>
            </w:pPr>
            <w:r>
              <w:t>1 Jul 1994 (see r. 2)</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(No. 2) 1995</w:t>
            </w:r>
          </w:p>
        </w:tc>
        <w:tc>
          <w:tcPr>
            <w:tcW w:w="1276" w:type="dxa"/>
          </w:tcPr>
          <w:p>
            <w:pPr>
              <w:pStyle w:val="nTable"/>
              <w:spacing w:after="40"/>
            </w:pPr>
            <w:r>
              <w:t>22 Dec 1995 p. 6170</w:t>
            </w:r>
            <w:r>
              <w:noBreakHyphen/>
              <w:t>1</w:t>
            </w:r>
          </w:p>
        </w:tc>
        <w:tc>
          <w:tcPr>
            <w:tcW w:w="2693" w:type="dxa"/>
          </w:tcPr>
          <w:p>
            <w:pPr>
              <w:pStyle w:val="nTable"/>
              <w:spacing w:after="40"/>
            </w:pPr>
            <w:r>
              <w:t>1 Jan 1996 (see r. 2)</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(No. 2) 1998</w:t>
            </w:r>
          </w:p>
        </w:tc>
        <w:tc>
          <w:tcPr>
            <w:tcW w:w="1276" w:type="dxa"/>
          </w:tcPr>
          <w:p>
            <w:pPr>
              <w:pStyle w:val="nTable"/>
              <w:spacing w:after="40"/>
            </w:pPr>
            <w:r>
              <w:t>8 Dec 1998 p. 6570</w:t>
            </w:r>
            <w:r>
              <w:noBreakHyphen/>
              <w:t>1</w:t>
            </w:r>
          </w:p>
        </w:tc>
        <w:tc>
          <w:tcPr>
            <w:tcW w:w="2693" w:type="dxa"/>
          </w:tcPr>
          <w:p>
            <w:pPr>
              <w:pStyle w:val="nTable"/>
              <w:spacing w:after="40"/>
            </w:pPr>
            <w:r>
              <w:t>8 Dec 1998</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(No. 3) 1998</w:t>
            </w:r>
          </w:p>
        </w:tc>
        <w:tc>
          <w:tcPr>
            <w:tcW w:w="1276" w:type="dxa"/>
          </w:tcPr>
          <w:p>
            <w:pPr>
              <w:pStyle w:val="nTable"/>
              <w:spacing w:after="40"/>
            </w:pPr>
            <w:r>
              <w:t>18 Dec 1998 p. 6757</w:t>
            </w:r>
            <w:r>
              <w:noBreakHyphen/>
              <w:t>8</w:t>
            </w:r>
          </w:p>
        </w:tc>
        <w:tc>
          <w:tcPr>
            <w:tcW w:w="2693" w:type="dxa"/>
          </w:tcPr>
          <w:p>
            <w:pPr>
              <w:pStyle w:val="nTable"/>
              <w:spacing w:after="40"/>
            </w:pPr>
            <w:r>
              <w:t>18 Dec 1998</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1999</w:t>
            </w:r>
          </w:p>
        </w:tc>
        <w:tc>
          <w:tcPr>
            <w:tcW w:w="1276" w:type="dxa"/>
          </w:tcPr>
          <w:p>
            <w:pPr>
              <w:pStyle w:val="nTable"/>
              <w:spacing w:after="40"/>
            </w:pPr>
            <w:r>
              <w:t>17 Dec 1999 p. 6199</w:t>
            </w:r>
            <w:r>
              <w:noBreakHyphen/>
              <w:t>225</w:t>
            </w:r>
          </w:p>
        </w:tc>
        <w:tc>
          <w:tcPr>
            <w:tcW w:w="2693" w:type="dxa"/>
          </w:tcPr>
          <w:p>
            <w:pPr>
              <w:pStyle w:val="nTable"/>
              <w:spacing w:after="40"/>
            </w:pPr>
            <w:r>
              <w:t>1 Jan 2000 (see r. 2)</w:t>
            </w:r>
          </w:p>
        </w:tc>
      </w:tr>
      <w:tr>
        <w:tblPrEx>
          <w:tblBorders>
            <w:insideH w:val="none" w:sz="0" w:space="0" w:color="auto"/>
          </w:tblBorders>
        </w:tblPrEx>
        <w:trPr>
          <w:gridAfter w:val="1"/>
          <w:wAfter w:w="29" w:type="dxa"/>
          <w:cantSplit/>
        </w:trPr>
        <w:tc>
          <w:tcPr>
            <w:tcW w:w="7087" w:type="dxa"/>
            <w:gridSpan w:val="3"/>
          </w:tcPr>
          <w:p>
            <w:pPr>
              <w:pStyle w:val="nTable"/>
              <w:spacing w:after="40"/>
            </w:pPr>
            <w:r>
              <w:rPr>
                <w:b/>
                <w:bCs/>
              </w:rPr>
              <w:t xml:space="preserve">Reprint of the </w:t>
            </w:r>
            <w:r>
              <w:rPr>
                <w:b/>
                <w:bCs/>
                <w:i/>
              </w:rPr>
              <w:t>Pearling (General) Regulations 1991</w:t>
            </w:r>
            <w:r>
              <w:rPr>
                <w:b/>
                <w:bCs/>
              </w:rPr>
              <w:t xml:space="preserve"> as at 26 Apr 2000</w:t>
            </w:r>
            <w:r>
              <w:t xml:space="preserve"> (includes amendments listed above)</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(No. 2) 2002</w:t>
            </w:r>
          </w:p>
        </w:tc>
        <w:tc>
          <w:tcPr>
            <w:tcW w:w="1276" w:type="dxa"/>
          </w:tcPr>
          <w:p>
            <w:pPr>
              <w:pStyle w:val="nTable"/>
              <w:spacing w:after="40"/>
            </w:pPr>
            <w:r>
              <w:t>28 Jun 2002 p. 3068</w:t>
            </w:r>
            <w:r>
              <w:noBreakHyphen/>
              <w:t>9</w:t>
            </w:r>
          </w:p>
        </w:tc>
        <w:tc>
          <w:tcPr>
            <w:tcW w:w="2693" w:type="dxa"/>
          </w:tcPr>
          <w:p>
            <w:pPr>
              <w:pStyle w:val="nTable"/>
              <w:spacing w:after="40"/>
              <w:rPr>
                <w:u w:val="words"/>
              </w:rPr>
            </w:pPr>
            <w:r>
              <w:t>1 Jul 2002 (see r. 2)</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2002</w:t>
            </w:r>
          </w:p>
        </w:tc>
        <w:tc>
          <w:tcPr>
            <w:tcW w:w="1276" w:type="dxa"/>
          </w:tcPr>
          <w:p>
            <w:pPr>
              <w:pStyle w:val="nTable"/>
              <w:spacing w:after="40"/>
            </w:pPr>
            <w:r>
              <w:t>10 Sep 2002 p. 4594</w:t>
            </w:r>
            <w:r>
              <w:noBreakHyphen/>
              <w:t>5</w:t>
            </w:r>
          </w:p>
        </w:tc>
        <w:tc>
          <w:tcPr>
            <w:tcW w:w="2693" w:type="dxa"/>
          </w:tcPr>
          <w:p>
            <w:pPr>
              <w:pStyle w:val="nTable"/>
              <w:spacing w:after="40"/>
            </w:pPr>
            <w:r>
              <w:t>10 Sep 2002</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2003</w:t>
            </w:r>
          </w:p>
        </w:tc>
        <w:tc>
          <w:tcPr>
            <w:tcW w:w="1276" w:type="dxa"/>
          </w:tcPr>
          <w:p>
            <w:pPr>
              <w:pStyle w:val="nTable"/>
              <w:spacing w:after="40"/>
            </w:pPr>
            <w:r>
              <w:t>19 Aug 2003 p. 3713</w:t>
            </w:r>
            <w:r>
              <w:noBreakHyphen/>
              <w:t>14</w:t>
            </w:r>
          </w:p>
        </w:tc>
        <w:tc>
          <w:tcPr>
            <w:tcW w:w="2693" w:type="dxa"/>
          </w:tcPr>
          <w:p>
            <w:pPr>
              <w:pStyle w:val="nTable"/>
              <w:spacing w:after="40"/>
            </w:pPr>
            <w:r>
              <w:t xml:space="preserve">8 Nov 2003 (see r. 2 and </w:t>
            </w:r>
            <w:r>
              <w:rPr>
                <w:i/>
              </w:rPr>
              <w:t>Gazette</w:t>
            </w:r>
            <w:r>
              <w:t xml:space="preserve"> 2 Sep 2003 p. 3923)</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(No. 2) 2003</w:t>
            </w:r>
          </w:p>
        </w:tc>
        <w:tc>
          <w:tcPr>
            <w:tcW w:w="1276" w:type="dxa"/>
          </w:tcPr>
          <w:p>
            <w:pPr>
              <w:pStyle w:val="nTable"/>
              <w:spacing w:after="40"/>
            </w:pPr>
            <w:r>
              <w:t>7 Oct 2003 p. 4380</w:t>
            </w:r>
            <w:r>
              <w:noBreakHyphen/>
              <w:t>1</w:t>
            </w:r>
          </w:p>
        </w:tc>
        <w:tc>
          <w:tcPr>
            <w:tcW w:w="2693" w:type="dxa"/>
          </w:tcPr>
          <w:p>
            <w:pPr>
              <w:pStyle w:val="nTable"/>
              <w:spacing w:after="40"/>
            </w:pPr>
            <w:r>
              <w:t>7 Oct 2003</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2005</w:t>
            </w:r>
          </w:p>
        </w:tc>
        <w:tc>
          <w:tcPr>
            <w:tcW w:w="1276" w:type="dxa"/>
          </w:tcPr>
          <w:p>
            <w:pPr>
              <w:pStyle w:val="nTable"/>
              <w:spacing w:after="40"/>
            </w:pPr>
            <w:r>
              <w:t>15 Nov 2005 p. 5597</w:t>
            </w:r>
            <w:r>
              <w:noBreakHyphen/>
              <w:t>8</w:t>
            </w:r>
          </w:p>
        </w:tc>
        <w:tc>
          <w:tcPr>
            <w:tcW w:w="2693" w:type="dxa"/>
          </w:tcPr>
          <w:p>
            <w:pPr>
              <w:pStyle w:val="nTable"/>
              <w:spacing w:after="40"/>
            </w:pPr>
            <w:r>
              <w:t>15 Nov 2005</w:t>
            </w:r>
          </w:p>
        </w:tc>
      </w:tr>
      <w:tr>
        <w:tblPrEx>
          <w:tblBorders>
            <w:insideH w:val="none" w:sz="0" w:space="0" w:color="auto"/>
          </w:tblBorders>
        </w:tblPrEx>
        <w:trPr>
          <w:gridAfter w:val="1"/>
          <w:wAfter w:w="29" w:type="dxa"/>
          <w:cantSplit/>
        </w:trPr>
        <w:tc>
          <w:tcPr>
            <w:tcW w:w="7087" w:type="dxa"/>
            <w:gridSpan w:val="3"/>
          </w:tcPr>
          <w:p>
            <w:pPr>
              <w:pStyle w:val="nTable"/>
              <w:spacing w:after="40"/>
            </w:pPr>
            <w:r>
              <w:rPr>
                <w:b/>
                <w:bCs/>
              </w:rPr>
              <w:t xml:space="preserve">Reprint 2: The </w:t>
            </w:r>
            <w:r>
              <w:rPr>
                <w:b/>
                <w:bCs/>
                <w:i/>
              </w:rPr>
              <w:t>Pearling (General) Regulations 1991</w:t>
            </w:r>
            <w:r>
              <w:rPr>
                <w:b/>
                <w:bCs/>
              </w:rPr>
              <w:t xml:space="preserve"> as at 5 May 2006</w:t>
            </w:r>
            <w:r>
              <w:t xml:space="preserve"> (includes amendments listed above)</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2007</w:t>
            </w:r>
          </w:p>
        </w:tc>
        <w:tc>
          <w:tcPr>
            <w:tcW w:w="1276" w:type="dxa"/>
          </w:tcPr>
          <w:p>
            <w:pPr>
              <w:pStyle w:val="nTable"/>
              <w:spacing w:after="40"/>
            </w:pPr>
            <w:r>
              <w:t>10 Jul 2007 p. 3417-18</w:t>
            </w:r>
          </w:p>
        </w:tc>
        <w:tc>
          <w:tcPr>
            <w:tcW w:w="2693" w:type="dxa"/>
          </w:tcPr>
          <w:p>
            <w:pPr>
              <w:pStyle w:val="nTable"/>
              <w:spacing w:after="40"/>
            </w:pPr>
            <w:r>
              <w:t>r. 1 and 2: 10 Jul 2007 (see r. 2(a));</w:t>
            </w:r>
            <w:r>
              <w:br/>
              <w:t>Regulations other than r. 1 and 2: 11 Jul 2007 (see r. 2(b))</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2011</w:t>
            </w:r>
          </w:p>
        </w:tc>
        <w:tc>
          <w:tcPr>
            <w:tcW w:w="1276" w:type="dxa"/>
          </w:tcPr>
          <w:p>
            <w:pPr>
              <w:pStyle w:val="nTable"/>
              <w:spacing w:after="40"/>
            </w:pPr>
            <w:r>
              <w:t>15 Apr 2011 p. 1415</w:t>
            </w:r>
            <w:r>
              <w:noBreakHyphen/>
              <w:t>17</w:t>
            </w:r>
          </w:p>
        </w:tc>
        <w:tc>
          <w:tcPr>
            <w:tcW w:w="2693" w:type="dxa"/>
          </w:tcPr>
          <w:p>
            <w:pPr>
              <w:pStyle w:val="nTable"/>
              <w:spacing w:after="40"/>
            </w:pPr>
            <w:r>
              <w:t>r. 1 and 2: 15 Apr 2011 (see r. 2(a));</w:t>
            </w:r>
            <w:r>
              <w:br/>
              <w:t>Regulations other than r. 1 and 2: 1 Jul 2011 (see r. 2(b))</w:t>
            </w:r>
          </w:p>
        </w:tc>
      </w:tr>
      <w:tr>
        <w:tblPrEx>
          <w:tblBorders>
            <w:insideH w:val="none" w:sz="0" w:space="0" w:color="auto"/>
          </w:tblBorders>
        </w:tblPrEx>
        <w:trPr>
          <w:gridAfter w:val="1"/>
          <w:wAfter w:w="29" w:type="dxa"/>
          <w:cantSplit/>
        </w:trPr>
        <w:tc>
          <w:tcPr>
            <w:tcW w:w="3118" w:type="dxa"/>
            <w:shd w:val="clear" w:color="auto" w:fill="auto"/>
          </w:tcPr>
          <w:p>
            <w:pPr>
              <w:pStyle w:val="nTable"/>
              <w:spacing w:after="40"/>
              <w:ind w:right="113"/>
              <w:rPr>
                <w:i/>
              </w:rPr>
            </w:pPr>
            <w:r>
              <w:rPr>
                <w:i/>
              </w:rPr>
              <w:t>Pearling (General) Amendment Regulations (No. 2) 2011</w:t>
            </w:r>
          </w:p>
        </w:tc>
        <w:tc>
          <w:tcPr>
            <w:tcW w:w="1276" w:type="dxa"/>
            <w:shd w:val="clear" w:color="auto" w:fill="auto"/>
          </w:tcPr>
          <w:p>
            <w:pPr>
              <w:pStyle w:val="nTable"/>
              <w:spacing w:after="40"/>
            </w:pPr>
            <w:r>
              <w:t>29 Apr 2011 p. 1523</w:t>
            </w:r>
          </w:p>
        </w:tc>
        <w:tc>
          <w:tcPr>
            <w:tcW w:w="2693" w:type="dxa"/>
            <w:shd w:val="clear" w:color="auto" w:fill="auto"/>
          </w:tcPr>
          <w:p>
            <w:pPr>
              <w:pStyle w:val="nTable"/>
              <w:spacing w:after="40"/>
            </w:pPr>
            <w:r>
              <w:rPr>
                <w:snapToGrid w:val="0"/>
                <w:spacing w:val="-2"/>
              </w:rPr>
              <w:t>r. 1 and 2: 29 Apr 2011 (see r. 2(a));</w:t>
            </w:r>
            <w:r>
              <w:rPr>
                <w:snapToGrid w:val="0"/>
                <w:spacing w:val="-2"/>
              </w:rPr>
              <w:br/>
              <w:t>Regulations other than r. 1 and 2: 30 Apr 2011 (see r. 2(b))</w:t>
            </w:r>
          </w:p>
        </w:tc>
      </w:tr>
      <w:tr>
        <w:trPr>
          <w:gridAfter w:val="1"/>
          <w:wAfter w:w="29" w:type="dxa"/>
          <w:cantSplit/>
        </w:trPr>
        <w:tc>
          <w:tcPr>
            <w:tcW w:w="7087"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rPr>
              <w:t>Pearling (General) Regulations 1991</w:t>
            </w:r>
            <w:r>
              <w:rPr>
                <w:b/>
                <w:bCs/>
              </w:rPr>
              <w:t xml:space="preserve"> as at 26 Aug 2011</w:t>
            </w:r>
            <w:r>
              <w:t xml:space="preserve"> (includes amendments listed above)</w:t>
            </w:r>
          </w:p>
        </w:tc>
      </w:tr>
      <w:tr>
        <w:trPr>
          <w:gridAfter w:val="1"/>
          <w:wAfter w:w="29" w:type="dxa"/>
          <w:cantSplit/>
        </w:trPr>
        <w:tc>
          <w:tcPr>
            <w:tcW w:w="3118" w:type="dxa"/>
            <w:tcBorders>
              <w:top w:val="nil"/>
              <w:bottom w:val="nil"/>
            </w:tcBorders>
            <w:shd w:val="clear" w:color="auto" w:fill="auto"/>
          </w:tcPr>
          <w:p>
            <w:pPr>
              <w:pStyle w:val="nTable"/>
              <w:spacing w:after="40"/>
              <w:ind w:right="113"/>
              <w:rPr>
                <w:i/>
              </w:rPr>
            </w:pPr>
            <w:r>
              <w:rPr>
                <w:i/>
              </w:rPr>
              <w:t>Pearling (General) Amendment Regulations 2013</w:t>
            </w:r>
          </w:p>
        </w:tc>
        <w:tc>
          <w:tcPr>
            <w:tcW w:w="1276" w:type="dxa"/>
            <w:tcBorders>
              <w:top w:val="nil"/>
              <w:bottom w:val="nil"/>
            </w:tcBorders>
            <w:shd w:val="clear" w:color="auto" w:fill="auto"/>
          </w:tcPr>
          <w:p>
            <w:pPr>
              <w:pStyle w:val="nTable"/>
              <w:spacing w:after="40"/>
              <w:rPr>
                <w:rFonts w:ascii="Arial" w:hAnsi="Arial"/>
                <w:b/>
              </w:rPr>
            </w:pPr>
            <w:r>
              <w:t>24 Sep 2013 p. 4386-7</w:t>
            </w:r>
          </w:p>
        </w:tc>
        <w:tc>
          <w:tcPr>
            <w:tcW w:w="2693" w:type="dxa"/>
            <w:tcBorders>
              <w:top w:val="nil"/>
              <w:bottom w:val="nil"/>
            </w:tcBorders>
            <w:shd w:val="clear" w:color="auto" w:fill="auto"/>
          </w:tcPr>
          <w:p>
            <w:pPr>
              <w:pStyle w:val="nTable"/>
              <w:spacing w:after="40"/>
              <w:rPr>
                <w:rFonts w:ascii="Arial" w:hAnsi="Arial"/>
                <w:b/>
              </w:rPr>
            </w:pPr>
            <w:r>
              <w:rPr>
                <w:snapToGrid w:val="0"/>
                <w:spacing w:val="-2"/>
              </w:rPr>
              <w:t>r. 1 and 2: 24 Sep 2013 (see r. 2(a));</w:t>
            </w:r>
            <w:r>
              <w:rPr>
                <w:snapToGrid w:val="0"/>
                <w:spacing w:val="-2"/>
              </w:rPr>
              <w:br/>
              <w:t>Regulations other than r. 1 and 2: 25 Sep 2013 (see r. 2(b))</w:t>
            </w:r>
          </w:p>
        </w:tc>
      </w:tr>
      <w:tr>
        <w:trPr>
          <w:cantSplit/>
        </w:trPr>
        <w:tc>
          <w:tcPr>
            <w:tcW w:w="3118" w:type="dxa"/>
            <w:tcBorders>
              <w:top w:val="nil"/>
              <w:bottom w:val="single" w:sz="4" w:space="0" w:color="auto"/>
            </w:tcBorders>
            <w:shd w:val="clear" w:color="auto" w:fill="auto"/>
          </w:tcPr>
          <w:p>
            <w:pPr>
              <w:pStyle w:val="nTable"/>
              <w:spacing w:after="40"/>
              <w:ind w:right="113"/>
            </w:pPr>
            <w:r>
              <w:rPr>
                <w:i/>
              </w:rPr>
              <w:t>Fisheries Regulations Amendment (Fees) Regulations 2017</w:t>
            </w:r>
            <w:r>
              <w:t xml:space="preserve"> Pt. 3</w:t>
            </w:r>
          </w:p>
        </w:tc>
        <w:tc>
          <w:tcPr>
            <w:tcW w:w="1276" w:type="dxa"/>
            <w:tcBorders>
              <w:top w:val="nil"/>
              <w:bottom w:val="single" w:sz="4" w:space="0" w:color="auto"/>
            </w:tcBorders>
            <w:shd w:val="clear" w:color="auto" w:fill="auto"/>
          </w:tcPr>
          <w:p>
            <w:pPr>
              <w:pStyle w:val="nTable"/>
              <w:spacing w:after="40"/>
            </w:pPr>
            <w:r>
              <w:t>7 Jul 2017 p. 3695</w:t>
            </w:r>
            <w:r>
              <w:noBreakHyphen/>
              <w:t>7</w:t>
            </w:r>
          </w:p>
        </w:tc>
        <w:tc>
          <w:tcPr>
            <w:tcW w:w="2694" w:type="dxa"/>
            <w:gridSpan w:val="2"/>
            <w:tcBorders>
              <w:top w:val="nil"/>
              <w:bottom w:val="single" w:sz="4" w:space="0" w:color="auto"/>
            </w:tcBorders>
            <w:shd w:val="clear" w:color="auto" w:fill="auto"/>
          </w:tcPr>
          <w:p>
            <w:pPr>
              <w:pStyle w:val="nTable"/>
              <w:spacing w:after="40"/>
              <w:rPr>
                <w:bCs/>
                <w:snapToGrid w:val="0"/>
              </w:rPr>
            </w:pPr>
            <w:r>
              <w:rPr>
                <w:bCs/>
                <w:snapToGrid w:val="0"/>
              </w:rPr>
              <w:t>8</w:t>
            </w:r>
            <w:r>
              <w:t> Jul 2017</w:t>
            </w:r>
            <w:r>
              <w:rPr>
                <w:bCs/>
                <w:snapToGrid w:val="0"/>
              </w:rPr>
              <w:t xml:space="preserve">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31" w:name="_Toc487186717"/>
      <w:r>
        <w:rPr>
          <w:sz w:val="28"/>
        </w:rPr>
        <w:t>Defined terms</w:t>
      </w:r>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approved form</w:t>
      </w:r>
      <w:r>
        <w:tab/>
        <w:t>3(1)</w:t>
      </w:r>
    </w:p>
    <w:p>
      <w:pPr>
        <w:pStyle w:val="DefinedTerms"/>
      </w:pPr>
      <w:r>
        <w:t>approved quota</w:t>
      </w:r>
      <w:r>
        <w:tab/>
        <w:t>9(2)</w:t>
      </w:r>
    </w:p>
    <w:p>
      <w:pPr>
        <w:pStyle w:val="DefinedTerms"/>
      </w:pPr>
      <w:r>
        <w:t>approved transfer</w:t>
      </w:r>
      <w:r>
        <w:tab/>
        <w:t>9(2)</w:t>
      </w:r>
    </w:p>
    <w:p>
      <w:pPr>
        <w:pStyle w:val="DefinedTerms"/>
      </w:pPr>
      <w:r>
        <w:t>batch</w:t>
      </w:r>
      <w:r>
        <w:tab/>
        <w:t>3(1)</w:t>
      </w:r>
    </w:p>
    <w:p>
      <w:pPr>
        <w:pStyle w:val="DefinedTerms"/>
      </w:pPr>
      <w:r>
        <w:t>broodstock</w:t>
      </w:r>
      <w:r>
        <w:tab/>
        <w:t>3(1)</w:t>
      </w:r>
    </w:p>
    <w:p>
      <w:pPr>
        <w:pStyle w:val="DefinedTerms"/>
      </w:pPr>
      <w:r>
        <w:t>catcher boat</w:t>
      </w:r>
      <w:r>
        <w:tab/>
        <w:t>3(1)</w:t>
      </w:r>
    </w:p>
    <w:p>
      <w:pPr>
        <w:pStyle w:val="DefinedTerms"/>
      </w:pPr>
      <w:r>
        <w:t>certificate of health</w:t>
      </w:r>
      <w:r>
        <w:tab/>
        <w:t>3(1)</w:t>
      </w:r>
    </w:p>
    <w:p>
      <w:pPr>
        <w:pStyle w:val="DefinedTerms"/>
      </w:pPr>
      <w:r>
        <w:t>current certificate</w:t>
      </w:r>
      <w:r>
        <w:tab/>
        <w:t>7(3)</w:t>
      </w:r>
    </w:p>
    <w:p>
      <w:pPr>
        <w:pStyle w:val="DefinedTerms"/>
      </w:pPr>
      <w:r>
        <w:t>designated container</w:t>
      </w:r>
      <w:r>
        <w:tab/>
        <w:t>3(1)</w:t>
      </w:r>
    </w:p>
    <w:p>
      <w:pPr>
        <w:pStyle w:val="DefinedTerms"/>
      </w:pPr>
      <w:r>
        <w:t>due date</w:t>
      </w:r>
      <w:r>
        <w:tab/>
        <w:t>9A(3)</w:t>
      </w:r>
    </w:p>
    <w:p>
      <w:pPr>
        <w:pStyle w:val="DefinedTerms"/>
      </w:pPr>
      <w:r>
        <w:t>dump</w:t>
      </w:r>
      <w:r>
        <w:tab/>
        <w:t>3(1)</w:t>
      </w:r>
    </w:p>
    <w:p>
      <w:pPr>
        <w:pStyle w:val="DefinedTerms"/>
      </w:pPr>
      <w:r>
        <w:t>filled</w:t>
      </w:r>
      <w:r>
        <w:tab/>
        <w:t>3(1)</w:t>
      </w:r>
    </w:p>
    <w:p>
      <w:pPr>
        <w:pStyle w:val="DefinedTerms"/>
      </w:pPr>
      <w:r>
        <w:t>fleet master</w:t>
      </w:r>
      <w:r>
        <w:tab/>
        <w:t>3(1)</w:t>
      </w:r>
    </w:p>
    <w:p>
      <w:pPr>
        <w:pStyle w:val="DefinedTerms"/>
      </w:pPr>
      <w:r>
        <w:t>full amount outstanding of the fee</w:t>
      </w:r>
      <w:r>
        <w:tab/>
        <w:t>9A(4)</w:t>
      </w:r>
    </w:p>
    <w:p>
      <w:pPr>
        <w:pStyle w:val="DefinedTerms"/>
      </w:pPr>
      <w:r>
        <w:t>GDA</w:t>
      </w:r>
      <w:r>
        <w:tab/>
        <w:t>4(1)</w:t>
      </w:r>
    </w:p>
    <w:p>
      <w:pPr>
        <w:pStyle w:val="DefinedTerms"/>
      </w:pPr>
      <w:r>
        <w:t>grow out</w:t>
      </w:r>
      <w:r>
        <w:tab/>
        <w:t>3(1)</w:t>
      </w:r>
    </w:p>
    <w:p>
      <w:pPr>
        <w:pStyle w:val="DefinedTerms"/>
      </w:pPr>
      <w:r>
        <w:t>GRS80</w:t>
      </w:r>
      <w:r>
        <w:tab/>
        <w:t>4(2)</w:t>
      </w:r>
    </w:p>
    <w:p>
      <w:pPr>
        <w:pStyle w:val="DefinedTerms"/>
      </w:pPr>
      <w:r>
        <w:t>hatchery</w:t>
      </w:r>
      <w:r>
        <w:tab/>
        <w:t>3(1)</w:t>
      </w:r>
    </w:p>
    <w:p>
      <w:pPr>
        <w:pStyle w:val="DefinedTerms"/>
      </w:pPr>
      <w:r>
        <w:t>hatchery (nursery) licence or permit</w:t>
      </w:r>
      <w:r>
        <w:tab/>
        <w:t>3(1)</w:t>
      </w:r>
    </w:p>
    <w:p>
      <w:pPr>
        <w:pStyle w:val="DefinedTerms"/>
      </w:pPr>
      <w:r>
        <w:t>holding site</w:t>
      </w:r>
      <w:r>
        <w:tab/>
        <w:t>3(1)</w:t>
      </w:r>
    </w:p>
    <w:p>
      <w:pPr>
        <w:pStyle w:val="DefinedTerms"/>
      </w:pPr>
      <w:r>
        <w:t>length</w:t>
      </w:r>
      <w:r>
        <w:tab/>
        <w:t>3(1)</w:t>
      </w:r>
    </w:p>
    <w:p>
      <w:pPr>
        <w:pStyle w:val="DefinedTerms"/>
      </w:pPr>
      <w:r>
        <w:t>licensee</w:t>
      </w:r>
      <w:r>
        <w:tab/>
        <w:t>3(1)</w:t>
      </w:r>
    </w:p>
    <w:p>
      <w:pPr>
        <w:pStyle w:val="DefinedTerms"/>
      </w:pPr>
      <w:r>
        <w:t>medical practitioner</w:t>
      </w:r>
      <w:r>
        <w:tab/>
        <w:t>7(3)</w:t>
      </w:r>
    </w:p>
    <w:p>
      <w:pPr>
        <w:pStyle w:val="DefinedTerms"/>
      </w:pPr>
      <w:r>
        <w:t>minimum length</w:t>
      </w:r>
      <w:r>
        <w:tab/>
        <w:t>3(1)</w:t>
      </w:r>
    </w:p>
    <w:p>
      <w:pPr>
        <w:pStyle w:val="DefinedTerms"/>
      </w:pPr>
      <w:r>
        <w:t>notice of pearling or hatchery activity</w:t>
      </w:r>
      <w:r>
        <w:tab/>
        <w:t>3(1)</w:t>
      </w:r>
    </w:p>
    <w:p>
      <w:pPr>
        <w:pStyle w:val="DefinedTerms"/>
      </w:pPr>
      <w:r>
        <w:t>nursery site</w:t>
      </w:r>
      <w:r>
        <w:tab/>
        <w:t>3(1)</w:t>
      </w:r>
    </w:p>
    <w:p>
      <w:pPr>
        <w:pStyle w:val="DefinedTerms"/>
      </w:pPr>
      <w:r>
        <w:t>operated pearl oyster dump</w:t>
      </w:r>
      <w:r>
        <w:tab/>
        <w:t>3(1)</w:t>
      </w:r>
    </w:p>
    <w:p>
      <w:pPr>
        <w:pStyle w:val="DefinedTerms"/>
      </w:pPr>
      <w:r>
        <w:t>operation boat</w:t>
      </w:r>
      <w:r>
        <w:tab/>
        <w:t>3(1)</w:t>
      </w:r>
    </w:p>
    <w:p>
      <w:pPr>
        <w:pStyle w:val="DefinedTerms"/>
      </w:pPr>
      <w:r>
        <w:t>panel</w:t>
      </w:r>
      <w:r>
        <w:tab/>
        <w:t>3(1)</w:t>
      </w:r>
    </w:p>
    <w:p>
      <w:pPr>
        <w:pStyle w:val="DefinedTerms"/>
      </w:pPr>
      <w:r>
        <w:t>pearling (seeding) licence or permit</w:t>
      </w:r>
      <w:r>
        <w:tab/>
        <w:t>3(1)</w:t>
      </w:r>
    </w:p>
    <w:p>
      <w:pPr>
        <w:pStyle w:val="DefinedTerms"/>
      </w:pPr>
      <w:r>
        <w:t>pearling (wildstock) licence or permit</w:t>
      </w:r>
      <w:r>
        <w:tab/>
        <w:t>3(1)</w:t>
      </w:r>
    </w:p>
    <w:p>
      <w:pPr>
        <w:pStyle w:val="DefinedTerms"/>
      </w:pPr>
      <w:r>
        <w:t>permit holder</w:t>
      </w:r>
      <w:r>
        <w:tab/>
        <w:t>3(1)</w:t>
      </w:r>
    </w:p>
    <w:p>
      <w:pPr>
        <w:pStyle w:val="DefinedTerms"/>
      </w:pPr>
      <w:r>
        <w:t>place</w:t>
      </w:r>
      <w:r>
        <w:tab/>
        <w:t>3(1)</w:t>
      </w:r>
    </w:p>
    <w:p>
      <w:pPr>
        <w:pStyle w:val="DefinedTerms"/>
      </w:pPr>
      <w:r>
        <w:t>quarantine site</w:t>
      </w:r>
      <w:r>
        <w:tab/>
        <w:t>3(1)</w:t>
      </w:r>
    </w:p>
    <w:p>
      <w:pPr>
        <w:pStyle w:val="DefinedTerms"/>
      </w:pPr>
      <w:r>
        <w:t>quarter</w:t>
      </w:r>
      <w:r>
        <w:tab/>
        <w:t>18C(2)</w:t>
      </w:r>
    </w:p>
    <w:p>
      <w:pPr>
        <w:pStyle w:val="DefinedTerms"/>
      </w:pPr>
      <w:r>
        <w:t>returned pearl oyster dump</w:t>
      </w:r>
      <w:r>
        <w:tab/>
        <w:t>3(1)</w:t>
      </w:r>
    </w:p>
    <w:p>
      <w:pPr>
        <w:pStyle w:val="DefinedTerms"/>
      </w:pPr>
      <w:r>
        <w:t>seeding</w:t>
      </w:r>
      <w:r>
        <w:tab/>
        <w:t>3(1)</w:t>
      </w:r>
    </w:p>
    <w:p>
      <w:pPr>
        <w:pStyle w:val="DefinedTerms"/>
      </w:pPr>
      <w:r>
        <w:t>settlement</w:t>
      </w:r>
      <w:r>
        <w:tab/>
        <w:t>3(1)</w:t>
      </w:r>
    </w:p>
    <w:p>
      <w:pPr>
        <w:pStyle w:val="DefinedTerms"/>
      </w:pPr>
      <w:r>
        <w:t>spat</w:t>
      </w:r>
      <w:r>
        <w:tab/>
        <w:t>3(1)</w:t>
      </w:r>
    </w:p>
    <w:p>
      <w:pPr>
        <w:pStyle w:val="DefinedTerms"/>
      </w:pPr>
      <w:r>
        <w:t>spat collector</w:t>
      </w:r>
      <w:r>
        <w:tab/>
        <w:t>3(1)</w:t>
      </w:r>
    </w:p>
    <w:p>
      <w:pPr>
        <w:pStyle w:val="DefinedTerms"/>
      </w:pPr>
      <w:r>
        <w:t>tag</w:t>
      </w:r>
      <w:r>
        <w:tab/>
        <w:t>3(1)</w:t>
      </w:r>
    </w:p>
    <w:p>
      <w:pPr>
        <w:pStyle w:val="DefinedTerms"/>
      </w:pPr>
      <w:r>
        <w:t>tagged designated container</w:t>
      </w:r>
      <w:r>
        <w:tab/>
        <w:t>3(1)</w:t>
      </w:r>
    </w:p>
    <w:p>
      <w:pPr>
        <w:pStyle w:val="DefinedTerms"/>
      </w:pPr>
      <w:r>
        <w:t>transport boat</w:t>
      </w:r>
      <w:r>
        <w:tab/>
        <w:t>3(1)</w:t>
      </w:r>
    </w:p>
    <w:p>
      <w:pPr>
        <w:pStyle w:val="DefinedTerms"/>
      </w:pPr>
      <w:r>
        <w:t>wildstock</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4" w:name="Schedule"/>
    <w:bookmarkEnd w:id="2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bookmarkStart w:id="230" w:name="Compilation"/>
    <w:bookmarkEnd w:id="2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2" w:name="DefinedTerms"/>
    <w:bookmarkEnd w:id="2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444"/>
    <w:docVar w:name="WAFER_20140122164215" w:val="RemoveTocBookmarks,RemoveUnusedBookmarks,RemoveLanguageTags,UsedStyles,ResetPageSize,UpdateArrangement"/>
    <w:docVar w:name="WAFER_20140122164215_GUID" w:val="a42f7ff1-86ca-45ce-90c6-a8d428162f2c"/>
    <w:docVar w:name="WAFER_20140122173007" w:val="RemoveTocBookmarks,RunningHeaders"/>
    <w:docVar w:name="WAFER_20140122173007_GUID" w:val="afbc4847-5893-4726-9e86-9e7c6dde8e5a"/>
    <w:docVar w:name="WAFER_20150709143626" w:val="ResetPageSize,UpdateArrangement,UpdateNTable"/>
    <w:docVar w:name="WAFER_20150709143626_GUID" w:val="46844d7b-c938-4449-bbdc-fe7f19d4c08c"/>
    <w:docVar w:name="WAFER_20151109113444" w:val="UpdateStyles,UsedStyles"/>
    <w:docVar w:name="WAFER_20151109113444_GUID" w:val="978e0bc9-5b31-4bcd-9bb0-d59c1f5dcb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14752</Words>
  <Characters>68453</Characters>
  <Application>Microsoft Office Word</Application>
  <DocSecurity>0</DocSecurity>
  <Lines>2013</Lines>
  <Paragraphs>1364</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81841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1991 - 03-c0-02</dc:title>
  <dc:subject/>
  <dc:creator/>
  <cp:keywords/>
  <dc:description/>
  <cp:lastModifiedBy>svcMRProcess</cp:lastModifiedBy>
  <cp:revision>4</cp:revision>
  <cp:lastPrinted>2017-07-07T03:05:00Z</cp:lastPrinted>
  <dcterms:created xsi:type="dcterms:W3CDTF">2019-01-22T03:19:00Z</dcterms:created>
  <dcterms:modified xsi:type="dcterms:W3CDTF">2019-01-22T03:19:00Z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20170708</vt:lpwstr>
  </property>
  <property fmtid="{D5CDD505-2E9C-101B-9397-08002B2CF9AE}" pid="4" name="DocumentType">
    <vt:lpwstr>Reg</vt:lpwstr>
  </property>
  <property fmtid="{D5CDD505-2E9C-101B-9397-08002B2CF9AE}" pid="5" name="OwlsUID">
    <vt:i4>4681</vt:i4>
  </property>
  <property fmtid="{D5CDD505-2E9C-101B-9397-08002B2CF9AE}" pid="6" name="ReprintNo">
    <vt:lpwstr>3</vt:lpwstr>
  </property>
  <property fmtid="{D5CDD505-2E9C-101B-9397-08002B2CF9AE}" pid="7" name="ReprintedAsAt">
    <vt:filetime>2011-08-25T16:00:00Z</vt:filetime>
  </property>
  <property fmtid="{D5CDD505-2E9C-101B-9397-08002B2CF9AE}" pid="8" name="AsAtDate">
    <vt:lpwstr>08 Jul 2017</vt:lpwstr>
  </property>
  <property fmtid="{D5CDD505-2E9C-101B-9397-08002B2CF9AE}" pid="9" name="Suffix">
    <vt:lpwstr>03-c0-02</vt:lpwstr>
  </property>
</Properties>
</file>