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E" w:rsidRDefault="00564B63">
      <w:pPr>
        <w:pStyle w:val="WA"/>
      </w:pPr>
      <w:bookmarkStart w:id="0" w:name="_GoBack"/>
      <w:bookmarkEnd w:id="0"/>
      <w:r>
        <w:t>Western Australia</w:t>
      </w:r>
    </w:p>
    <w:p w:rsidR="00D0416E" w:rsidRDefault="00564B63">
      <w:pPr>
        <w:pStyle w:val="NameofActRegPage1"/>
        <w:spacing w:before="3760" w:after="4200"/>
      </w:pPr>
      <w:r>
        <w:fldChar w:fldCharType="begin"/>
      </w:r>
      <w:r>
        <w:instrText xml:space="preserve"> STYLEREF "Name Of Act/Reg"</w:instrText>
      </w:r>
      <w:r>
        <w:fldChar w:fldCharType="separate"/>
      </w:r>
      <w:r w:rsidR="00BA4023">
        <w:rPr>
          <w:noProof/>
        </w:rPr>
        <w:t>Guardianship and Administration Regulations 2005</w:t>
      </w:r>
      <w:r>
        <w:fldChar w:fldCharType="end"/>
      </w:r>
    </w:p>
    <w:p w:rsidR="00D0416E" w:rsidRDefault="00D0416E">
      <w:pPr>
        <w:jc w:val="center"/>
        <w:rPr>
          <w:b/>
        </w:rPr>
        <w:sectPr w:rsidR="00D041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 w:rsidR="00D0416E" w:rsidRDefault="00564B63">
      <w:pPr>
        <w:pStyle w:val="WA"/>
      </w:pPr>
      <w:r>
        <w:lastRenderedPageBreak/>
        <w:t>Western Australia</w:t>
      </w:r>
    </w:p>
    <w:p w:rsidR="00D0416E" w:rsidRDefault="00564B63">
      <w:pPr>
        <w:pStyle w:val="NameofActRegPage1"/>
        <w:ind w:left="284" w:right="292"/>
      </w:pPr>
      <w:r>
        <w:fldChar w:fldCharType="begin"/>
      </w:r>
      <w:r>
        <w:instrText xml:space="preserve"> STYLEREF "Name Of Act/Reg"</w:instrText>
      </w:r>
      <w:r>
        <w:fldChar w:fldCharType="separate"/>
      </w:r>
      <w:r w:rsidR="00BA4023">
        <w:rPr>
          <w:noProof/>
        </w:rPr>
        <w:t>Guardianship and Administration Regulations 2005</w:t>
      </w:r>
      <w:r>
        <w:fldChar w:fldCharType="end"/>
      </w:r>
    </w:p>
    <w:p w:rsidR="00D0416E" w:rsidRDefault="00564B63">
      <w:pPr>
        <w:pStyle w:val="Arrangement"/>
      </w:pPr>
      <w:r>
        <w:t>CONTENTS</w:t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</w:rPr>
        <w:fldChar w:fldCharType="begin"/>
      </w:r>
      <w:r>
        <w:rPr>
          <w:noProof/>
        </w:rPr>
        <w:instrText xml:space="preserve"> TOC \o "2-3" \t "Heading 4,3,Heading 5,4, Heading 6,6,yScheduleHeading,5,yScheduleHeading 2,5,yHeading 2,7,yHeading 3,7,yHeading 6,6" \n 2</w:instrText>
      </w:r>
      <w:r>
        <w:rPr>
          <w:noProof/>
        </w:rPr>
        <w:noBreakHyphen/>
        <w:instrText>3 \t " yHeading 4,3,yHeading 5,4,nHeading 3,4" \n 2</w:instrText>
      </w:r>
      <w:r>
        <w:rPr>
          <w:noProof/>
        </w:rPr>
        <w:noBreakHyphen/>
        <w:instrText xml:space="preserve">3 \* MERGEFORMAT </w:instrText>
      </w:r>
      <w:r>
        <w:rPr>
          <w:noProof/>
        </w:rPr>
        <w:fldChar w:fldCharType="separate"/>
      </w:r>
      <w:r>
        <w:rPr>
          <w:noProof/>
          <w:szCs w:val="24"/>
        </w:rPr>
        <w:t>1.</w:t>
      </w:r>
      <w:r>
        <w:rPr>
          <w:noProof/>
          <w:sz w:val="24"/>
          <w:szCs w:val="24"/>
        </w:rPr>
        <w:tab/>
      </w:r>
      <w:r>
        <w:rPr>
          <w:noProof/>
          <w:szCs w:val="24"/>
        </w:rPr>
        <w:t>Citation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_Toc94084412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1</w:t>
      </w:r>
      <w:r>
        <w:rPr>
          <w:noProof/>
        </w:rPr>
        <w:fldChar w:fldCharType="end"/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  <w:szCs w:val="24"/>
        </w:rPr>
        <w:t>2</w:t>
      </w:r>
      <w:r>
        <w:rPr>
          <w:noProof/>
          <w:spacing w:val="-2"/>
          <w:szCs w:val="24"/>
        </w:rPr>
        <w:t>.</w:t>
      </w:r>
      <w:r>
        <w:rPr>
          <w:noProof/>
          <w:sz w:val="24"/>
          <w:szCs w:val="24"/>
        </w:rPr>
        <w:tab/>
      </w:r>
      <w:r>
        <w:rPr>
          <w:noProof/>
          <w:spacing w:val="-2"/>
          <w:szCs w:val="24"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_Toc94084413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1</w:t>
      </w:r>
      <w:r>
        <w:rPr>
          <w:noProof/>
        </w:rPr>
        <w:fldChar w:fldCharType="end"/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  <w:szCs w:val="24"/>
        </w:rPr>
        <w:t>3.</w:t>
      </w:r>
      <w:r>
        <w:rPr>
          <w:noProof/>
          <w:sz w:val="24"/>
          <w:szCs w:val="24"/>
        </w:rPr>
        <w:tab/>
      </w:r>
      <w:r>
        <w:rPr>
          <w:noProof/>
          <w:szCs w:val="24"/>
        </w:rPr>
        <w:t>Information as to administrator and estate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_Toc94084414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1</w:t>
      </w:r>
      <w:r>
        <w:rPr>
          <w:noProof/>
        </w:rPr>
        <w:fldChar w:fldCharType="end"/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  <w:szCs w:val="24"/>
        </w:rPr>
        <w:t>4.</w:t>
      </w:r>
      <w:r>
        <w:rPr>
          <w:noProof/>
          <w:sz w:val="24"/>
          <w:szCs w:val="24"/>
        </w:rPr>
        <w:tab/>
      </w:r>
      <w:r>
        <w:rPr>
          <w:noProof/>
          <w:szCs w:val="24"/>
        </w:rPr>
        <w:t>Examination of accounts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_Toc94084415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1</w:t>
      </w:r>
      <w:r>
        <w:rPr>
          <w:noProof/>
        </w:rPr>
        <w:fldChar w:fldCharType="end"/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  <w:szCs w:val="24"/>
        </w:rPr>
        <w:t>5.</w:t>
      </w:r>
      <w:r>
        <w:rPr>
          <w:noProof/>
          <w:sz w:val="24"/>
          <w:szCs w:val="24"/>
        </w:rPr>
        <w:tab/>
      </w:r>
      <w:r>
        <w:rPr>
          <w:noProof/>
          <w:szCs w:val="24"/>
        </w:rPr>
        <w:t>False or misleading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_Toc94084416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2</w:t>
      </w:r>
      <w:r>
        <w:rPr>
          <w:noProof/>
        </w:rPr>
        <w:fldChar w:fldCharType="end"/>
      </w:r>
    </w:p>
    <w:p w:rsidR="00D0416E" w:rsidRDefault="00564B63">
      <w:pPr>
        <w:pStyle w:val="TOC4"/>
        <w:rPr>
          <w:noProof/>
          <w:sz w:val="24"/>
          <w:szCs w:val="24"/>
        </w:rPr>
      </w:pPr>
      <w:r>
        <w:rPr>
          <w:noProof/>
          <w:szCs w:val="24"/>
        </w:rPr>
        <w:t>6.</w:t>
      </w:r>
      <w:r>
        <w:rPr>
          <w:noProof/>
          <w:sz w:val="24"/>
          <w:szCs w:val="24"/>
        </w:rPr>
        <w:tab/>
      </w:r>
      <w:r>
        <w:rPr>
          <w:i/>
          <w:noProof/>
          <w:szCs w:val="24"/>
        </w:rPr>
        <w:t xml:space="preserve">Guardianship and Administration Regulations 1995 </w:t>
      </w:r>
      <w:r>
        <w:rPr>
          <w:noProof/>
          <w:szCs w:val="24"/>
        </w:rPr>
        <w:t>repealed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_Toc94084417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2</w:t>
      </w:r>
      <w:r>
        <w:rPr>
          <w:noProof/>
        </w:rPr>
        <w:fldChar w:fldCharType="end"/>
      </w:r>
    </w:p>
    <w:p w:rsidR="00D0416E" w:rsidRDefault="00564B63">
      <w:pPr>
        <w:pStyle w:val="TOC2"/>
        <w:tabs>
          <w:tab w:val="right" w:leader="dot" w:pos="7086"/>
        </w:tabs>
        <w:rPr>
          <w:b w:val="0"/>
          <w:noProof/>
          <w:sz w:val="24"/>
          <w:szCs w:val="24"/>
        </w:rPr>
      </w:pPr>
      <w:r>
        <w:rPr>
          <w:noProof/>
          <w:szCs w:val="26"/>
        </w:rPr>
        <w:t>Notes</w:t>
      </w:r>
    </w:p>
    <w:p w:rsidR="00D0416E" w:rsidRDefault="00564B63">
      <w:pPr>
        <w:pStyle w:val="TOC4"/>
      </w:pPr>
      <w:r>
        <w:rPr>
          <w:noProof/>
          <w:szCs w:val="24"/>
        </w:rPr>
        <w:tab/>
        <w:t>Compilation table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_Toc94084419 \h </w:instrText>
      </w:r>
      <w:r>
        <w:rPr>
          <w:noProof/>
        </w:rPr>
      </w:r>
      <w:r>
        <w:rPr>
          <w:noProof/>
        </w:rPr>
        <w:fldChar w:fldCharType="separate"/>
      </w:r>
      <w:r w:rsidR="00BA4023">
        <w:rPr>
          <w:noProof/>
        </w:rPr>
        <w:t>3</w:t>
      </w:r>
      <w:r>
        <w:rPr>
          <w:noProof/>
        </w:rPr>
        <w:fldChar w:fldCharType="end"/>
      </w:r>
      <w:r>
        <w:fldChar w:fldCharType="end"/>
      </w:r>
    </w:p>
    <w:p w:rsidR="00D0416E" w:rsidRDefault="00564B63">
      <w:pPr>
        <w:pStyle w:val="NoteHeading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</w:p>
    <w:p w:rsidR="00D0416E" w:rsidRDefault="00D0416E">
      <w:pPr>
        <w:pStyle w:val="NoteHeading"/>
        <w:sectPr w:rsidR="00D0416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 w:rsidR="00D0416E" w:rsidRDefault="00564B63">
      <w:pPr>
        <w:pStyle w:val="WA"/>
      </w:pPr>
      <w:r>
        <w:t>Western Australia</w:t>
      </w:r>
    </w:p>
    <w:p w:rsidR="00D0416E" w:rsidRDefault="00564B63">
      <w:pPr>
        <w:pStyle w:val="PrincipalActReg"/>
      </w:pPr>
      <w:r>
        <w:t>Guardianship and Administration Act 1990</w:t>
      </w:r>
    </w:p>
    <w:p w:rsidR="00D0416E" w:rsidRDefault="00564B63">
      <w:pPr>
        <w:pStyle w:val="NameofActReg"/>
      </w:pPr>
      <w:r>
        <w:t>Guardianship and Administration Regulations 2005</w:t>
      </w:r>
    </w:p>
    <w:p w:rsidR="00D0416E" w:rsidRDefault="00564B63">
      <w:pPr>
        <w:pStyle w:val="Heading5"/>
      </w:pPr>
      <w:bookmarkStart w:id="1" w:name="_Toc423332722"/>
      <w:bookmarkStart w:id="2" w:name="_Toc425219441"/>
      <w:bookmarkStart w:id="3" w:name="_Toc426249308"/>
      <w:bookmarkStart w:id="4" w:name="_Toc449924704"/>
      <w:bookmarkStart w:id="5" w:name="_Toc449947722"/>
      <w:bookmarkStart w:id="6" w:name="_Toc454185713"/>
      <w:bookmarkStart w:id="7" w:name="_Toc515958686"/>
      <w:bookmarkStart w:id="8" w:name="_Toc94084412"/>
      <w:r>
        <w:rPr>
          <w:rStyle w:val="CharSectno"/>
        </w:rPr>
        <w:t>1</w:t>
      </w:r>
      <w:r>
        <w:t>.</w:t>
      </w:r>
      <w:r>
        <w:tab/>
        <w:t>Citation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0416E" w:rsidRDefault="00564B63">
      <w:pPr>
        <w:pStyle w:val="Subsection"/>
        <w:rPr>
          <w:i/>
        </w:rPr>
      </w:pPr>
      <w:r>
        <w:tab/>
      </w:r>
      <w:r>
        <w:tab/>
      </w:r>
      <w:r>
        <w:rPr>
          <w:spacing w:val="-2"/>
        </w:rPr>
        <w:t>These</w:t>
      </w:r>
      <w:r>
        <w:t xml:space="preserve"> </w:t>
      </w:r>
      <w:r>
        <w:rPr>
          <w:spacing w:val="-2"/>
        </w:rPr>
        <w:t>regulations</w:t>
      </w:r>
      <w:r>
        <w:t xml:space="preserve"> are the </w:t>
      </w:r>
      <w:r>
        <w:rPr>
          <w:i/>
        </w:rPr>
        <w:t>Guardianship and Administration Regulations 2005</w:t>
      </w:r>
      <w:r>
        <w:t>.</w:t>
      </w:r>
    </w:p>
    <w:p w:rsidR="00D0416E" w:rsidRDefault="00564B63">
      <w:pPr>
        <w:pStyle w:val="Heading5"/>
        <w:rPr>
          <w:spacing w:val="-2"/>
        </w:rPr>
      </w:pPr>
      <w:bookmarkStart w:id="9" w:name="_Toc423332723"/>
      <w:bookmarkStart w:id="10" w:name="_Toc425219442"/>
      <w:bookmarkStart w:id="11" w:name="_Toc426249309"/>
      <w:bookmarkStart w:id="12" w:name="_Toc449924705"/>
      <w:bookmarkStart w:id="13" w:name="_Toc449947723"/>
      <w:bookmarkStart w:id="14" w:name="_Toc454185714"/>
      <w:bookmarkStart w:id="15" w:name="_Toc515958687"/>
      <w:bookmarkStart w:id="16" w:name="_Toc94084413"/>
      <w:r>
        <w:rPr>
          <w:rStyle w:val="CharSectno"/>
        </w:rP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D0416E" w:rsidRDefault="00564B63">
      <w:pPr>
        <w:pStyle w:val="Subsection"/>
      </w:pPr>
      <w:r>
        <w:rPr>
          <w:spacing w:val="-2"/>
        </w:rPr>
        <w:tab/>
      </w:r>
      <w:r>
        <w:rPr>
          <w:spacing w:val="-2"/>
        </w:rPr>
        <w:tab/>
        <w:t xml:space="preserve">These regulations come into operation on the day on which the </w:t>
      </w:r>
      <w:r>
        <w:rPr>
          <w:i/>
          <w:spacing w:val="-2"/>
        </w:rPr>
        <w:t>State Administrative Tribunal (Conferral of Jurisdiction) Amendment and Repeal Act 2004</w:t>
      </w:r>
      <w:r>
        <w:rPr>
          <w:spacing w:val="-2"/>
        </w:rPr>
        <w:t xml:space="preserve"> Part 2 Division 56 comes into operation or on the day of their publication in the </w:t>
      </w:r>
      <w:r>
        <w:rPr>
          <w:i/>
          <w:spacing w:val="-2"/>
        </w:rPr>
        <w:t>Gazette</w:t>
      </w:r>
      <w:r>
        <w:rPr>
          <w:spacing w:val="-2"/>
        </w:rPr>
        <w:t>, whichever is the later.</w:t>
      </w:r>
    </w:p>
    <w:p w:rsidR="00D0416E" w:rsidRDefault="00564B63">
      <w:pPr>
        <w:pStyle w:val="Heading5"/>
      </w:pPr>
      <w:bookmarkStart w:id="17" w:name="_Toc94084414"/>
      <w:r>
        <w:rPr>
          <w:rStyle w:val="CharSectno"/>
        </w:rPr>
        <w:t>3</w:t>
      </w:r>
      <w:r>
        <w:t>.</w:t>
      </w:r>
      <w:r>
        <w:tab/>
        <w:t>Information as to administrator and estate</w:t>
      </w:r>
      <w:bookmarkEnd w:id="17"/>
    </w:p>
    <w:p w:rsidR="00D0416E" w:rsidRDefault="00564B63">
      <w:pPr>
        <w:pStyle w:val="Subsection"/>
      </w:pPr>
      <w:r>
        <w:tab/>
      </w:r>
      <w:r>
        <w:tab/>
        <w:t>An administrator must, within 4 weeks of being appointed, provide the Public Trustee with information as to the administrator, the represented person and the estate in a duly completed form approved by the Public Trustee.</w:t>
      </w:r>
    </w:p>
    <w:p w:rsidR="00D0416E" w:rsidRDefault="00564B63">
      <w:pPr>
        <w:pStyle w:val="Penstart"/>
      </w:pPr>
      <w:r>
        <w:tab/>
        <w:t>Penalty: $1 000.</w:t>
      </w:r>
    </w:p>
    <w:p w:rsidR="00D0416E" w:rsidRDefault="00564B63">
      <w:pPr>
        <w:pStyle w:val="Heading5"/>
      </w:pPr>
      <w:bookmarkStart w:id="18" w:name="_Toc94084415"/>
      <w:r>
        <w:rPr>
          <w:rStyle w:val="CharSectno"/>
        </w:rPr>
        <w:t>4</w:t>
      </w:r>
      <w:r>
        <w:t>.</w:t>
      </w:r>
      <w:r>
        <w:tab/>
        <w:t>Examination of accounts</w:t>
      </w:r>
      <w:bookmarkEnd w:id="18"/>
    </w:p>
    <w:p w:rsidR="00D0416E" w:rsidRDefault="00564B63">
      <w:pPr>
        <w:pStyle w:val="Subsection"/>
      </w:pPr>
      <w:r>
        <w:tab/>
        <w:t>(1)</w:t>
      </w:r>
      <w:r>
        <w:tab/>
        <w:t>Unless the Public Trustee otherwise allows, an administrator must lodge with the Public Trustee accounts in relation to an estate administered by the administrator set out in a form approved by the Public Trustee within 4 weeks of the due date approved by the Public Trustee.</w:t>
      </w:r>
    </w:p>
    <w:p w:rsidR="00D0416E" w:rsidRDefault="00564B63">
      <w:pPr>
        <w:pStyle w:val="Penstart"/>
      </w:pPr>
      <w:r>
        <w:tab/>
        <w:t>Penalty: $1 000.</w:t>
      </w:r>
    </w:p>
    <w:p w:rsidR="00D0416E" w:rsidRDefault="00564B63">
      <w:pPr>
        <w:pStyle w:val="Subsection"/>
      </w:pPr>
      <w:r>
        <w:tab/>
        <w:t>(2)</w:t>
      </w:r>
      <w:r>
        <w:tab/>
        <w:t>An administrator must retain documents relating to the financial transactions of the estate and submit them to the Public Trustee if so required.</w:t>
      </w:r>
    </w:p>
    <w:p w:rsidR="00D0416E" w:rsidRDefault="00564B63">
      <w:pPr>
        <w:pStyle w:val="Penstart"/>
      </w:pPr>
      <w:r>
        <w:tab/>
        <w:t>Penalty: $1 000.</w:t>
      </w:r>
    </w:p>
    <w:p w:rsidR="00D0416E" w:rsidRDefault="00564B63">
      <w:pPr>
        <w:pStyle w:val="Subsection"/>
      </w:pPr>
      <w:r>
        <w:tab/>
        <w:t>(3)</w:t>
      </w:r>
      <w:r>
        <w:tab/>
        <w:t xml:space="preserve">Unless the Public Trustee otherwise allows, if a person ceases to be the administrator of the estate of a represented person upon — </w:t>
      </w:r>
    </w:p>
    <w:p w:rsidR="00D0416E" w:rsidRDefault="00564B63">
      <w:pPr>
        <w:pStyle w:val="Indenta"/>
      </w:pPr>
      <w:r>
        <w:tab/>
        <w:t>(a)</w:t>
      </w:r>
      <w:r>
        <w:tab/>
        <w:t>the making of an order by the State Administrative Tribunal under the Act; or</w:t>
      </w:r>
    </w:p>
    <w:p w:rsidR="00D0416E" w:rsidRDefault="00564B63">
      <w:pPr>
        <w:pStyle w:val="Indenta"/>
      </w:pPr>
      <w:r>
        <w:tab/>
        <w:t>(b)</w:t>
      </w:r>
      <w:r>
        <w:tab/>
        <w:t>the death of the represented person,</w:t>
      </w:r>
    </w:p>
    <w:p w:rsidR="00D0416E" w:rsidRDefault="00564B63">
      <w:pPr>
        <w:pStyle w:val="Subsection"/>
      </w:pPr>
      <w:r>
        <w:tab/>
      </w:r>
      <w:r>
        <w:tab/>
        <w:t>that person must, within 4 weeks of the day on which the order was made or the represented person died, lodge with the Public Trustee accounts in a form approved by the Public Trustee.</w:t>
      </w:r>
    </w:p>
    <w:p w:rsidR="00D0416E" w:rsidRDefault="00564B63">
      <w:pPr>
        <w:pStyle w:val="Penstart"/>
      </w:pPr>
      <w:r>
        <w:tab/>
        <w:t>Penalty: $1 000.</w:t>
      </w:r>
    </w:p>
    <w:p w:rsidR="00D0416E" w:rsidRDefault="00564B63">
      <w:pPr>
        <w:pStyle w:val="Heading5"/>
      </w:pPr>
      <w:bookmarkStart w:id="19" w:name="_Toc94084416"/>
      <w:r>
        <w:rPr>
          <w:rStyle w:val="CharSectno"/>
        </w:rPr>
        <w:t>5</w:t>
      </w:r>
      <w:r>
        <w:t>.</w:t>
      </w:r>
      <w:r>
        <w:tab/>
        <w:t>False or misleading information</w:t>
      </w:r>
      <w:bookmarkEnd w:id="19"/>
    </w:p>
    <w:p w:rsidR="00D0416E" w:rsidRDefault="00564B63">
      <w:pPr>
        <w:pStyle w:val="Subsection"/>
      </w:pPr>
      <w:r>
        <w:tab/>
      </w:r>
      <w:r>
        <w:tab/>
        <w:t>A person who provides information under regulation 3 or 4(1) or (3) which the person knows to be false or misleading in a material particular commits an offence.</w:t>
      </w:r>
    </w:p>
    <w:p w:rsidR="00D0416E" w:rsidRDefault="00564B63">
      <w:pPr>
        <w:pStyle w:val="Penstart"/>
      </w:pPr>
      <w:r>
        <w:tab/>
        <w:t>Penalty: $1 000.</w:t>
      </w:r>
    </w:p>
    <w:p w:rsidR="00D0416E" w:rsidRDefault="00564B63">
      <w:pPr>
        <w:pStyle w:val="Heading5"/>
      </w:pPr>
      <w:bookmarkStart w:id="20" w:name="_Toc94084417"/>
      <w:r>
        <w:rPr>
          <w:rStyle w:val="CharSectno"/>
        </w:rPr>
        <w:t>6</w:t>
      </w:r>
      <w:r>
        <w:t>.</w:t>
      </w:r>
      <w:r>
        <w:tab/>
      </w:r>
      <w:r>
        <w:rPr>
          <w:i/>
        </w:rPr>
        <w:t xml:space="preserve">Guardianship and Administration Regulations 1995 </w:t>
      </w:r>
      <w:r>
        <w:t>repealed</w:t>
      </w:r>
      <w:bookmarkEnd w:id="20"/>
    </w:p>
    <w:p w:rsidR="00D0416E" w:rsidRDefault="00564B63">
      <w:pPr>
        <w:pStyle w:val="Subsection"/>
        <w:rPr>
          <w:b/>
          <w:sz w:val="28"/>
        </w:rPr>
      </w:pPr>
      <w:r>
        <w:tab/>
      </w:r>
      <w:r>
        <w:tab/>
        <w:t xml:space="preserve">The </w:t>
      </w:r>
      <w:r>
        <w:rPr>
          <w:i/>
          <w:iCs/>
        </w:rPr>
        <w:t>Guardianship and Administration Regulations 1995</w:t>
      </w:r>
      <w:r>
        <w:t xml:space="preserve"> are repealed.</w:t>
      </w:r>
    </w:p>
    <w:p w:rsidR="00D0416E" w:rsidRDefault="00D0416E">
      <w:pPr>
        <w:sectPr w:rsidR="00D0416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 w:rsidR="00D0416E" w:rsidRDefault="00564B63">
      <w:pPr>
        <w:pStyle w:val="nHeading2"/>
      </w:pPr>
      <w:bookmarkStart w:id="21" w:name="_Toc94083118"/>
      <w:bookmarkStart w:id="22" w:name="_Toc94084242"/>
      <w:bookmarkStart w:id="23" w:name="_Toc94084418"/>
      <w:r>
        <w:t>Notes</w:t>
      </w:r>
      <w:bookmarkEnd w:id="21"/>
      <w:bookmarkEnd w:id="22"/>
      <w:bookmarkEnd w:id="23"/>
    </w:p>
    <w:p w:rsidR="00D0416E" w:rsidRDefault="00564B63"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  <w:noProof/>
          <w:snapToGrid w:val="0"/>
        </w:rPr>
        <w:t>Guardianship and Administration Regulations 2005</w:t>
      </w:r>
      <w:r>
        <w:rPr>
          <w:snapToGrid w:val="0"/>
        </w:rPr>
        <w:t>.  The following table contains information about those regulations.</w:t>
      </w:r>
    </w:p>
    <w:p w:rsidR="00D0416E" w:rsidRDefault="00564B63">
      <w:pPr>
        <w:pStyle w:val="nHeading3"/>
      </w:pPr>
      <w:bookmarkStart w:id="24" w:name="_Toc94084419"/>
      <w:r>
        <w:t>Compilation table</w:t>
      </w:r>
      <w:bookmarkEnd w:id="24"/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 w:rsidR="00D0416E">
        <w:trPr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D0416E" w:rsidRDefault="00564B63">
            <w:pPr>
              <w:pStyle w:val="nTable"/>
              <w:spacing w:before="60" w:after="60"/>
              <w:rPr>
                <w:b/>
                <w:sz w:val="19"/>
              </w:rPr>
            </w:pPr>
            <w:r>
              <w:rPr>
                <w:b/>
                <w:sz w:val="19"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D0416E" w:rsidRDefault="00564B63">
            <w:pPr>
              <w:pStyle w:val="nTable"/>
              <w:spacing w:before="60" w:after="60"/>
              <w:rPr>
                <w:b/>
                <w:sz w:val="19"/>
              </w:rPr>
            </w:pPr>
            <w:r>
              <w:rPr>
                <w:b/>
                <w:sz w:val="19"/>
              </w:rPr>
              <w:t>Gazettal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D0416E" w:rsidRDefault="00564B63">
            <w:pPr>
              <w:pStyle w:val="nTable"/>
              <w:spacing w:before="60" w:after="60"/>
              <w:rPr>
                <w:b/>
                <w:sz w:val="19"/>
              </w:rPr>
            </w:pPr>
            <w:r>
              <w:rPr>
                <w:b/>
                <w:sz w:val="19"/>
              </w:rPr>
              <w:t>Commencement</w:t>
            </w:r>
          </w:p>
        </w:tc>
      </w:tr>
      <w:tr w:rsidR="00D0416E"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</w:tcPr>
          <w:p w:rsidR="00D0416E" w:rsidRDefault="00564B63">
            <w:pPr>
              <w:pStyle w:val="nTable"/>
            </w:pPr>
            <w:r>
              <w:rPr>
                <w:i/>
                <w:noProof/>
                <w:snapToGrid w:val="0"/>
              </w:rPr>
              <w:t>Guardianship and Administration Regulations 2005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D0416E" w:rsidRDefault="00564B63">
            <w:pPr>
              <w:pStyle w:val="nTable"/>
            </w:pPr>
            <w:r>
              <w:t>21 Jan 2005 p. 268-9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</w:tcPr>
          <w:p w:rsidR="00D0416E" w:rsidRDefault="00564B63">
            <w:pPr>
              <w:pStyle w:val="nTable"/>
              <w:rPr>
                <w:iCs/>
              </w:rPr>
            </w:pPr>
            <w:r>
              <w:t xml:space="preserve">24 Jan 2005 (see r. 2 and </w:t>
            </w:r>
            <w:r>
              <w:rPr>
                <w:i/>
              </w:rPr>
              <w:t>Gazette</w:t>
            </w:r>
            <w:r>
              <w:rPr>
                <w:iCs/>
              </w:rPr>
              <w:t xml:space="preserve"> 31 Dec 2004 p. 7130)</w:t>
            </w:r>
          </w:p>
        </w:tc>
      </w:tr>
    </w:tbl>
    <w:p w:rsidR="00D0416E" w:rsidRDefault="00D0416E"/>
    <w:p w:rsidR="00D0416E" w:rsidRDefault="00D0416E">
      <w:pPr>
        <w:sectPr w:rsidR="00D0416E">
          <w:headerReference w:type="even" r:id="rId25"/>
          <w:headerReference w:type="default" r:id="rId26"/>
          <w:headerReference w:type="first" r:id="rId27"/>
          <w:endnotePr>
            <w:numFmt w:val="decimal"/>
          </w:endnotePr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 w:rsidR="00D0416E" w:rsidRDefault="00D0416E"/>
    <w:sectPr w:rsidR="00D0416E">
      <w:headerReference w:type="even" r:id="rId28"/>
      <w:endnotePr>
        <w:numFmt w:val="decimal"/>
      </w:endnotePr>
      <w:type w:val="continuous"/>
      <w:pgSz w:w="11906" w:h="16838" w:code="9"/>
      <w:pgMar w:top="794" w:right="1701" w:bottom="1134" w:left="1701" w:header="794" w:footer="33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6E" w:rsidRDefault="00564B63">
      <w:pPr>
        <w:rPr>
          <w:b/>
          <w:sz w:val="28"/>
        </w:rPr>
      </w:pPr>
      <w:r>
        <w:rPr>
          <w:b/>
          <w:sz w:val="28"/>
        </w:rPr>
        <w:t>Endnotes</w:t>
      </w:r>
    </w:p>
    <w:p w:rsidR="00D0416E" w:rsidRDefault="00564B63"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</w:endnote>
  <w:endnote w:type="continuationSeparator" w:id="0">
    <w:p w:rsidR="00D0416E" w:rsidRDefault="00D0416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iii</w:t>
    </w:r>
    <w:r>
      <w:rPr>
        <w:rStyle w:val="PageNumber"/>
        <w:rFonts w:ascii="Arial" w:hAnsi="Arial" w:cs="Arial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BA4023"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BA4023">
      <w:rPr>
        <w:rStyle w:val="CharPageNo"/>
        <w:rFonts w:ascii="Arial" w:hAnsi="Arial"/>
        <w:noProof/>
      </w:rPr>
      <w:t>2</w:t>
    </w:r>
    <w:r>
      <w:rPr>
        <w:rStyle w:val="CharPageNo"/>
        <w:rFonts w:ascii="Arial" w:hAnsi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BA4023">
      <w:rPr>
        <w:rStyle w:val="CharPageNo"/>
        <w:rFonts w:ascii="Arial" w:hAnsi="Arial"/>
        <w:noProof/>
      </w:rPr>
      <w:t>3</w:t>
    </w:r>
    <w:r>
      <w:rPr>
        <w:rStyle w:val="CharPageNo"/>
        <w:rFonts w:ascii="Arial" w:hAnsi="Arial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Footer"/>
      <w:tabs>
        <w:tab w:val="clear" w:pos="4153"/>
        <w:tab w:val="right" w:pos="7088"/>
      </w:tabs>
      <w:rPr>
        <w:rStyle w:val="PageNumber"/>
      </w:rPr>
    </w:pPr>
  </w:p>
  <w:p w:rsidR="00D0416E" w:rsidRDefault="00564B63"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24 Jan 2005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BA4023">
      <w:rPr>
        <w:rFonts w:ascii="Arial" w:hAnsi="Arial" w:cs="Arial"/>
        <w:sz w:val="20"/>
        <w:lang w:val="en-US"/>
      </w:rPr>
      <w:t>00-a0-06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 w:rsidR="00BA4023">
      <w:rPr>
        <w:rStyle w:val="CharPageNo"/>
        <w:rFonts w:ascii="Arial" w:hAnsi="Arial"/>
        <w:noProof/>
      </w:rPr>
      <w:t>1</w:t>
    </w:r>
    <w:r>
      <w:rPr>
        <w:rStyle w:val="CharPageNo"/>
        <w:rFonts w:ascii="Arial" w:hAnsi="Arial"/>
      </w:rPr>
      <w:fldChar w:fldCharType="end"/>
    </w:r>
  </w:p>
  <w:p w:rsidR="00D0416E" w:rsidRDefault="00564B63"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6E" w:rsidRDefault="00564B63">
      <w:r>
        <w:separator/>
      </w:r>
    </w:p>
  </w:footnote>
  <w:footnote w:type="continuationSeparator" w:id="0">
    <w:p w:rsidR="00D0416E" w:rsidRDefault="00564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564B63">
    <w:pPr>
      <w:pStyle w:val="headerpartodd"/>
      <w:ind w:left="0" w:firstLine="0"/>
      <w:rPr>
        <w:i/>
      </w:rPr>
    </w:pPr>
    <w:r>
      <w:rPr>
        <w:i/>
      </w:rPr>
      <w:fldChar w:fldCharType="begin"/>
    </w:r>
    <w:r>
      <w:rPr>
        <w:i/>
      </w:rPr>
      <w:instrText xml:space="preserve"> Styleref "Name of Act/Reg" </w:instrText>
    </w:r>
    <w:r>
      <w:rPr>
        <w:i/>
      </w:rPr>
      <w:fldChar w:fldCharType="separate"/>
    </w:r>
    <w:r w:rsidR="00BA4023">
      <w:rPr>
        <w:i/>
        <w:noProof/>
      </w:rPr>
      <w:t>Guardianship and Administration Regulations 2005</w:t>
    </w:r>
    <w:r>
      <w:rPr>
        <w:i/>
      </w:rPr>
      <w:fldChar w:fldCharType="end"/>
    </w:r>
  </w:p>
  <w:p w:rsidR="00D0416E" w:rsidRDefault="00564B63">
    <w:pPr>
      <w:pStyle w:val="headerpartodd"/>
      <w:ind w:left="0" w:firstLine="0"/>
      <w:rPr>
        <w:b w:val="0"/>
        <w:i/>
      </w:rPr>
    </w:pPr>
    <w:r>
      <w:fldChar w:fldCharType="begin"/>
    </w:r>
    <w:r>
      <w:instrText xml:space="preserve"> STYLEREF CharPartNo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CharPartText </w:instrText>
    </w:r>
    <w:r>
      <w:rPr>
        <w:b w:val="0"/>
      </w:rPr>
      <w:fldChar w:fldCharType="end"/>
    </w:r>
  </w:p>
  <w:p w:rsidR="00D0416E" w:rsidRDefault="00564B63">
    <w:pPr>
      <w:pStyle w:val="headerpart"/>
    </w:pPr>
    <w:r>
      <w:fldChar w:fldCharType="begin"/>
    </w:r>
    <w:r>
      <w:instrText xml:space="preserve"> STYLEREF CharDivNo </w:instrText>
    </w:r>
    <w:r>
      <w:fldChar w:fldCharType="end"/>
    </w:r>
    <w:r>
      <w:rPr>
        <w:b w:val="0"/>
      </w:rPr>
      <w:fldChar w:fldCharType="begin"/>
    </w:r>
    <w:r>
      <w:rPr>
        <w:b w:val="0"/>
      </w:rPr>
      <w:instrText xml:space="preserve"> STYLEREF CharDivText </w:instrText>
    </w:r>
    <w:r>
      <w:rPr>
        <w:b w:val="0"/>
      </w:rPr>
      <w:fldChar w:fldCharType="end"/>
    </w:r>
  </w:p>
  <w:p w:rsidR="00D0416E" w:rsidRDefault="00D0416E">
    <w:pPr>
      <w:pStyle w:val="headerpart"/>
    </w:pPr>
  </w:p>
  <w:p w:rsidR="00D0416E" w:rsidRDefault="00D0416E">
    <w:pPr>
      <w:pBdr>
        <w:bottom w:val="single" w:sz="6" w:space="1" w:color="auto"/>
      </w:pBdr>
      <w:rPr>
        <w:b/>
      </w:rPr>
    </w:pPr>
  </w:p>
  <w:p w:rsidR="00D0416E" w:rsidRDefault="00D0416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Right"/>
            <w:ind w:right="17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5715" w:type="dxa"/>
        </w:tcPr>
        <w:p w:rsidR="00D0416E" w:rsidRDefault="00D0416E">
          <w:pPr>
            <w:pStyle w:val="HeaderTextRight"/>
          </w:pPr>
        </w:p>
      </w:tc>
      <w:tc>
        <w:tcPr>
          <w:tcW w:w="1548" w:type="dxa"/>
        </w:tcPr>
        <w:p w:rsidR="00D0416E" w:rsidRDefault="00D0416E">
          <w:pPr>
            <w:pStyle w:val="HeaderNumberRight"/>
            <w:ind w:right="17"/>
          </w:pPr>
        </w:p>
      </w:tc>
    </w:tr>
    <w:tr w:rsidR="00D0416E">
      <w:tc>
        <w:tcPr>
          <w:tcW w:w="5715" w:type="dxa"/>
        </w:tcPr>
        <w:p w:rsidR="00D0416E" w:rsidRDefault="00D0416E">
          <w:pPr>
            <w:pStyle w:val="HeaderTextRight"/>
          </w:pPr>
        </w:p>
      </w:tc>
      <w:tc>
        <w:tcPr>
          <w:tcW w:w="1548" w:type="dxa"/>
        </w:tcPr>
        <w:p w:rsidR="00D0416E" w:rsidRDefault="00D0416E">
          <w:pPr>
            <w:pStyle w:val="HeaderNumberRight"/>
            <w:ind w:right="17"/>
          </w:pP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D0416E">
          <w:pPr>
            <w:pStyle w:val="HeaderSectionRight"/>
            <w:ind w:right="17"/>
          </w:pPr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Left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1548" w:type="dxa"/>
        </w:tcPr>
        <w:p w:rsidR="00D0416E" w:rsidRDefault="00D0416E">
          <w:pPr>
            <w:pStyle w:val="HeaderNumberLeft"/>
          </w:pPr>
        </w:p>
      </w:tc>
      <w:tc>
        <w:tcPr>
          <w:tcW w:w="5715" w:type="dxa"/>
        </w:tcPr>
        <w:p w:rsidR="00D0416E" w:rsidRDefault="00D0416E">
          <w:pPr>
            <w:pStyle w:val="HeaderTextLeft"/>
          </w:pPr>
        </w:p>
      </w:tc>
    </w:tr>
    <w:tr w:rsidR="00D0416E">
      <w:tc>
        <w:tcPr>
          <w:tcW w:w="1548" w:type="dxa"/>
        </w:tcPr>
        <w:p w:rsidR="00D0416E" w:rsidRDefault="00D0416E">
          <w:pPr>
            <w:pStyle w:val="HeaderNumberLeft"/>
          </w:pPr>
        </w:p>
      </w:tc>
      <w:tc>
        <w:tcPr>
          <w:tcW w:w="5715" w:type="dxa"/>
        </w:tcPr>
        <w:p w:rsidR="00D0416E" w:rsidRDefault="00D0416E">
          <w:pPr>
            <w:pStyle w:val="HeaderTextLeft"/>
          </w:pP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SectionLeft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Right"/>
            <w:ind w:right="17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5715" w:type="dxa"/>
        </w:tcPr>
        <w:p w:rsidR="00D0416E" w:rsidRDefault="00D0416E">
          <w:pPr>
            <w:pStyle w:val="HeaderTextRight"/>
          </w:pPr>
        </w:p>
      </w:tc>
      <w:tc>
        <w:tcPr>
          <w:tcW w:w="1548" w:type="dxa"/>
        </w:tcPr>
        <w:p w:rsidR="00D0416E" w:rsidRDefault="00D0416E">
          <w:pPr>
            <w:pStyle w:val="HeaderNumberRight"/>
            <w:ind w:right="17"/>
          </w:pPr>
        </w:p>
      </w:tc>
    </w:tr>
    <w:tr w:rsidR="00D0416E">
      <w:tc>
        <w:tcPr>
          <w:tcW w:w="5715" w:type="dxa"/>
        </w:tcPr>
        <w:p w:rsidR="00D0416E" w:rsidRDefault="00D0416E">
          <w:pPr>
            <w:pStyle w:val="HeaderTextRight"/>
          </w:pPr>
        </w:p>
      </w:tc>
      <w:tc>
        <w:tcPr>
          <w:tcW w:w="1548" w:type="dxa"/>
        </w:tcPr>
        <w:p w:rsidR="00D0416E" w:rsidRDefault="00D0416E">
          <w:pPr>
            <w:pStyle w:val="HeaderNumberRight"/>
            <w:ind w:right="17"/>
          </w:pP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SectionRight"/>
            <w:ind w:right="17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Left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1548" w:type="dxa"/>
        </w:tcPr>
        <w:p w:rsidR="00D0416E" w:rsidRDefault="00564B63"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</w:tcPr>
        <w:p w:rsidR="00D0416E" w:rsidRDefault="00564B63"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 w:rsidR="00D0416E">
      <w:tc>
        <w:tcPr>
          <w:tcW w:w="1548" w:type="dxa"/>
        </w:tcPr>
        <w:p w:rsidR="00D0416E" w:rsidRDefault="00564B63"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 w:rsidR="00D0416E" w:rsidRDefault="00564B63"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SectionLeft"/>
          </w:pPr>
          <w:r>
            <w:t xml:space="preserve">r. </w:t>
          </w:r>
          <w:fldSimple w:instr=" styleref CharSectno ">
            <w:r w:rsidR="00BA4023">
              <w:rPr>
                <w:noProof/>
              </w:rPr>
              <w:t>1</w:t>
            </w:r>
          </w:fldSimple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Right"/>
            <w:ind w:right="17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5715" w:type="dxa"/>
        </w:tcPr>
        <w:p w:rsidR="00D0416E" w:rsidRDefault="00564B63"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 w:rsidR="00D0416E" w:rsidRDefault="00564B63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 w:rsidR="00D0416E">
      <w:tc>
        <w:tcPr>
          <w:tcW w:w="5715" w:type="dxa"/>
        </w:tcPr>
        <w:p w:rsidR="00D0416E" w:rsidRDefault="00564B63"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 w:rsidR="00D0416E" w:rsidRDefault="00564B63">
          <w:pPr>
            <w:pStyle w:val="HeaderNumberRight"/>
            <w:ind w:right="17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SectionRight"/>
            <w:ind w:right="17"/>
          </w:pPr>
          <w:r>
            <w:t xml:space="preserve">r. </w:t>
          </w:r>
          <w:fldSimple w:instr=" styleref CharSectno ">
            <w:r w:rsidR="00BA4023">
              <w:rPr>
                <w:noProof/>
              </w:rPr>
              <w:t>1</w:t>
            </w:r>
          </w:fldSimple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6E" w:rsidRDefault="00D0416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 w:rsidR="00D0416E">
      <w:trPr>
        <w:cantSplit/>
      </w:trPr>
      <w:tc>
        <w:tcPr>
          <w:tcW w:w="7258" w:type="dxa"/>
          <w:gridSpan w:val="2"/>
        </w:tcPr>
        <w:p w:rsidR="00D0416E" w:rsidRDefault="00564B63">
          <w:pPr>
            <w:pStyle w:val="HeaderActNameLeft"/>
          </w:pPr>
          <w:fldSimple w:instr=" Styleref &quot;Name of Act/Reg&quot; ">
            <w:r w:rsidR="00BA4023">
              <w:rPr>
                <w:noProof/>
              </w:rPr>
              <w:t>Guardianship and Administration Regulations 2005</w:t>
            </w:r>
          </w:fldSimple>
        </w:p>
      </w:tc>
    </w:tr>
    <w:tr w:rsidR="00D0416E">
      <w:tc>
        <w:tcPr>
          <w:tcW w:w="1548" w:type="dxa"/>
        </w:tcPr>
        <w:p w:rsidR="00D0416E" w:rsidRDefault="00D0416E">
          <w:pPr>
            <w:pStyle w:val="HeaderNumberLeft"/>
          </w:pPr>
        </w:p>
      </w:tc>
      <w:tc>
        <w:tcPr>
          <w:tcW w:w="5715" w:type="dxa"/>
        </w:tcPr>
        <w:p w:rsidR="00D0416E" w:rsidRDefault="00D0416E">
          <w:pPr>
            <w:pStyle w:val="HeaderTextLeft"/>
          </w:pPr>
        </w:p>
      </w:tc>
    </w:tr>
    <w:tr w:rsidR="00D0416E">
      <w:tc>
        <w:tcPr>
          <w:tcW w:w="1548" w:type="dxa"/>
        </w:tcPr>
        <w:p w:rsidR="00D0416E" w:rsidRDefault="00D0416E">
          <w:pPr>
            <w:pStyle w:val="HeaderNumberLeft"/>
          </w:pPr>
        </w:p>
      </w:tc>
      <w:tc>
        <w:tcPr>
          <w:tcW w:w="5715" w:type="dxa"/>
        </w:tcPr>
        <w:p w:rsidR="00D0416E" w:rsidRDefault="00D0416E">
          <w:pPr>
            <w:pStyle w:val="HeaderTextLeft"/>
          </w:pPr>
        </w:p>
      </w:tc>
    </w:tr>
    <w:tr w:rsidR="00D0416E">
      <w:trPr>
        <w:cantSplit/>
      </w:trPr>
      <w:tc>
        <w:tcPr>
          <w:tcW w:w="7258" w:type="dxa"/>
          <w:gridSpan w:val="2"/>
        </w:tcPr>
        <w:p w:rsidR="00D0416E" w:rsidRDefault="00D0416E">
          <w:pPr>
            <w:pStyle w:val="HeaderSectionRight"/>
            <w:ind w:right="17"/>
            <w:jc w:val="left"/>
          </w:pPr>
        </w:p>
      </w:tc>
    </w:tr>
  </w:tbl>
  <w:p w:rsidR="00D0416E" w:rsidRDefault="00D0416E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7A0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24A3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2CF1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DE5A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D645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3825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E5E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886F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0D6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01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BB370D7"/>
    <w:multiLevelType w:val="multilevel"/>
    <w:tmpl w:val="B9D6DF1A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F3C3412"/>
    <w:multiLevelType w:val="multilevel"/>
    <w:tmpl w:val="D78487F2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16880C58"/>
    <w:multiLevelType w:val="multilevel"/>
    <w:tmpl w:val="7226A03A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2FF52EB"/>
    <w:multiLevelType w:val="multilevel"/>
    <w:tmpl w:val="EC6ED420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C2808C0"/>
    <w:multiLevelType w:val="singleLevel"/>
    <w:tmpl w:val="90EEA550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4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6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7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9F82C98"/>
    <w:multiLevelType w:val="multilevel"/>
    <w:tmpl w:val="70E21894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6FDE73CC"/>
    <w:multiLevelType w:val="multilevel"/>
    <w:tmpl w:val="04E64ACC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114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63"/>
    <w:rsid w:val="000B2711"/>
    <w:rsid w:val="00564B63"/>
    <w:rsid w:val="00675E82"/>
    <w:rsid w:val="00BA4023"/>
    <w:rsid w:val="00D0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zTable">
    <w:name w:val="zTable"/>
    <w:basedOn w:val="Normal"/>
    <w:pPr>
      <w:shd w:val="clear" w:color="808080" w:fill="auto"/>
    </w:p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autoRedefine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basedOn w:val="Heading2"/>
    <w:next w:val="Normal"/>
    <w:autoRedefine/>
    <w:semiHidden/>
    <w:pPr>
      <w:keepNext w:val="0"/>
      <w:pageBreakBefore w:val="0"/>
      <w:spacing w:before="120" w:after="60" w:line="240" w:lineRule="auto"/>
      <w:ind w:left="1701" w:right="1134" w:hanging="567"/>
      <w:jc w:val="left"/>
      <w:outlineLvl w:val="9"/>
    </w:pPr>
    <w:rPr>
      <w:snapToGrid/>
      <w:sz w:val="28"/>
    </w:rPr>
  </w:style>
  <w:style w:type="paragraph" w:styleId="TOC3">
    <w:name w:val="toc 3"/>
    <w:basedOn w:val="TOC4"/>
    <w:next w:val="Normal"/>
    <w:autoRedefine/>
    <w:semiHidden/>
    <w:pPr>
      <w:spacing w:before="60" w:after="20"/>
      <w:ind w:left="1701" w:hanging="567"/>
    </w:pPr>
    <w:rPr>
      <w:b/>
    </w:rPr>
  </w:style>
  <w:style w:type="paragraph" w:styleId="TOC4">
    <w:name w:val="toc 4"/>
    <w:basedOn w:val="Heading4"/>
    <w:next w:val="Normal"/>
    <w:autoRedefine/>
    <w:semiHidden/>
    <w:pPr>
      <w:keepNext w:val="0"/>
      <w:tabs>
        <w:tab w:val="left" w:pos="1134"/>
        <w:tab w:val="right" w:pos="6804"/>
      </w:tabs>
      <w:spacing w:before="0"/>
      <w:ind w:left="1135" w:right="1134" w:hanging="851"/>
      <w:jc w:val="left"/>
      <w:outlineLvl w:val="9"/>
    </w:pPr>
    <w:rPr>
      <w:b w:val="0"/>
      <w:sz w:val="22"/>
    </w:rPr>
  </w:style>
  <w:style w:type="paragraph" w:styleId="TOC5">
    <w:name w:val="toc 5"/>
    <w:basedOn w:val="TOC4"/>
    <w:next w:val="Normal"/>
    <w:autoRedefine/>
    <w:semiHidden/>
    <w:pPr>
      <w:tabs>
        <w:tab w:val="left" w:pos="851"/>
        <w:tab w:val="right" w:pos="7088"/>
      </w:tabs>
      <w:spacing w:before="120" w:after="60"/>
      <w:ind w:left="1701" w:hanging="567"/>
    </w:pPr>
    <w:rPr>
      <w:b/>
      <w:sz w:val="28"/>
    </w:rPr>
  </w:style>
  <w:style w:type="paragraph" w:styleId="TOC6">
    <w:name w:val="toc 6"/>
    <w:basedOn w:val="TOC4"/>
    <w:next w:val="Normal"/>
    <w:autoRedefine/>
    <w:semiHidden/>
    <w:pPr>
      <w:spacing w:before="60" w:after="20"/>
      <w:ind w:left="1701" w:hanging="567"/>
    </w:pPr>
    <w:rPr>
      <w:i/>
      <w:sz w:val="24"/>
    </w:rPr>
  </w:style>
  <w:style w:type="paragraph" w:styleId="TOC7">
    <w:name w:val="toc 7"/>
    <w:basedOn w:val="TOC4"/>
    <w:next w:val="Normal"/>
    <w:autoRedefine/>
    <w:semiHidden/>
    <w:pPr>
      <w:spacing w:before="60" w:after="20"/>
      <w:ind w:left="1701" w:hanging="567"/>
    </w:pPr>
  </w:style>
  <w:style w:type="paragraph" w:styleId="TOC8">
    <w:name w:val="toc 8"/>
    <w:basedOn w:val="Normal"/>
    <w:next w:val="Normal"/>
    <w:autoRedefine/>
    <w:semiHidden/>
    <w:pPr>
      <w:ind w:left="1400"/>
    </w:pPr>
    <w:rPr>
      <w:i/>
      <w:sz w:val="18"/>
    </w:rPr>
  </w:style>
  <w:style w:type="paragraph" w:styleId="TOC9">
    <w:name w:val="toc 9"/>
    <w:basedOn w:val="Heading9"/>
    <w:next w:val="Normal"/>
    <w:autoRedefine/>
    <w:semiHidden/>
    <w:pPr>
      <w:keepLines w:val="0"/>
      <w:pageBreakBefore w:val="0"/>
      <w:spacing w:before="0"/>
      <w:ind w:left="1600"/>
      <w:jc w:val="left"/>
      <w:outlineLvl w:val="9"/>
    </w:pPr>
    <w:rPr>
      <w:b w:val="0"/>
      <w:i w:val="0"/>
      <w:kern w:val="0"/>
      <w:sz w:val="18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12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paragraph" w:customStyle="1" w:styleId="yEdnotedefitem">
    <w:name w:val="yEdnote(defitem)"/>
    <w:basedOn w:val="Ednotedefitem"/>
    <w:rPr>
      <w:i w:val="0"/>
      <w:sz w:val="22"/>
    </w:rPr>
  </w:style>
  <w:style w:type="paragraph" w:customStyle="1" w:styleId="yEdnotedefpara">
    <w:name w:val="yEdnote(defpara)"/>
    <w:basedOn w:val="Ednotedefpara"/>
    <w:rPr>
      <w:sz w:val="22"/>
    </w:rPr>
  </w:style>
  <w:style w:type="paragraph" w:customStyle="1" w:styleId="yEdnotedefsubpara">
    <w:name w:val="yEdnote(defsubpara)"/>
    <w:basedOn w:val="Ednotedefsubpara"/>
    <w:rPr>
      <w:i w:val="0"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zTable">
    <w:name w:val="zTable"/>
    <w:basedOn w:val="Normal"/>
    <w:pPr>
      <w:shd w:val="clear" w:color="808080" w:fill="auto"/>
    </w:p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autoRedefine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basedOn w:val="Heading2"/>
    <w:next w:val="Normal"/>
    <w:autoRedefine/>
    <w:semiHidden/>
    <w:pPr>
      <w:keepNext w:val="0"/>
      <w:pageBreakBefore w:val="0"/>
      <w:spacing w:before="120" w:after="60" w:line="240" w:lineRule="auto"/>
      <w:ind w:left="1701" w:right="1134" w:hanging="567"/>
      <w:jc w:val="left"/>
      <w:outlineLvl w:val="9"/>
    </w:pPr>
    <w:rPr>
      <w:snapToGrid/>
      <w:sz w:val="28"/>
    </w:rPr>
  </w:style>
  <w:style w:type="paragraph" w:styleId="TOC3">
    <w:name w:val="toc 3"/>
    <w:basedOn w:val="TOC4"/>
    <w:next w:val="Normal"/>
    <w:autoRedefine/>
    <w:semiHidden/>
    <w:pPr>
      <w:spacing w:before="60" w:after="20"/>
      <w:ind w:left="1701" w:hanging="567"/>
    </w:pPr>
    <w:rPr>
      <w:b/>
    </w:rPr>
  </w:style>
  <w:style w:type="paragraph" w:styleId="TOC4">
    <w:name w:val="toc 4"/>
    <w:basedOn w:val="Heading4"/>
    <w:next w:val="Normal"/>
    <w:autoRedefine/>
    <w:semiHidden/>
    <w:pPr>
      <w:keepNext w:val="0"/>
      <w:tabs>
        <w:tab w:val="left" w:pos="1134"/>
        <w:tab w:val="right" w:pos="6804"/>
      </w:tabs>
      <w:spacing w:before="0"/>
      <w:ind w:left="1135" w:right="1134" w:hanging="851"/>
      <w:jc w:val="left"/>
      <w:outlineLvl w:val="9"/>
    </w:pPr>
    <w:rPr>
      <w:b w:val="0"/>
      <w:sz w:val="22"/>
    </w:rPr>
  </w:style>
  <w:style w:type="paragraph" w:styleId="TOC5">
    <w:name w:val="toc 5"/>
    <w:basedOn w:val="TOC4"/>
    <w:next w:val="Normal"/>
    <w:autoRedefine/>
    <w:semiHidden/>
    <w:pPr>
      <w:tabs>
        <w:tab w:val="left" w:pos="851"/>
        <w:tab w:val="right" w:pos="7088"/>
      </w:tabs>
      <w:spacing w:before="120" w:after="60"/>
      <w:ind w:left="1701" w:hanging="567"/>
    </w:pPr>
    <w:rPr>
      <w:b/>
      <w:sz w:val="28"/>
    </w:rPr>
  </w:style>
  <w:style w:type="paragraph" w:styleId="TOC6">
    <w:name w:val="toc 6"/>
    <w:basedOn w:val="TOC4"/>
    <w:next w:val="Normal"/>
    <w:autoRedefine/>
    <w:semiHidden/>
    <w:pPr>
      <w:spacing w:before="60" w:after="20"/>
      <w:ind w:left="1701" w:hanging="567"/>
    </w:pPr>
    <w:rPr>
      <w:i/>
      <w:sz w:val="24"/>
    </w:rPr>
  </w:style>
  <w:style w:type="paragraph" w:styleId="TOC7">
    <w:name w:val="toc 7"/>
    <w:basedOn w:val="TOC4"/>
    <w:next w:val="Normal"/>
    <w:autoRedefine/>
    <w:semiHidden/>
    <w:pPr>
      <w:spacing w:before="60" w:after="20"/>
      <w:ind w:left="1701" w:hanging="567"/>
    </w:pPr>
  </w:style>
  <w:style w:type="paragraph" w:styleId="TOC8">
    <w:name w:val="toc 8"/>
    <w:basedOn w:val="Normal"/>
    <w:next w:val="Normal"/>
    <w:autoRedefine/>
    <w:semiHidden/>
    <w:pPr>
      <w:ind w:left="1400"/>
    </w:pPr>
    <w:rPr>
      <w:i/>
      <w:sz w:val="18"/>
    </w:rPr>
  </w:style>
  <w:style w:type="paragraph" w:styleId="TOC9">
    <w:name w:val="toc 9"/>
    <w:basedOn w:val="Heading9"/>
    <w:next w:val="Normal"/>
    <w:autoRedefine/>
    <w:semiHidden/>
    <w:pPr>
      <w:keepLines w:val="0"/>
      <w:pageBreakBefore w:val="0"/>
      <w:spacing w:before="0"/>
      <w:ind w:left="1600"/>
      <w:jc w:val="left"/>
      <w:outlineLvl w:val="9"/>
    </w:pPr>
    <w:rPr>
      <w:b w:val="0"/>
      <w:i w:val="0"/>
      <w:kern w:val="0"/>
      <w:sz w:val="18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12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paragraph" w:customStyle="1" w:styleId="yEdnotedefitem">
    <w:name w:val="yEdnote(defitem)"/>
    <w:basedOn w:val="Ednotedefitem"/>
    <w:rPr>
      <w:i w:val="0"/>
      <w:sz w:val="22"/>
    </w:rPr>
  </w:style>
  <w:style w:type="paragraph" w:customStyle="1" w:styleId="yEdnotedefpara">
    <w:name w:val="yEdnote(defpara)"/>
    <w:basedOn w:val="Ednotedefpara"/>
    <w:rPr>
      <w:sz w:val="22"/>
    </w:rPr>
  </w:style>
  <w:style w:type="paragraph" w:customStyle="1" w:styleId="yEdnotedefsubpara">
    <w:name w:val="yEdnote(defsubpara)"/>
    <w:basedOn w:val="Ednotedefsubpara"/>
    <w:rPr>
      <w:i w:val="0"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2768</Characters>
  <Application>Microsoft Office Word</Application>
  <DocSecurity>0</DocSecurity>
  <Lines>98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Drafting Template (Regs)</vt:lpstr>
      <vt:lpstr>    Notes</vt:lpstr>
    </vt:vector>
  </TitlesOfParts>
  <Company>Parliamentary Counsel's Office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Guardianship and Administration Regulations 2005 - 00-a0-06</dc:title>
  <dc:subject>Subsidiary Legislation</dc:subject>
  <dc:creator>Matthew Pether</dc:creator>
  <cp:keywords>Brought into Production 7 June 2002</cp:keywords>
  <dc:description/>
  <cp:lastModifiedBy>svcMRProcess</cp:lastModifiedBy>
  <cp:revision>4</cp:revision>
  <cp:lastPrinted>2005-01-07T08:09:00Z</cp:lastPrinted>
  <dcterms:created xsi:type="dcterms:W3CDTF">2013-02-15T23:54:00Z</dcterms:created>
  <dcterms:modified xsi:type="dcterms:W3CDTF">2013-02-15T23:54:00Z</dcterms:modified>
  <cp:category>Reg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21 Jan 2005 p 268-9</vt:lpwstr>
  </property>
  <property fmtid="{D5CDD505-2E9C-101B-9397-08002B2CF9AE}" pid="3" name="CommencementDate">
    <vt:lpwstr>20050124</vt:lpwstr>
  </property>
  <property fmtid="{D5CDD505-2E9C-101B-9397-08002B2CF9AE}" pid="4" name="DocumentType">
    <vt:lpwstr>Reg</vt:lpwstr>
  </property>
  <property fmtid="{D5CDD505-2E9C-101B-9397-08002B2CF9AE}" pid="5" name="OwlsUID">
    <vt:i4>34057</vt:i4>
  </property>
  <property fmtid="{D5CDD505-2E9C-101B-9397-08002B2CF9AE}" pid="6" name="AsAtDate">
    <vt:lpwstr>24 Jan 2005</vt:lpwstr>
  </property>
  <property fmtid="{D5CDD505-2E9C-101B-9397-08002B2CF9AE}" pid="7" name="Suffix">
    <vt:lpwstr>00-a0-06</vt:lpwstr>
  </property>
</Properties>
</file>