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94" w:rsidRDefault="00465DE0">
      <w:pPr>
        <w:pStyle w:val="WA"/>
      </w:pPr>
      <w:bookmarkStart w:id="0" w:name="UpToHere"/>
      <w:bookmarkStart w:id="1" w:name="_GoBack"/>
      <w:bookmarkEnd w:id="0"/>
      <w:bookmarkEnd w:id="1"/>
      <w:r>
        <w:t>Western Australia</w:t>
      </w:r>
    </w:p>
    <w:p w:rsidR="00602A94" w:rsidRDefault="00465DE0">
      <w:pPr>
        <w:pStyle w:val="NameofActRegPage1"/>
        <w:spacing w:before="3760" w:after="4200"/>
      </w:pPr>
      <w:r>
        <w:fldChar w:fldCharType="begin"/>
      </w:r>
      <w:r>
        <w:instrText xml:space="preserve"> STYLEREF "Name Of Act/Reg"</w:instrText>
      </w:r>
      <w:r>
        <w:fldChar w:fldCharType="separate"/>
      </w:r>
      <w:r w:rsidR="003373C0">
        <w:rPr>
          <w:noProof/>
        </w:rPr>
        <w:t>Agricultural and Veterinary Chemicals (Western Australia) Act 1995</w:t>
      </w:r>
      <w:r>
        <w:fldChar w:fldCharType="end"/>
      </w:r>
    </w:p>
    <w:p w:rsidR="00602A94" w:rsidRDefault="00602A94">
      <w:pPr>
        <w:jc w:val="center"/>
        <w:rPr>
          <w:b/>
        </w:rPr>
        <w:sectPr w:rsidR="00602A9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02A94" w:rsidRDefault="00465DE0">
      <w:pPr>
        <w:pStyle w:val="WA"/>
      </w:pPr>
      <w:r>
        <w:lastRenderedPageBreak/>
        <w:t>Western Australia</w:t>
      </w:r>
    </w:p>
    <w:p w:rsidR="00602A94" w:rsidRDefault="00465DE0">
      <w:pPr>
        <w:pStyle w:val="NameofActRegPage1"/>
      </w:pPr>
      <w:r>
        <w:fldChar w:fldCharType="begin"/>
      </w:r>
      <w:r>
        <w:instrText xml:space="preserve"> STYLEREF "Name Of Act/Reg"</w:instrText>
      </w:r>
      <w:r>
        <w:fldChar w:fldCharType="separate"/>
      </w:r>
      <w:r w:rsidR="003373C0">
        <w:rPr>
          <w:noProof/>
        </w:rPr>
        <w:t>Agricultural and Veterinary Chemicals (Western Australia) Act 1995</w:t>
      </w:r>
      <w:r>
        <w:fldChar w:fldCharType="end"/>
      </w:r>
    </w:p>
    <w:p w:rsidR="00602A94" w:rsidRDefault="00465DE0">
      <w:pPr>
        <w:pStyle w:val="Arrangement"/>
      </w:pPr>
      <w:r>
        <w:t>CONTENTS</w:t>
      </w:r>
    </w:p>
    <w:p w:rsidR="00602A94" w:rsidRDefault="00465DE0">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602A94" w:rsidRDefault="00465DE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_Toc137965209 \h </w:instrText>
      </w:r>
      <w:r>
        <w:fldChar w:fldCharType="separate"/>
      </w:r>
      <w:r w:rsidR="003373C0">
        <w:t>3</w:t>
      </w:r>
      <w:r>
        <w:fldChar w:fldCharType="end"/>
      </w:r>
    </w:p>
    <w:p w:rsidR="00602A94" w:rsidRDefault="00465DE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_Toc137965210 \h </w:instrText>
      </w:r>
      <w:r>
        <w:fldChar w:fldCharType="separate"/>
      </w:r>
      <w:r w:rsidR="003373C0">
        <w:t>3</w:t>
      </w:r>
      <w:r>
        <w:fldChar w:fldCharType="end"/>
      </w:r>
    </w:p>
    <w:p w:rsidR="00602A94" w:rsidRDefault="00465DE0">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_Toc137965211 \h </w:instrText>
      </w:r>
      <w:r>
        <w:fldChar w:fldCharType="separate"/>
      </w:r>
      <w:r w:rsidR="003373C0">
        <w:t>3</w:t>
      </w:r>
      <w:r>
        <w:fldChar w:fldCharType="end"/>
      </w:r>
    </w:p>
    <w:p w:rsidR="00602A94" w:rsidRDefault="00465DE0">
      <w:pPr>
        <w:pStyle w:val="TOC8"/>
        <w:rPr>
          <w:sz w:val="24"/>
          <w:szCs w:val="24"/>
        </w:rPr>
      </w:pPr>
      <w:r>
        <w:rPr>
          <w:szCs w:val="24"/>
        </w:rPr>
        <w:t>4</w:t>
      </w:r>
      <w:r>
        <w:rPr>
          <w:snapToGrid w:val="0"/>
          <w:szCs w:val="24"/>
        </w:rPr>
        <w:t>.</w:t>
      </w:r>
      <w:r>
        <w:rPr>
          <w:snapToGrid w:val="0"/>
          <w:szCs w:val="24"/>
        </w:rPr>
        <w:tab/>
        <w:t>Jervis Bay Territory</w:t>
      </w:r>
      <w:r>
        <w:tab/>
      </w:r>
      <w:r>
        <w:fldChar w:fldCharType="begin"/>
      </w:r>
      <w:r>
        <w:instrText xml:space="preserve"> PAGEREF _Toc137965212 \h </w:instrText>
      </w:r>
      <w:r>
        <w:fldChar w:fldCharType="separate"/>
      </w:r>
      <w:r w:rsidR="003373C0">
        <w:t>6</w:t>
      </w:r>
      <w:r>
        <w:fldChar w:fldCharType="end"/>
      </w:r>
    </w:p>
    <w:p w:rsidR="00602A94" w:rsidRDefault="00465DE0">
      <w:pPr>
        <w:pStyle w:val="TOC2"/>
        <w:tabs>
          <w:tab w:val="right" w:leader="dot" w:pos="7078"/>
        </w:tabs>
        <w:rPr>
          <w:b w:val="0"/>
          <w:sz w:val="24"/>
          <w:szCs w:val="24"/>
        </w:rPr>
      </w:pPr>
      <w:r>
        <w:rPr>
          <w:szCs w:val="30"/>
        </w:rPr>
        <w:t>Part 2 — The Agvet Code, and the Agvet Regulations, of this jurisdiction</w:t>
      </w:r>
    </w:p>
    <w:p w:rsidR="00602A94" w:rsidRDefault="00465DE0">
      <w:pPr>
        <w:pStyle w:val="TOC8"/>
        <w:rPr>
          <w:sz w:val="24"/>
          <w:szCs w:val="24"/>
        </w:rPr>
      </w:pPr>
      <w:r>
        <w:rPr>
          <w:szCs w:val="24"/>
        </w:rPr>
        <w:t>5</w:t>
      </w:r>
      <w:r>
        <w:rPr>
          <w:snapToGrid w:val="0"/>
          <w:szCs w:val="24"/>
        </w:rPr>
        <w:t>.</w:t>
      </w:r>
      <w:r>
        <w:rPr>
          <w:snapToGrid w:val="0"/>
          <w:szCs w:val="24"/>
        </w:rPr>
        <w:tab/>
        <w:t>Application of Agvet Code in this jurisdiction</w:t>
      </w:r>
      <w:r>
        <w:tab/>
      </w:r>
      <w:r>
        <w:fldChar w:fldCharType="begin"/>
      </w:r>
      <w:r>
        <w:instrText xml:space="preserve"> PAGEREF _Toc137965214 \h </w:instrText>
      </w:r>
      <w:r>
        <w:fldChar w:fldCharType="separate"/>
      </w:r>
      <w:r w:rsidR="003373C0">
        <w:t>7</w:t>
      </w:r>
      <w:r>
        <w:fldChar w:fldCharType="end"/>
      </w:r>
    </w:p>
    <w:p w:rsidR="00602A94" w:rsidRDefault="00465DE0">
      <w:pPr>
        <w:pStyle w:val="TOC8"/>
        <w:rPr>
          <w:sz w:val="24"/>
          <w:szCs w:val="24"/>
        </w:rPr>
      </w:pPr>
      <w:r>
        <w:rPr>
          <w:szCs w:val="24"/>
        </w:rPr>
        <w:t>6</w:t>
      </w:r>
      <w:r>
        <w:rPr>
          <w:snapToGrid w:val="0"/>
          <w:szCs w:val="24"/>
        </w:rPr>
        <w:t>.</w:t>
      </w:r>
      <w:r>
        <w:rPr>
          <w:snapToGrid w:val="0"/>
          <w:szCs w:val="24"/>
        </w:rPr>
        <w:tab/>
        <w:t>Application of Agvet Regulations in this jurisdiction</w:t>
      </w:r>
      <w:r>
        <w:tab/>
      </w:r>
      <w:r>
        <w:fldChar w:fldCharType="begin"/>
      </w:r>
      <w:r>
        <w:instrText xml:space="preserve"> PAGEREF _Toc137965215 \h </w:instrText>
      </w:r>
      <w:r>
        <w:fldChar w:fldCharType="separate"/>
      </w:r>
      <w:r w:rsidR="003373C0">
        <w:t>7</w:t>
      </w:r>
      <w:r>
        <w:fldChar w:fldCharType="end"/>
      </w:r>
    </w:p>
    <w:p w:rsidR="00602A94" w:rsidRDefault="00465DE0">
      <w:pPr>
        <w:pStyle w:val="TOC8"/>
        <w:rPr>
          <w:sz w:val="24"/>
          <w:szCs w:val="24"/>
        </w:rPr>
      </w:pPr>
      <w:r>
        <w:rPr>
          <w:szCs w:val="24"/>
        </w:rPr>
        <w:t>7</w:t>
      </w:r>
      <w:r>
        <w:rPr>
          <w:snapToGrid w:val="0"/>
          <w:szCs w:val="24"/>
        </w:rPr>
        <w:t>.</w:t>
      </w:r>
      <w:r>
        <w:rPr>
          <w:snapToGrid w:val="0"/>
          <w:szCs w:val="24"/>
        </w:rPr>
        <w:tab/>
        <w:t>Interpretation of Agvet Code and Agvet Regulations of this jurisdiction</w:t>
      </w:r>
      <w:r>
        <w:tab/>
      </w:r>
      <w:r>
        <w:fldChar w:fldCharType="begin"/>
      </w:r>
      <w:r>
        <w:instrText xml:space="preserve"> PAGEREF _Toc137965216 \h </w:instrText>
      </w:r>
      <w:r>
        <w:fldChar w:fldCharType="separate"/>
      </w:r>
      <w:r w:rsidR="003373C0">
        <w:t>7</w:t>
      </w:r>
      <w:r>
        <w:fldChar w:fldCharType="end"/>
      </w:r>
    </w:p>
    <w:p w:rsidR="00602A94" w:rsidRDefault="00465DE0">
      <w:pPr>
        <w:pStyle w:val="TOC8"/>
        <w:rPr>
          <w:sz w:val="24"/>
          <w:szCs w:val="24"/>
        </w:rPr>
      </w:pPr>
      <w:r>
        <w:rPr>
          <w:szCs w:val="24"/>
        </w:rPr>
        <w:t>8</w:t>
      </w:r>
      <w:r>
        <w:rPr>
          <w:snapToGrid w:val="0"/>
          <w:szCs w:val="24"/>
        </w:rPr>
        <w:t>.</w:t>
      </w:r>
      <w:r>
        <w:rPr>
          <w:snapToGrid w:val="0"/>
          <w:szCs w:val="24"/>
        </w:rPr>
        <w:tab/>
        <w:t>Ancillary offences (parties to offences, attempts, incitement or conspiracy)</w:t>
      </w:r>
      <w:r>
        <w:tab/>
      </w:r>
      <w:r>
        <w:fldChar w:fldCharType="begin"/>
      </w:r>
      <w:r>
        <w:instrText xml:space="preserve"> PAGEREF _Toc137965217 \h </w:instrText>
      </w:r>
      <w:r>
        <w:fldChar w:fldCharType="separate"/>
      </w:r>
      <w:r w:rsidR="003373C0">
        <w:t>8</w:t>
      </w:r>
      <w:r>
        <w:fldChar w:fldCharType="end"/>
      </w:r>
    </w:p>
    <w:p w:rsidR="00602A94" w:rsidRDefault="00465DE0">
      <w:pPr>
        <w:pStyle w:val="TOC2"/>
        <w:tabs>
          <w:tab w:val="right" w:leader="dot" w:pos="7078"/>
        </w:tabs>
        <w:rPr>
          <w:b w:val="0"/>
          <w:sz w:val="24"/>
          <w:szCs w:val="24"/>
        </w:rPr>
      </w:pPr>
      <w:r>
        <w:rPr>
          <w:szCs w:val="30"/>
        </w:rPr>
        <w:t>Part 3 — Citing the Agvet Codes, and the Agvet Regulations, of other jurisdictions</w:t>
      </w:r>
    </w:p>
    <w:p w:rsidR="00602A94" w:rsidRDefault="00465DE0">
      <w:pPr>
        <w:pStyle w:val="TOC8"/>
        <w:rPr>
          <w:sz w:val="24"/>
          <w:szCs w:val="24"/>
        </w:rPr>
      </w:pPr>
      <w:r>
        <w:rPr>
          <w:szCs w:val="24"/>
        </w:rPr>
        <w:t>9</w:t>
      </w:r>
      <w:r>
        <w:rPr>
          <w:snapToGrid w:val="0"/>
          <w:szCs w:val="24"/>
        </w:rPr>
        <w:t>.</w:t>
      </w:r>
      <w:r>
        <w:rPr>
          <w:snapToGrid w:val="0"/>
          <w:szCs w:val="24"/>
        </w:rPr>
        <w:tab/>
        <w:t>References to Agvet Codes and Agvet Regulations of other jurisdictions</w:t>
      </w:r>
      <w:r>
        <w:tab/>
      </w:r>
      <w:r>
        <w:fldChar w:fldCharType="begin"/>
      </w:r>
      <w:r>
        <w:instrText xml:space="preserve"> PAGEREF _Toc137965219 \h </w:instrText>
      </w:r>
      <w:r>
        <w:fldChar w:fldCharType="separate"/>
      </w:r>
      <w:r w:rsidR="003373C0">
        <w:t>10</w:t>
      </w:r>
      <w:r>
        <w:fldChar w:fldCharType="end"/>
      </w:r>
    </w:p>
    <w:p w:rsidR="00602A94" w:rsidRDefault="00465DE0">
      <w:pPr>
        <w:pStyle w:val="TOC8"/>
        <w:rPr>
          <w:sz w:val="24"/>
          <w:szCs w:val="24"/>
        </w:rPr>
      </w:pPr>
      <w:r>
        <w:rPr>
          <w:szCs w:val="24"/>
        </w:rPr>
        <w:t>10</w:t>
      </w:r>
      <w:r>
        <w:rPr>
          <w:snapToGrid w:val="0"/>
          <w:szCs w:val="24"/>
        </w:rPr>
        <w:t>.</w:t>
      </w:r>
      <w:r>
        <w:rPr>
          <w:snapToGrid w:val="0"/>
          <w:szCs w:val="24"/>
        </w:rPr>
        <w:tab/>
        <w:t>References to Agvet Codes and Agvet Regulations</w:t>
      </w:r>
      <w:r>
        <w:tab/>
      </w:r>
      <w:r>
        <w:fldChar w:fldCharType="begin"/>
      </w:r>
      <w:r>
        <w:instrText xml:space="preserve"> PAGEREF _Toc137965220 \h </w:instrText>
      </w:r>
      <w:r>
        <w:fldChar w:fldCharType="separate"/>
      </w:r>
      <w:r w:rsidR="003373C0">
        <w:t>10</w:t>
      </w:r>
      <w:r>
        <w:fldChar w:fldCharType="end"/>
      </w:r>
    </w:p>
    <w:p w:rsidR="00602A94" w:rsidRDefault="00465DE0">
      <w:pPr>
        <w:pStyle w:val="TOC2"/>
        <w:tabs>
          <w:tab w:val="right" w:leader="dot" w:pos="7078"/>
        </w:tabs>
        <w:rPr>
          <w:b w:val="0"/>
          <w:sz w:val="24"/>
          <w:szCs w:val="24"/>
        </w:rPr>
      </w:pPr>
      <w:r>
        <w:rPr>
          <w:szCs w:val="30"/>
        </w:rPr>
        <w:t>Part 4 — Application of Agvet Codes to the Crown</w:t>
      </w:r>
    </w:p>
    <w:p w:rsidR="00602A94" w:rsidRDefault="00465DE0">
      <w:pPr>
        <w:pStyle w:val="TOC8"/>
        <w:rPr>
          <w:sz w:val="24"/>
          <w:szCs w:val="24"/>
        </w:rPr>
      </w:pPr>
      <w:r>
        <w:rPr>
          <w:szCs w:val="24"/>
        </w:rPr>
        <w:t>11</w:t>
      </w:r>
      <w:r>
        <w:rPr>
          <w:snapToGrid w:val="0"/>
          <w:szCs w:val="24"/>
        </w:rPr>
        <w:t>.</w:t>
      </w:r>
      <w:r>
        <w:rPr>
          <w:snapToGrid w:val="0"/>
          <w:szCs w:val="24"/>
        </w:rPr>
        <w:tab/>
        <w:t>Agvet Code of this jurisdiction binds the Crown</w:t>
      </w:r>
      <w:r>
        <w:tab/>
      </w:r>
      <w:r>
        <w:fldChar w:fldCharType="begin"/>
      </w:r>
      <w:r>
        <w:instrText xml:space="preserve"> PAGEREF _Toc137965222 \h </w:instrText>
      </w:r>
      <w:r>
        <w:fldChar w:fldCharType="separate"/>
      </w:r>
      <w:r w:rsidR="003373C0">
        <w:t>12</w:t>
      </w:r>
      <w:r>
        <w:fldChar w:fldCharType="end"/>
      </w:r>
    </w:p>
    <w:p w:rsidR="00602A94" w:rsidRDefault="00465DE0">
      <w:pPr>
        <w:pStyle w:val="TOC8"/>
        <w:rPr>
          <w:sz w:val="24"/>
          <w:szCs w:val="24"/>
        </w:rPr>
      </w:pPr>
      <w:r>
        <w:rPr>
          <w:szCs w:val="24"/>
        </w:rPr>
        <w:t>12</w:t>
      </w:r>
      <w:r>
        <w:rPr>
          <w:snapToGrid w:val="0"/>
          <w:szCs w:val="24"/>
        </w:rPr>
        <w:t>.</w:t>
      </w:r>
      <w:r>
        <w:rPr>
          <w:snapToGrid w:val="0"/>
          <w:szCs w:val="24"/>
        </w:rPr>
        <w:tab/>
        <w:t>Agvet Code of other jurisdictions</w:t>
      </w:r>
      <w:r>
        <w:tab/>
      </w:r>
      <w:r>
        <w:fldChar w:fldCharType="begin"/>
      </w:r>
      <w:r>
        <w:instrText xml:space="preserve"> PAGEREF _Toc137965223 \h </w:instrText>
      </w:r>
      <w:r>
        <w:fldChar w:fldCharType="separate"/>
      </w:r>
      <w:r w:rsidR="003373C0">
        <w:t>12</w:t>
      </w:r>
      <w:r>
        <w:fldChar w:fldCharType="end"/>
      </w:r>
    </w:p>
    <w:p w:rsidR="00602A94" w:rsidRDefault="00465DE0">
      <w:pPr>
        <w:pStyle w:val="TOC8"/>
        <w:rPr>
          <w:sz w:val="24"/>
          <w:szCs w:val="24"/>
        </w:rPr>
      </w:pPr>
      <w:r>
        <w:rPr>
          <w:szCs w:val="24"/>
        </w:rPr>
        <w:t>13</w:t>
      </w:r>
      <w:r>
        <w:rPr>
          <w:snapToGrid w:val="0"/>
          <w:szCs w:val="24"/>
        </w:rPr>
        <w:t>.</w:t>
      </w:r>
      <w:r>
        <w:rPr>
          <w:snapToGrid w:val="0"/>
          <w:szCs w:val="24"/>
        </w:rPr>
        <w:tab/>
        <w:t>Crown not liable to prosecution</w:t>
      </w:r>
      <w:r>
        <w:tab/>
      </w:r>
      <w:r>
        <w:fldChar w:fldCharType="begin"/>
      </w:r>
      <w:r>
        <w:instrText xml:space="preserve"> PAGEREF _Toc137965224 \h </w:instrText>
      </w:r>
      <w:r>
        <w:fldChar w:fldCharType="separate"/>
      </w:r>
      <w:r w:rsidR="003373C0">
        <w:t>12</w:t>
      </w:r>
      <w:r>
        <w:fldChar w:fldCharType="end"/>
      </w:r>
    </w:p>
    <w:p w:rsidR="00602A94" w:rsidRDefault="00465DE0">
      <w:pPr>
        <w:pStyle w:val="TOC8"/>
        <w:rPr>
          <w:sz w:val="24"/>
          <w:szCs w:val="24"/>
        </w:rPr>
      </w:pPr>
      <w:r>
        <w:rPr>
          <w:szCs w:val="24"/>
        </w:rPr>
        <w:t>14</w:t>
      </w:r>
      <w:r>
        <w:rPr>
          <w:snapToGrid w:val="0"/>
          <w:szCs w:val="24"/>
        </w:rPr>
        <w:t>.</w:t>
      </w:r>
      <w:r>
        <w:rPr>
          <w:snapToGrid w:val="0"/>
          <w:szCs w:val="24"/>
        </w:rPr>
        <w:tab/>
        <w:t>This Part overrides the prerogative</w:t>
      </w:r>
      <w:r>
        <w:tab/>
      </w:r>
      <w:r>
        <w:fldChar w:fldCharType="begin"/>
      </w:r>
      <w:r>
        <w:instrText xml:space="preserve"> PAGEREF _Toc137965225 \h </w:instrText>
      </w:r>
      <w:r>
        <w:fldChar w:fldCharType="separate"/>
      </w:r>
      <w:r w:rsidR="003373C0">
        <w:t>12</w:t>
      </w:r>
      <w:r>
        <w:fldChar w:fldCharType="end"/>
      </w:r>
    </w:p>
    <w:p w:rsidR="00602A94" w:rsidRDefault="00465DE0">
      <w:pPr>
        <w:pStyle w:val="TOC2"/>
        <w:tabs>
          <w:tab w:val="right" w:leader="dot" w:pos="7078"/>
        </w:tabs>
        <w:rPr>
          <w:b w:val="0"/>
          <w:sz w:val="24"/>
          <w:szCs w:val="24"/>
        </w:rPr>
      </w:pPr>
      <w:r>
        <w:rPr>
          <w:szCs w:val="30"/>
        </w:rPr>
        <w:t>Part 5 — Application of Commonwealth administrative laws to the Agvet Code and Agvet Regulations of this jurisdiction</w:t>
      </w:r>
    </w:p>
    <w:p w:rsidR="00602A94" w:rsidRDefault="00465DE0">
      <w:pPr>
        <w:pStyle w:val="TOC8"/>
        <w:rPr>
          <w:sz w:val="24"/>
          <w:szCs w:val="24"/>
        </w:rPr>
      </w:pPr>
      <w:r>
        <w:rPr>
          <w:szCs w:val="24"/>
        </w:rPr>
        <w:t>15.</w:t>
      </w:r>
      <w:r>
        <w:rPr>
          <w:szCs w:val="24"/>
        </w:rPr>
        <w:tab/>
        <w:t>Object</w:t>
      </w:r>
      <w:r>
        <w:tab/>
      </w:r>
      <w:r>
        <w:fldChar w:fldCharType="begin"/>
      </w:r>
      <w:r>
        <w:instrText xml:space="preserve"> PAGEREF _Toc137965227 \h </w:instrText>
      </w:r>
      <w:r>
        <w:fldChar w:fldCharType="separate"/>
      </w:r>
      <w:r w:rsidR="003373C0">
        <w:t>13</w:t>
      </w:r>
      <w:r>
        <w:fldChar w:fldCharType="end"/>
      </w:r>
    </w:p>
    <w:p w:rsidR="00602A94" w:rsidRDefault="00465DE0">
      <w:pPr>
        <w:pStyle w:val="TOC8"/>
        <w:rPr>
          <w:sz w:val="24"/>
          <w:szCs w:val="24"/>
        </w:rPr>
      </w:pPr>
      <w:r>
        <w:rPr>
          <w:szCs w:val="24"/>
        </w:rPr>
        <w:t>16.</w:t>
      </w:r>
      <w:r>
        <w:rPr>
          <w:szCs w:val="24"/>
        </w:rPr>
        <w:tab/>
        <w:t>Application of Commonwealth administrative laws in relation to applicable provisions</w:t>
      </w:r>
      <w:r>
        <w:tab/>
      </w:r>
      <w:r>
        <w:fldChar w:fldCharType="begin"/>
      </w:r>
      <w:r>
        <w:instrText xml:space="preserve"> PAGEREF _Toc137965228 \h </w:instrText>
      </w:r>
      <w:r>
        <w:fldChar w:fldCharType="separate"/>
      </w:r>
      <w:r w:rsidR="003373C0">
        <w:t>13</w:t>
      </w:r>
      <w:r>
        <w:fldChar w:fldCharType="end"/>
      </w:r>
    </w:p>
    <w:p w:rsidR="00602A94" w:rsidRDefault="00465DE0">
      <w:pPr>
        <w:pStyle w:val="TOC8"/>
        <w:rPr>
          <w:sz w:val="24"/>
          <w:szCs w:val="24"/>
        </w:rPr>
      </w:pPr>
      <w:r>
        <w:rPr>
          <w:szCs w:val="24"/>
        </w:rPr>
        <w:t>17.</w:t>
      </w:r>
      <w:r>
        <w:rPr>
          <w:szCs w:val="24"/>
        </w:rPr>
        <w:tab/>
        <w:t>Duties, functions and powers conferred on Commonwealth officers and authorities</w:t>
      </w:r>
      <w:r>
        <w:tab/>
      </w:r>
      <w:r>
        <w:fldChar w:fldCharType="begin"/>
      </w:r>
      <w:r>
        <w:instrText xml:space="preserve"> PAGEREF _Toc137965229 \h </w:instrText>
      </w:r>
      <w:r>
        <w:fldChar w:fldCharType="separate"/>
      </w:r>
      <w:r w:rsidR="003373C0">
        <w:t>14</w:t>
      </w:r>
      <w:r>
        <w:fldChar w:fldCharType="end"/>
      </w:r>
    </w:p>
    <w:p w:rsidR="00602A94" w:rsidRDefault="00465DE0">
      <w:pPr>
        <w:pStyle w:val="TOC8"/>
        <w:rPr>
          <w:sz w:val="24"/>
          <w:szCs w:val="24"/>
        </w:rPr>
      </w:pPr>
      <w:r>
        <w:rPr>
          <w:szCs w:val="24"/>
        </w:rPr>
        <w:t>18.</w:t>
      </w:r>
      <w:r>
        <w:rPr>
          <w:szCs w:val="24"/>
        </w:rPr>
        <w:tab/>
        <w:t>Reference in Commonwealth administrative law to a provision of another law</w:t>
      </w:r>
      <w:r>
        <w:tab/>
      </w:r>
      <w:r>
        <w:fldChar w:fldCharType="begin"/>
      </w:r>
      <w:r>
        <w:instrText xml:space="preserve"> PAGEREF _Toc137965230 \h </w:instrText>
      </w:r>
      <w:r>
        <w:fldChar w:fldCharType="separate"/>
      </w:r>
      <w:r w:rsidR="003373C0">
        <w:t>14</w:t>
      </w:r>
      <w:r>
        <w:fldChar w:fldCharType="end"/>
      </w:r>
    </w:p>
    <w:p w:rsidR="00602A94" w:rsidRDefault="00465DE0">
      <w:pPr>
        <w:pStyle w:val="TOC8"/>
        <w:rPr>
          <w:sz w:val="24"/>
          <w:szCs w:val="24"/>
        </w:rPr>
      </w:pPr>
      <w:r>
        <w:rPr>
          <w:szCs w:val="24"/>
        </w:rPr>
        <w:t>18A.</w:t>
      </w:r>
      <w:r>
        <w:rPr>
          <w:szCs w:val="24"/>
        </w:rPr>
        <w:tab/>
        <w:t>Construction of references to Part IVA of Commonwealth AAT Act</w:t>
      </w:r>
      <w:r>
        <w:tab/>
      </w:r>
      <w:r>
        <w:fldChar w:fldCharType="begin"/>
      </w:r>
      <w:r>
        <w:instrText xml:space="preserve"> PAGEREF _Toc137965231 \h </w:instrText>
      </w:r>
      <w:r>
        <w:fldChar w:fldCharType="separate"/>
      </w:r>
      <w:r w:rsidR="003373C0">
        <w:t>14</w:t>
      </w:r>
      <w:r>
        <w:fldChar w:fldCharType="end"/>
      </w:r>
    </w:p>
    <w:p w:rsidR="00602A94" w:rsidRDefault="00465DE0">
      <w:pPr>
        <w:pStyle w:val="TOC2"/>
        <w:tabs>
          <w:tab w:val="right" w:leader="dot" w:pos="7078"/>
        </w:tabs>
        <w:rPr>
          <w:b w:val="0"/>
          <w:sz w:val="24"/>
          <w:szCs w:val="24"/>
        </w:rPr>
      </w:pPr>
      <w:r>
        <w:rPr>
          <w:szCs w:val="30"/>
        </w:rPr>
        <w:t>Part 7 — The National Registration Authority for Agricultural and Veterinary Chemicals</w:t>
      </w:r>
    </w:p>
    <w:p w:rsidR="00602A94" w:rsidRDefault="00465DE0">
      <w:pPr>
        <w:pStyle w:val="TOC8"/>
        <w:rPr>
          <w:sz w:val="24"/>
          <w:szCs w:val="24"/>
        </w:rPr>
      </w:pPr>
      <w:r>
        <w:rPr>
          <w:szCs w:val="24"/>
        </w:rPr>
        <w:t>21</w:t>
      </w:r>
      <w:r>
        <w:rPr>
          <w:snapToGrid w:val="0"/>
          <w:szCs w:val="24"/>
        </w:rPr>
        <w:t>.</w:t>
      </w:r>
      <w:r>
        <w:rPr>
          <w:snapToGrid w:val="0"/>
          <w:szCs w:val="24"/>
        </w:rPr>
        <w:tab/>
        <w:t>Conferral of functions and powers on NRA</w:t>
      </w:r>
      <w:r>
        <w:tab/>
      </w:r>
      <w:r>
        <w:fldChar w:fldCharType="begin"/>
      </w:r>
      <w:r>
        <w:instrText xml:space="preserve"> PAGEREF _Toc137965233 \h </w:instrText>
      </w:r>
      <w:r>
        <w:fldChar w:fldCharType="separate"/>
      </w:r>
      <w:r w:rsidR="003373C0">
        <w:t>16</w:t>
      </w:r>
      <w:r>
        <w:fldChar w:fldCharType="end"/>
      </w:r>
    </w:p>
    <w:p w:rsidR="00602A94" w:rsidRDefault="00465DE0">
      <w:pPr>
        <w:pStyle w:val="TOC8"/>
        <w:rPr>
          <w:sz w:val="24"/>
          <w:szCs w:val="24"/>
        </w:rPr>
      </w:pPr>
      <w:r>
        <w:rPr>
          <w:szCs w:val="24"/>
        </w:rPr>
        <w:t>22</w:t>
      </w:r>
      <w:r>
        <w:rPr>
          <w:snapToGrid w:val="0"/>
          <w:szCs w:val="24"/>
        </w:rPr>
        <w:t>.</w:t>
      </w:r>
      <w:r>
        <w:rPr>
          <w:snapToGrid w:val="0"/>
          <w:szCs w:val="24"/>
        </w:rPr>
        <w:tab/>
        <w:t>Agreements and arrangements</w:t>
      </w:r>
      <w:r>
        <w:tab/>
      </w:r>
      <w:r>
        <w:fldChar w:fldCharType="begin"/>
      </w:r>
      <w:r>
        <w:instrText xml:space="preserve"> PAGEREF _Toc137965234 \h </w:instrText>
      </w:r>
      <w:r>
        <w:fldChar w:fldCharType="separate"/>
      </w:r>
      <w:r w:rsidR="003373C0">
        <w:t>16</w:t>
      </w:r>
      <w:r>
        <w:fldChar w:fldCharType="end"/>
      </w:r>
    </w:p>
    <w:p w:rsidR="00602A94" w:rsidRDefault="00465DE0">
      <w:pPr>
        <w:pStyle w:val="TOC8"/>
        <w:rPr>
          <w:sz w:val="24"/>
          <w:szCs w:val="24"/>
        </w:rPr>
      </w:pPr>
      <w:r>
        <w:rPr>
          <w:szCs w:val="24"/>
        </w:rPr>
        <w:t>23</w:t>
      </w:r>
      <w:r>
        <w:rPr>
          <w:snapToGrid w:val="0"/>
          <w:szCs w:val="24"/>
        </w:rPr>
        <w:t>.</w:t>
      </w:r>
      <w:r>
        <w:rPr>
          <w:snapToGrid w:val="0"/>
          <w:szCs w:val="24"/>
        </w:rPr>
        <w:tab/>
        <w:t>Conferral of other functions and powers for purposes of law in this jurisdiction</w:t>
      </w:r>
      <w:r>
        <w:tab/>
      </w:r>
      <w:r>
        <w:fldChar w:fldCharType="begin"/>
      </w:r>
      <w:r>
        <w:instrText xml:space="preserve"> PAGEREF _Toc137965235 \h </w:instrText>
      </w:r>
      <w:r>
        <w:fldChar w:fldCharType="separate"/>
      </w:r>
      <w:r w:rsidR="003373C0">
        <w:t>16</w:t>
      </w:r>
      <w:r>
        <w:fldChar w:fldCharType="end"/>
      </w:r>
    </w:p>
    <w:p w:rsidR="00602A94" w:rsidRDefault="00465DE0">
      <w:pPr>
        <w:pStyle w:val="TOC8"/>
        <w:rPr>
          <w:sz w:val="24"/>
          <w:szCs w:val="24"/>
        </w:rPr>
      </w:pPr>
      <w:r>
        <w:rPr>
          <w:szCs w:val="24"/>
        </w:rPr>
        <w:t>24</w:t>
      </w:r>
      <w:r>
        <w:rPr>
          <w:snapToGrid w:val="0"/>
          <w:szCs w:val="24"/>
        </w:rPr>
        <w:t>.</w:t>
      </w:r>
      <w:r>
        <w:rPr>
          <w:snapToGrid w:val="0"/>
          <w:szCs w:val="24"/>
        </w:rPr>
        <w:tab/>
        <w:t>Commonwealth Minister may give directions in exceptional circumstances</w:t>
      </w:r>
      <w:r>
        <w:tab/>
      </w:r>
      <w:r>
        <w:fldChar w:fldCharType="begin"/>
      </w:r>
      <w:r>
        <w:instrText xml:space="preserve"> PAGEREF _Toc137965236 \h </w:instrText>
      </w:r>
      <w:r>
        <w:fldChar w:fldCharType="separate"/>
      </w:r>
      <w:r w:rsidR="003373C0">
        <w:t>17</w:t>
      </w:r>
      <w:r>
        <w:fldChar w:fldCharType="end"/>
      </w:r>
    </w:p>
    <w:p w:rsidR="00602A94" w:rsidRDefault="00465DE0">
      <w:pPr>
        <w:pStyle w:val="TOC2"/>
        <w:tabs>
          <w:tab w:val="right" w:leader="dot" w:pos="7078"/>
        </w:tabs>
        <w:rPr>
          <w:b w:val="0"/>
          <w:sz w:val="24"/>
          <w:szCs w:val="24"/>
        </w:rPr>
      </w:pPr>
      <w:r>
        <w:rPr>
          <w:szCs w:val="30"/>
        </w:rPr>
        <w:t>Part 8 — Miscellaneous</w:t>
      </w:r>
    </w:p>
    <w:p w:rsidR="00602A94" w:rsidRDefault="00465DE0">
      <w:pPr>
        <w:pStyle w:val="TOC8"/>
        <w:rPr>
          <w:sz w:val="24"/>
          <w:szCs w:val="24"/>
        </w:rPr>
      </w:pPr>
      <w:r>
        <w:rPr>
          <w:szCs w:val="24"/>
        </w:rPr>
        <w:t>25</w:t>
      </w:r>
      <w:r>
        <w:rPr>
          <w:snapToGrid w:val="0"/>
          <w:szCs w:val="24"/>
        </w:rPr>
        <w:t>.</w:t>
      </w:r>
      <w:r>
        <w:rPr>
          <w:snapToGrid w:val="0"/>
          <w:szCs w:val="24"/>
        </w:rPr>
        <w:tab/>
        <w:t>Orders</w:t>
      </w:r>
      <w:r>
        <w:tab/>
      </w:r>
      <w:r>
        <w:fldChar w:fldCharType="begin"/>
      </w:r>
      <w:r>
        <w:instrText xml:space="preserve"> PAGEREF _Toc137965238 \h </w:instrText>
      </w:r>
      <w:r>
        <w:fldChar w:fldCharType="separate"/>
      </w:r>
      <w:r w:rsidR="003373C0">
        <w:t>18</w:t>
      </w:r>
      <w:r>
        <w:fldChar w:fldCharType="end"/>
      </w:r>
    </w:p>
    <w:p w:rsidR="00602A94" w:rsidRDefault="00465DE0">
      <w:pPr>
        <w:pStyle w:val="TOC8"/>
        <w:rPr>
          <w:sz w:val="24"/>
          <w:szCs w:val="24"/>
        </w:rPr>
      </w:pPr>
      <w:r>
        <w:rPr>
          <w:szCs w:val="24"/>
        </w:rPr>
        <w:t>26</w:t>
      </w:r>
      <w:r>
        <w:rPr>
          <w:snapToGrid w:val="0"/>
          <w:szCs w:val="24"/>
        </w:rPr>
        <w:t>.</w:t>
      </w:r>
      <w:r>
        <w:rPr>
          <w:snapToGrid w:val="0"/>
          <w:szCs w:val="24"/>
        </w:rPr>
        <w:tab/>
        <w:t>Manufacturing principles</w:t>
      </w:r>
      <w:r>
        <w:tab/>
      </w:r>
      <w:r>
        <w:fldChar w:fldCharType="begin"/>
      </w:r>
      <w:r>
        <w:instrText xml:space="preserve"> PAGEREF _Toc137965239 \h </w:instrText>
      </w:r>
      <w:r>
        <w:fldChar w:fldCharType="separate"/>
      </w:r>
      <w:r w:rsidR="003373C0">
        <w:t>18</w:t>
      </w:r>
      <w:r>
        <w:fldChar w:fldCharType="end"/>
      </w:r>
    </w:p>
    <w:p w:rsidR="00602A94" w:rsidRDefault="00465DE0">
      <w:pPr>
        <w:pStyle w:val="TOC8"/>
        <w:rPr>
          <w:sz w:val="24"/>
          <w:szCs w:val="24"/>
        </w:rPr>
      </w:pPr>
      <w:r>
        <w:rPr>
          <w:szCs w:val="24"/>
        </w:rPr>
        <w:t>27</w:t>
      </w:r>
      <w:r>
        <w:rPr>
          <w:snapToGrid w:val="0"/>
          <w:szCs w:val="24"/>
        </w:rPr>
        <w:t>.</w:t>
      </w:r>
      <w:r>
        <w:rPr>
          <w:snapToGrid w:val="0"/>
          <w:szCs w:val="24"/>
        </w:rPr>
        <w:tab/>
        <w:t>Delegation</w:t>
      </w:r>
      <w:r>
        <w:tab/>
      </w:r>
      <w:r>
        <w:fldChar w:fldCharType="begin"/>
      </w:r>
      <w:r>
        <w:instrText xml:space="preserve"> PAGEREF _Toc137965240 \h </w:instrText>
      </w:r>
      <w:r>
        <w:fldChar w:fldCharType="separate"/>
      </w:r>
      <w:r w:rsidR="003373C0">
        <w:t>18</w:t>
      </w:r>
      <w:r>
        <w:fldChar w:fldCharType="end"/>
      </w:r>
    </w:p>
    <w:p w:rsidR="00602A94" w:rsidRDefault="00465DE0">
      <w:pPr>
        <w:pStyle w:val="TOC8"/>
        <w:rPr>
          <w:sz w:val="24"/>
          <w:szCs w:val="24"/>
        </w:rPr>
      </w:pPr>
      <w:r>
        <w:rPr>
          <w:szCs w:val="24"/>
        </w:rPr>
        <w:t>28</w:t>
      </w:r>
      <w:r>
        <w:rPr>
          <w:snapToGrid w:val="0"/>
          <w:szCs w:val="24"/>
        </w:rPr>
        <w:t>.</w:t>
      </w:r>
      <w:r>
        <w:rPr>
          <w:snapToGrid w:val="0"/>
          <w:szCs w:val="24"/>
        </w:rPr>
        <w:tab/>
        <w:t>Conferral of powers on State officers</w:t>
      </w:r>
      <w:r>
        <w:tab/>
      </w:r>
      <w:r>
        <w:fldChar w:fldCharType="begin"/>
      </w:r>
      <w:r>
        <w:instrText xml:space="preserve"> PAGEREF _Toc137965241 \h </w:instrText>
      </w:r>
      <w:r>
        <w:fldChar w:fldCharType="separate"/>
      </w:r>
      <w:r w:rsidR="003373C0">
        <w:t>18</w:t>
      </w:r>
      <w:r>
        <w:fldChar w:fldCharType="end"/>
      </w:r>
    </w:p>
    <w:p w:rsidR="00602A94" w:rsidRDefault="00465DE0">
      <w:pPr>
        <w:pStyle w:val="TOC8"/>
        <w:rPr>
          <w:sz w:val="24"/>
          <w:szCs w:val="24"/>
        </w:rPr>
      </w:pPr>
      <w:r>
        <w:rPr>
          <w:szCs w:val="24"/>
        </w:rPr>
        <w:t>28A.</w:t>
      </w:r>
      <w:r>
        <w:rPr>
          <w:szCs w:val="24"/>
        </w:rPr>
        <w:tab/>
        <w:t>Inspectors and analysts</w:t>
      </w:r>
      <w:r>
        <w:tab/>
      </w:r>
      <w:r>
        <w:fldChar w:fldCharType="begin"/>
      </w:r>
      <w:r>
        <w:instrText xml:space="preserve"> PAGEREF _Toc137965242 \h </w:instrText>
      </w:r>
      <w:r>
        <w:fldChar w:fldCharType="separate"/>
      </w:r>
      <w:r w:rsidR="003373C0">
        <w:t>19</w:t>
      </w:r>
      <w:r>
        <w:fldChar w:fldCharType="end"/>
      </w:r>
    </w:p>
    <w:p w:rsidR="00602A94" w:rsidRDefault="00465DE0">
      <w:pPr>
        <w:pStyle w:val="TOC8"/>
        <w:rPr>
          <w:sz w:val="24"/>
          <w:szCs w:val="24"/>
        </w:rPr>
      </w:pPr>
      <w:r>
        <w:rPr>
          <w:szCs w:val="24"/>
        </w:rPr>
        <w:t>28B.</w:t>
      </w:r>
      <w:r>
        <w:rPr>
          <w:szCs w:val="24"/>
        </w:rPr>
        <w:tab/>
        <w:t>Validation of actions of inspectors and analysts</w:t>
      </w:r>
      <w:r>
        <w:tab/>
      </w:r>
      <w:r>
        <w:fldChar w:fldCharType="begin"/>
      </w:r>
      <w:r>
        <w:instrText xml:space="preserve"> PAGEREF _Toc137965243 \h </w:instrText>
      </w:r>
      <w:r>
        <w:fldChar w:fldCharType="separate"/>
      </w:r>
      <w:r w:rsidR="003373C0">
        <w:t>19</w:t>
      </w:r>
      <w:r>
        <w:fldChar w:fldCharType="end"/>
      </w:r>
    </w:p>
    <w:p w:rsidR="00602A94" w:rsidRDefault="00465DE0">
      <w:pPr>
        <w:pStyle w:val="TOC8"/>
        <w:rPr>
          <w:sz w:val="24"/>
          <w:szCs w:val="24"/>
        </w:rPr>
      </w:pPr>
      <w:r>
        <w:rPr>
          <w:szCs w:val="24"/>
        </w:rPr>
        <w:t>29</w:t>
      </w:r>
      <w:r>
        <w:rPr>
          <w:snapToGrid w:val="0"/>
          <w:szCs w:val="24"/>
        </w:rPr>
        <w:t>.</w:t>
      </w:r>
      <w:r>
        <w:rPr>
          <w:snapToGrid w:val="0"/>
          <w:szCs w:val="24"/>
        </w:rPr>
        <w:tab/>
        <w:t>Application of fees, etc.</w:t>
      </w:r>
      <w:r>
        <w:tab/>
      </w:r>
      <w:r>
        <w:fldChar w:fldCharType="begin"/>
      </w:r>
      <w:r>
        <w:instrText xml:space="preserve"> PAGEREF _Toc137965244 \h </w:instrText>
      </w:r>
      <w:r>
        <w:fldChar w:fldCharType="separate"/>
      </w:r>
      <w:r w:rsidR="003373C0">
        <w:t>20</w:t>
      </w:r>
      <w:r>
        <w:fldChar w:fldCharType="end"/>
      </w:r>
    </w:p>
    <w:p w:rsidR="00602A94" w:rsidRDefault="00465DE0">
      <w:pPr>
        <w:pStyle w:val="TOC8"/>
        <w:rPr>
          <w:sz w:val="24"/>
          <w:szCs w:val="24"/>
        </w:rPr>
      </w:pPr>
      <w:r>
        <w:rPr>
          <w:szCs w:val="24"/>
        </w:rPr>
        <w:t>30</w:t>
      </w:r>
      <w:r>
        <w:rPr>
          <w:snapToGrid w:val="0"/>
          <w:szCs w:val="24"/>
        </w:rPr>
        <w:t>.</w:t>
      </w:r>
      <w:r>
        <w:rPr>
          <w:snapToGrid w:val="0"/>
          <w:szCs w:val="24"/>
        </w:rPr>
        <w:tab/>
        <w:t>Documents or substances held by previous registering authority may be given to NRA</w:t>
      </w:r>
      <w:r>
        <w:tab/>
      </w:r>
      <w:r>
        <w:fldChar w:fldCharType="begin"/>
      </w:r>
      <w:r>
        <w:instrText xml:space="preserve"> PAGEREF _Toc137965245 \h </w:instrText>
      </w:r>
      <w:r>
        <w:fldChar w:fldCharType="separate"/>
      </w:r>
      <w:r w:rsidR="003373C0">
        <w:t>20</w:t>
      </w:r>
      <w:r>
        <w:fldChar w:fldCharType="end"/>
      </w:r>
    </w:p>
    <w:p w:rsidR="00602A94" w:rsidRDefault="00465DE0">
      <w:pPr>
        <w:pStyle w:val="TOC8"/>
        <w:rPr>
          <w:sz w:val="24"/>
          <w:szCs w:val="24"/>
        </w:rPr>
      </w:pPr>
      <w:r>
        <w:rPr>
          <w:szCs w:val="24"/>
        </w:rPr>
        <w:t>31</w:t>
      </w:r>
      <w:r>
        <w:rPr>
          <w:snapToGrid w:val="0"/>
          <w:szCs w:val="24"/>
        </w:rPr>
        <w:t>.</w:t>
      </w:r>
      <w:r>
        <w:rPr>
          <w:snapToGrid w:val="0"/>
          <w:szCs w:val="24"/>
        </w:rPr>
        <w:tab/>
        <w:t>Exemptions from liability for damages</w:t>
      </w:r>
      <w:r>
        <w:tab/>
      </w:r>
      <w:r>
        <w:fldChar w:fldCharType="begin"/>
      </w:r>
      <w:r>
        <w:instrText xml:space="preserve"> PAGEREF _Toc137965246 \h </w:instrText>
      </w:r>
      <w:r>
        <w:fldChar w:fldCharType="separate"/>
      </w:r>
      <w:r w:rsidR="003373C0">
        <w:t>20</w:t>
      </w:r>
      <w:r>
        <w:fldChar w:fldCharType="end"/>
      </w:r>
    </w:p>
    <w:p w:rsidR="00602A94" w:rsidRDefault="00465DE0">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_Toc137965247 \h </w:instrText>
      </w:r>
      <w:r>
        <w:fldChar w:fldCharType="separate"/>
      </w:r>
      <w:r w:rsidR="003373C0">
        <w:t>23</w:t>
      </w:r>
      <w:r>
        <w:fldChar w:fldCharType="end"/>
      </w:r>
    </w:p>
    <w:p w:rsidR="00602A94" w:rsidRDefault="00465DE0">
      <w:pPr>
        <w:pStyle w:val="TOC8"/>
        <w:rPr>
          <w:sz w:val="24"/>
          <w:szCs w:val="24"/>
        </w:rPr>
      </w:pPr>
      <w:r>
        <w:rPr>
          <w:szCs w:val="24"/>
        </w:rPr>
        <w:t>33</w:t>
      </w:r>
      <w:r>
        <w:rPr>
          <w:snapToGrid w:val="0"/>
          <w:szCs w:val="24"/>
        </w:rPr>
        <w:t>.</w:t>
      </w:r>
      <w:r>
        <w:rPr>
          <w:snapToGrid w:val="0"/>
          <w:szCs w:val="24"/>
        </w:rPr>
        <w:tab/>
        <w:t>Eligible laws</w:t>
      </w:r>
      <w:r>
        <w:tab/>
      </w:r>
      <w:r>
        <w:fldChar w:fldCharType="begin"/>
      </w:r>
      <w:r>
        <w:instrText xml:space="preserve"> PAGEREF _Toc137965248 \h </w:instrText>
      </w:r>
      <w:r>
        <w:fldChar w:fldCharType="separate"/>
      </w:r>
      <w:r w:rsidR="003373C0">
        <w:t>23</w:t>
      </w:r>
      <w:r>
        <w:fldChar w:fldCharType="end"/>
      </w:r>
    </w:p>
    <w:p w:rsidR="00602A94" w:rsidRDefault="00465DE0">
      <w:pPr>
        <w:pStyle w:val="TOC8"/>
        <w:rPr>
          <w:sz w:val="24"/>
          <w:szCs w:val="24"/>
        </w:rPr>
      </w:pPr>
      <w:r>
        <w:rPr>
          <w:szCs w:val="24"/>
        </w:rPr>
        <w:t>33A.</w:t>
      </w:r>
      <w:r>
        <w:rPr>
          <w:szCs w:val="24"/>
        </w:rPr>
        <w:tab/>
        <w:t xml:space="preserve">Transitional provision — </w:t>
      </w:r>
      <w:r>
        <w:rPr>
          <w:i/>
          <w:szCs w:val="24"/>
        </w:rPr>
        <w:t>Agricultural and Veterinary Chemicals (Western Australia) Amendment Act 2001</w:t>
      </w:r>
      <w:r>
        <w:tab/>
      </w:r>
      <w:r>
        <w:fldChar w:fldCharType="begin"/>
      </w:r>
      <w:r>
        <w:instrText xml:space="preserve"> PAGEREF _Toc137965249 \h </w:instrText>
      </w:r>
      <w:r>
        <w:fldChar w:fldCharType="separate"/>
      </w:r>
      <w:r w:rsidR="003373C0">
        <w:t>23</w:t>
      </w:r>
      <w:r>
        <w:fldChar w:fldCharType="end"/>
      </w:r>
    </w:p>
    <w:p w:rsidR="00602A94" w:rsidRDefault="00465DE0">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_Toc137965250 \h </w:instrText>
      </w:r>
      <w:r>
        <w:fldChar w:fldCharType="separate"/>
      </w:r>
      <w:r w:rsidR="003373C0">
        <w:t>23</w:t>
      </w:r>
      <w:r>
        <w:fldChar w:fldCharType="end"/>
      </w:r>
    </w:p>
    <w:p w:rsidR="00602A94" w:rsidRDefault="00465DE0">
      <w:pPr>
        <w:pStyle w:val="TOC2"/>
        <w:tabs>
          <w:tab w:val="right" w:leader="dot" w:pos="7078"/>
        </w:tabs>
        <w:rPr>
          <w:b w:val="0"/>
          <w:sz w:val="24"/>
          <w:szCs w:val="24"/>
        </w:rPr>
      </w:pPr>
      <w:r>
        <w:rPr>
          <w:szCs w:val="30"/>
        </w:rPr>
        <w:t>Part 9 — Imposition of Fees</w:t>
      </w:r>
    </w:p>
    <w:p w:rsidR="00602A94" w:rsidRDefault="00465DE0">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_Toc137965252 \h </w:instrText>
      </w:r>
      <w:r>
        <w:fldChar w:fldCharType="separate"/>
      </w:r>
      <w:r w:rsidR="003373C0">
        <w:t>24</w:t>
      </w:r>
      <w:r>
        <w:fldChar w:fldCharType="end"/>
      </w:r>
    </w:p>
    <w:p w:rsidR="00602A94" w:rsidRDefault="00465DE0">
      <w:pPr>
        <w:pStyle w:val="TOC2"/>
        <w:tabs>
          <w:tab w:val="right" w:leader="dot" w:pos="7078"/>
        </w:tabs>
        <w:rPr>
          <w:b w:val="0"/>
          <w:sz w:val="24"/>
          <w:szCs w:val="24"/>
        </w:rPr>
      </w:pPr>
      <w:r>
        <w:rPr>
          <w:szCs w:val="30"/>
        </w:rPr>
        <w:t>Part 9A — Conferral of functions on Commonwealth Director of Public Prosecutions</w:t>
      </w:r>
    </w:p>
    <w:p w:rsidR="00602A94" w:rsidRDefault="00465DE0">
      <w:pPr>
        <w:pStyle w:val="TOC8"/>
        <w:rPr>
          <w:sz w:val="24"/>
          <w:szCs w:val="24"/>
        </w:rPr>
      </w:pPr>
      <w:r>
        <w:rPr>
          <w:szCs w:val="24"/>
        </w:rPr>
        <w:t>35A.</w:t>
      </w:r>
      <w:r>
        <w:rPr>
          <w:szCs w:val="24"/>
        </w:rPr>
        <w:tab/>
        <w:t>Conferral of functions on Commonwealth Director of Public Prosecutions</w:t>
      </w:r>
      <w:r>
        <w:tab/>
      </w:r>
      <w:r>
        <w:fldChar w:fldCharType="begin"/>
      </w:r>
      <w:r>
        <w:instrText xml:space="preserve"> PAGEREF _Toc137965254 \h </w:instrText>
      </w:r>
      <w:r>
        <w:fldChar w:fldCharType="separate"/>
      </w:r>
      <w:r w:rsidR="003373C0">
        <w:t>25</w:t>
      </w:r>
      <w:r>
        <w:fldChar w:fldCharType="end"/>
      </w:r>
    </w:p>
    <w:p w:rsidR="00602A94" w:rsidRDefault="00465DE0">
      <w:pPr>
        <w:pStyle w:val="TOC2"/>
        <w:tabs>
          <w:tab w:val="right" w:leader="dot" w:pos="7078"/>
        </w:tabs>
        <w:rPr>
          <w:b w:val="0"/>
          <w:sz w:val="24"/>
          <w:szCs w:val="24"/>
        </w:rPr>
      </w:pPr>
      <w:r>
        <w:rPr>
          <w:szCs w:val="30"/>
        </w:rPr>
        <w:t>Part 10 — Relationship with other State laws</w:t>
      </w:r>
    </w:p>
    <w:p w:rsidR="00602A94" w:rsidRDefault="00465DE0">
      <w:pPr>
        <w:pStyle w:val="TOC8"/>
        <w:rPr>
          <w:sz w:val="24"/>
          <w:szCs w:val="24"/>
        </w:rPr>
      </w:pPr>
      <w:r>
        <w:rPr>
          <w:szCs w:val="24"/>
        </w:rPr>
        <w:t>36</w:t>
      </w:r>
      <w:r>
        <w:rPr>
          <w:snapToGrid w:val="0"/>
          <w:szCs w:val="24"/>
        </w:rPr>
        <w:t>.</w:t>
      </w:r>
      <w:r>
        <w:rPr>
          <w:snapToGrid w:val="0"/>
          <w:szCs w:val="24"/>
        </w:rPr>
        <w:tab/>
        <w:t>Relationship with other State laws</w:t>
      </w:r>
      <w:r>
        <w:tab/>
      </w:r>
      <w:r>
        <w:fldChar w:fldCharType="begin"/>
      </w:r>
      <w:r>
        <w:instrText xml:space="preserve"> PAGEREF _Toc137965256 \h </w:instrText>
      </w:r>
      <w:r>
        <w:fldChar w:fldCharType="separate"/>
      </w:r>
      <w:r w:rsidR="003373C0">
        <w:t>27</w:t>
      </w:r>
      <w:r>
        <w:fldChar w:fldCharType="end"/>
      </w:r>
    </w:p>
    <w:p w:rsidR="00602A94" w:rsidRDefault="00465DE0">
      <w:pPr>
        <w:pStyle w:val="TOC2"/>
        <w:tabs>
          <w:tab w:val="right" w:leader="dot" w:pos="7078"/>
        </w:tabs>
        <w:rPr>
          <w:b w:val="0"/>
          <w:sz w:val="24"/>
          <w:szCs w:val="24"/>
        </w:rPr>
      </w:pPr>
      <w:r>
        <w:rPr>
          <w:szCs w:val="26"/>
        </w:rPr>
        <w:t>Notes</w:t>
      </w:r>
    </w:p>
    <w:p w:rsidR="00602A94" w:rsidRDefault="00465DE0">
      <w:pPr>
        <w:pStyle w:val="TOC8"/>
        <w:rPr>
          <w:sz w:val="24"/>
          <w:szCs w:val="24"/>
        </w:rPr>
      </w:pPr>
      <w:r>
        <w:rPr>
          <w:snapToGrid w:val="0"/>
          <w:szCs w:val="24"/>
        </w:rPr>
        <w:tab/>
        <w:t>Compilation table</w:t>
      </w:r>
      <w:r>
        <w:tab/>
      </w:r>
      <w:r>
        <w:fldChar w:fldCharType="begin"/>
      </w:r>
      <w:r>
        <w:instrText xml:space="preserve"> PAGEREF _Toc137965258 \h </w:instrText>
      </w:r>
      <w:r>
        <w:fldChar w:fldCharType="separate"/>
      </w:r>
      <w:r w:rsidR="003373C0">
        <w:t>29</w:t>
      </w:r>
      <w:r>
        <w:fldChar w:fldCharType="end"/>
      </w:r>
    </w:p>
    <w:p w:rsidR="00602A94" w:rsidRDefault="00465DE0">
      <w:pPr>
        <w:pStyle w:val="TOC8"/>
        <w:rPr>
          <w:sz w:val="24"/>
        </w:rPr>
      </w:pPr>
      <w:r>
        <w:tab/>
        <w:t>Provisions that have not come into operation</w:t>
      </w:r>
      <w:r>
        <w:tab/>
      </w:r>
      <w:r>
        <w:fldChar w:fldCharType="begin"/>
      </w:r>
      <w:r>
        <w:instrText xml:space="preserve"> PAGEREF _Toc137965259 \h </w:instrText>
      </w:r>
      <w:r>
        <w:fldChar w:fldCharType="separate"/>
      </w:r>
      <w:r w:rsidR="003373C0">
        <w:t>29</w:t>
      </w:r>
      <w:r>
        <w:fldChar w:fldCharType="end"/>
      </w:r>
    </w:p>
    <w:p w:rsidR="00602A94" w:rsidRDefault="00465DE0">
      <w:pPr>
        <w:pStyle w:val="TOC4"/>
      </w:pPr>
      <w:r>
        <w:fldChar w:fldCharType="end"/>
      </w:r>
    </w:p>
    <w:p w:rsidR="00602A94" w:rsidRDefault="00465DE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02A94" w:rsidRDefault="00602A94">
      <w:pPr>
        <w:pStyle w:val="NoteHeading"/>
        <w:sectPr w:rsidR="00602A9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02A94" w:rsidRDefault="00465DE0">
      <w:pPr>
        <w:pStyle w:val="WA"/>
      </w:pPr>
      <w:r>
        <w:t>Western Australia</w:t>
      </w:r>
    </w:p>
    <w:p w:rsidR="00602A94" w:rsidRDefault="00465DE0">
      <w:pPr>
        <w:pStyle w:val="NameofActReg"/>
      </w:pPr>
      <w:r>
        <w:t xml:space="preserve">Agricultural and Veterinary Chemicals (Western Australia) Act 1995 </w:t>
      </w:r>
    </w:p>
    <w:p w:rsidR="00602A94" w:rsidRDefault="00465DE0">
      <w:pPr>
        <w:pStyle w:val="LongTitle"/>
        <w:rPr>
          <w:snapToGrid w:val="0"/>
        </w:rPr>
      </w:pPr>
      <w:r>
        <w:rPr>
          <w:snapToGrid w:val="0"/>
        </w:rPr>
        <w:t xml:space="preserve">An Act to apply certain laws of the Commonwealth relating to agricultural and veterinary chemical products as laws of Western Australia and for related purposes. </w:t>
      </w:r>
    </w:p>
    <w:p w:rsidR="00602A94" w:rsidRDefault="00465DE0">
      <w:pPr>
        <w:pStyle w:val="Preamble1"/>
        <w:rPr>
          <w:snapToGrid w:val="0"/>
        </w:rPr>
      </w:pPr>
      <w:r>
        <w:rPr>
          <w:snapToGrid w:val="0"/>
        </w:rPr>
        <w:t>Reasons for enacting this Act</w:t>
      </w:r>
    </w:p>
    <w:p w:rsidR="00602A94" w:rsidRDefault="00465DE0">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rsidR="00602A94" w:rsidRDefault="00465DE0">
      <w:pPr>
        <w:pStyle w:val="Preamble3"/>
      </w:pPr>
      <w:r>
        <w:tab/>
        <w:t>2.</w:t>
      </w:r>
      <w:r>
        <w:tab/>
        <w:t>The principle of ecologically sustainable development requires a regulatory system that is designed to ensure that the use of such products today will not impair the prospects of future generations.</w:t>
      </w:r>
    </w:p>
    <w:p w:rsidR="00602A94" w:rsidRDefault="00465DE0">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rsidR="00602A94" w:rsidRDefault="00465DE0">
      <w:pPr>
        <w:pStyle w:val="Preamble3"/>
      </w:pPr>
      <w:r>
        <w:tab/>
        <w:t>4.</w:t>
      </w:r>
      <w:r>
        <w:tab/>
        <w:t>It is desirable to establish a regulatory system that is open and accountable and gives opportunity for public input with respect to the regulation of such products.</w:t>
      </w:r>
    </w:p>
    <w:p w:rsidR="00602A94" w:rsidRDefault="00465DE0">
      <w:pPr>
        <w:pStyle w:val="Preamble3"/>
      </w:pPr>
      <w:r>
        <w:tab/>
        <w:t>5.</w:t>
      </w:r>
      <w:r>
        <w:tab/>
        <w:t>The system should, so far as practicable, be uniform throughout Australia.</w:t>
      </w:r>
    </w:p>
    <w:p w:rsidR="00602A94" w:rsidRDefault="00465DE0">
      <w:pPr>
        <w:pStyle w:val="Preamble3"/>
      </w:pPr>
      <w:r>
        <w:tab/>
        <w:t>6.</w:t>
      </w:r>
      <w:r>
        <w:tab/>
        <w:t>Uniformity could best be achieved by the enactment of legislation by the Parliament of the Commonwealth as a law for the government of the Australian Capital Territory and the adoption of that legislation by the Parliaments and legislatures of the States and the Northern Territory.</w:t>
      </w:r>
    </w:p>
    <w:p w:rsidR="00602A94" w:rsidRDefault="00465DE0">
      <w:pPr>
        <w:pStyle w:val="Heading2"/>
      </w:pPr>
      <w:bookmarkStart w:id="2" w:name="_Toc96225032"/>
      <w:bookmarkStart w:id="3" w:name="_Toc97095679"/>
      <w:bookmarkStart w:id="4" w:name="_Toc102975392"/>
      <w:bookmarkStart w:id="5" w:name="_Toc137964244"/>
      <w:bookmarkStart w:id="6" w:name="_Toc13796520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rsidR="00602A94" w:rsidRDefault="00465DE0">
      <w:pPr>
        <w:pStyle w:val="Heading5"/>
        <w:rPr>
          <w:snapToGrid w:val="0"/>
        </w:rPr>
      </w:pPr>
      <w:bookmarkStart w:id="7" w:name="_Toc515955363"/>
      <w:bookmarkStart w:id="8" w:name="_Toc531597815"/>
      <w:bookmarkStart w:id="9" w:name="_Toc536411465"/>
      <w:bookmarkStart w:id="10" w:name="_Toc1537288"/>
      <w:bookmarkStart w:id="11" w:name="_Toc102975393"/>
      <w:bookmarkStart w:id="12" w:name="_Toc137965209"/>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rsidR="00602A94" w:rsidRDefault="00465DE0">
      <w:pPr>
        <w:pStyle w:val="Subsection"/>
        <w:rPr>
          <w:snapToGrid w:val="0"/>
        </w:rPr>
      </w:pPr>
      <w:r>
        <w:rPr>
          <w:snapToGrid w:val="0"/>
        </w:rPr>
        <w:tab/>
      </w:r>
      <w:r>
        <w:rPr>
          <w:snapToGrid w:val="0"/>
        </w:rPr>
        <w:tab/>
        <w:t xml:space="preserve">This Act may be cited as the </w:t>
      </w:r>
      <w:r>
        <w:rPr>
          <w:i/>
          <w:snapToGrid w:val="0"/>
        </w:rPr>
        <w:t>Agricultural and Veterinary Chemicals (Western Australia) Act 1995</w:t>
      </w:r>
      <w:r>
        <w:rPr>
          <w:snapToGrid w:val="0"/>
          <w:vertAlign w:val="superscript"/>
        </w:rPr>
        <w:t> 1</w:t>
      </w:r>
      <w:r>
        <w:rPr>
          <w:snapToGrid w:val="0"/>
        </w:rPr>
        <w:t>.</w:t>
      </w:r>
    </w:p>
    <w:p w:rsidR="00602A94" w:rsidRDefault="00465DE0">
      <w:pPr>
        <w:pStyle w:val="Heading5"/>
        <w:rPr>
          <w:snapToGrid w:val="0"/>
        </w:rPr>
      </w:pPr>
      <w:bookmarkStart w:id="13" w:name="_Toc515955364"/>
      <w:bookmarkStart w:id="14" w:name="_Toc531597816"/>
      <w:bookmarkStart w:id="15" w:name="_Toc536411466"/>
      <w:bookmarkStart w:id="16" w:name="_Toc1537289"/>
      <w:bookmarkStart w:id="17" w:name="_Toc102975394"/>
      <w:bookmarkStart w:id="18" w:name="_Toc137965210"/>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rsidR="00602A94" w:rsidRDefault="00465DE0">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rsidR="00602A94" w:rsidRDefault="00465DE0">
      <w:pPr>
        <w:pStyle w:val="Heading5"/>
        <w:rPr>
          <w:snapToGrid w:val="0"/>
        </w:rPr>
      </w:pPr>
      <w:bookmarkStart w:id="19" w:name="_Toc515955365"/>
      <w:bookmarkStart w:id="20" w:name="_Toc531597817"/>
      <w:bookmarkStart w:id="21" w:name="_Toc536411467"/>
      <w:bookmarkStart w:id="22" w:name="_Toc1537290"/>
      <w:bookmarkStart w:id="23" w:name="_Toc102975395"/>
      <w:bookmarkStart w:id="24" w:name="_Toc137965211"/>
      <w:r>
        <w:rPr>
          <w:rStyle w:val="CharSectno"/>
        </w:rPr>
        <w:t>3</w:t>
      </w:r>
      <w:r>
        <w:rPr>
          <w:snapToGrid w:val="0"/>
        </w:rPr>
        <w:t>.</w:t>
      </w:r>
      <w:r>
        <w:rPr>
          <w:snapToGrid w:val="0"/>
        </w:rPr>
        <w:tab/>
        <w:t>Definitions</w:t>
      </w:r>
      <w:bookmarkEnd w:id="19"/>
      <w:bookmarkEnd w:id="20"/>
      <w:bookmarkEnd w:id="21"/>
      <w:bookmarkEnd w:id="22"/>
      <w:bookmarkEnd w:id="23"/>
      <w:bookmarkEnd w:id="24"/>
      <w:r>
        <w:rPr>
          <w:snapToGrid w:val="0"/>
        </w:rPr>
        <w:t xml:space="preserve"> </w:t>
      </w:r>
    </w:p>
    <w:p w:rsidR="00602A94" w:rsidRDefault="00465DE0">
      <w:pPr>
        <w:pStyle w:val="Subsection"/>
        <w:rPr>
          <w:snapToGrid w:val="0"/>
        </w:rPr>
      </w:pPr>
      <w:r>
        <w:rPr>
          <w:snapToGrid w:val="0"/>
        </w:rPr>
        <w:tab/>
      </w:r>
      <w:r>
        <w:rPr>
          <w:snapToGrid w:val="0"/>
        </w:rPr>
        <w:tab/>
        <w:t>In this Act, unless the contrary intention appears — </w:t>
      </w:r>
    </w:p>
    <w:p w:rsidR="00602A94" w:rsidRDefault="00465DE0">
      <w:pPr>
        <w:pStyle w:val="Defstart"/>
      </w:pPr>
      <w:r>
        <w:rPr>
          <w:b/>
        </w:rPr>
        <w:tab/>
        <w:t>“</w:t>
      </w:r>
      <w:r>
        <w:rPr>
          <w:rStyle w:val="CharDefText"/>
        </w:rPr>
        <w:t>Agricultural and Veterinary Chemicals Act</w:t>
      </w:r>
      <w:r>
        <w:rPr>
          <w:b/>
        </w:rPr>
        <w:t>”</w:t>
      </w:r>
      <w:r>
        <w:t xml:space="preserve"> means the </w:t>
      </w:r>
      <w:r>
        <w:rPr>
          <w:i/>
        </w:rPr>
        <w:t>Agricultural and Veterinary Chemicals Act 1994</w:t>
      </w:r>
      <w:r>
        <w:t xml:space="preserve"> of the Commonwealth;</w:t>
      </w:r>
    </w:p>
    <w:p w:rsidR="00602A94" w:rsidRDefault="00465DE0">
      <w:pPr>
        <w:pStyle w:val="Defstart"/>
      </w:pPr>
      <w:r>
        <w:rPr>
          <w:b/>
        </w:rPr>
        <w:tab/>
        <w:t>“</w:t>
      </w:r>
      <w:r>
        <w:rPr>
          <w:rStyle w:val="CharDefText"/>
        </w:rPr>
        <w:t>Agricultural and Veterinary Chemicals (Administration) Act</w:t>
      </w:r>
      <w:r>
        <w:rPr>
          <w:b/>
        </w:rPr>
        <w:t>”</w:t>
      </w:r>
      <w:r>
        <w:t xml:space="preserve"> means the </w:t>
      </w:r>
      <w:r>
        <w:rPr>
          <w:i/>
        </w:rPr>
        <w:t>Agricultural and Veterinary Chemicals (Administration) Act 1992</w:t>
      </w:r>
      <w:r>
        <w:t xml:space="preserve"> of the Commonwealth;</w:t>
      </w:r>
    </w:p>
    <w:p w:rsidR="00602A94" w:rsidRDefault="00465DE0">
      <w:pPr>
        <w:pStyle w:val="Defstart"/>
      </w:pPr>
      <w:r>
        <w:rPr>
          <w:b/>
        </w:rPr>
        <w:tab/>
        <w:t>“</w:t>
      </w:r>
      <w:r>
        <w:rPr>
          <w:rStyle w:val="CharDefText"/>
        </w:rPr>
        <w:t>Agricultural and Veterinary Chemicals Code Act</w:t>
      </w:r>
      <w:r>
        <w:rPr>
          <w:b/>
        </w:rPr>
        <w:t>”</w:t>
      </w:r>
      <w:r>
        <w:t xml:space="preserve"> means the </w:t>
      </w:r>
      <w:r>
        <w:rPr>
          <w:i/>
        </w:rPr>
        <w:t>Agricultural and Veterinary Chemicals Code Act 1994</w:t>
      </w:r>
      <w:r>
        <w:t xml:space="preserve"> of the Commonwealth;</w:t>
      </w:r>
    </w:p>
    <w:p w:rsidR="00602A94" w:rsidRDefault="00465DE0">
      <w:pPr>
        <w:pStyle w:val="Defstart"/>
      </w:pPr>
      <w:r>
        <w:rPr>
          <w:b/>
        </w:rPr>
        <w:tab/>
        <w:t>“</w:t>
      </w:r>
      <w:r>
        <w:rPr>
          <w:rStyle w:val="CharDefText"/>
        </w:rPr>
        <w:t>Agvet Code of Western Australia</w:t>
      </w:r>
      <w:r>
        <w:rPr>
          <w:b/>
        </w:rPr>
        <w:t>”</w:t>
      </w:r>
      <w:r>
        <w:t xml:space="preserve"> means the provisions applying because of section 5;</w:t>
      </w:r>
    </w:p>
    <w:p w:rsidR="00602A94" w:rsidRDefault="00465DE0">
      <w:pPr>
        <w:pStyle w:val="Defstart"/>
      </w:pPr>
      <w:r>
        <w:rPr>
          <w:b/>
        </w:rPr>
        <w:tab/>
        <w:t>“</w:t>
      </w:r>
      <w:r>
        <w:rPr>
          <w:rStyle w:val="CharDefText"/>
        </w:rPr>
        <w:t>Agvet Regulations of Western Australia</w:t>
      </w:r>
      <w:r>
        <w:rPr>
          <w:b/>
        </w:rPr>
        <w:t>”</w:t>
      </w:r>
      <w:r>
        <w:t xml:space="preserve"> means the provisions applying because of section 6;</w:t>
      </w:r>
    </w:p>
    <w:p w:rsidR="00602A94" w:rsidRDefault="00465DE0">
      <w:pPr>
        <w:pStyle w:val="Defstart"/>
      </w:pPr>
      <w:r>
        <w:rPr>
          <w:b/>
        </w:rPr>
        <w:tab/>
        <w:t>“</w:t>
      </w:r>
      <w:r>
        <w:rPr>
          <w:rStyle w:val="CharDefText"/>
        </w:rPr>
        <w:t>applicable provision</w:t>
      </w:r>
      <w:r>
        <w:rPr>
          <w:b/>
        </w:rPr>
        <w:t>”</w:t>
      </w:r>
      <w:r>
        <w:t>, in relation to a jurisdiction, means a provision of — </w:t>
      </w:r>
    </w:p>
    <w:p w:rsidR="00602A94" w:rsidRDefault="00465DE0">
      <w:pPr>
        <w:pStyle w:val="Defpara"/>
      </w:pPr>
      <w:r>
        <w:tab/>
        <w:t>(a)</w:t>
      </w:r>
      <w:r>
        <w:tab/>
        <w:t>the Agvet Code of that jurisdiction;</w:t>
      </w:r>
    </w:p>
    <w:p w:rsidR="00602A94" w:rsidRDefault="00465DE0">
      <w:pPr>
        <w:pStyle w:val="Defpara"/>
      </w:pPr>
      <w:r>
        <w:tab/>
        <w:t>(b)</w:t>
      </w:r>
      <w:r>
        <w:tab/>
        <w:t>the Agvet Regulations of that jurisdiction; or</w:t>
      </w:r>
    </w:p>
    <w:p w:rsidR="00602A94" w:rsidRDefault="00465DE0">
      <w:pPr>
        <w:pStyle w:val="Defpara"/>
      </w:pPr>
      <w:r>
        <w:tab/>
        <w:t>(c)</w:t>
      </w:r>
      <w:r>
        <w:tab/>
        <w:t>a law of the Commonwealth that applies in that jurisdiction in relation to a provision of or offence against the Agvet Code or Agvet Regulations of that jurisdiction;</w:t>
      </w:r>
    </w:p>
    <w:p w:rsidR="00602A94" w:rsidRDefault="00465DE0">
      <w:pPr>
        <w:pStyle w:val="Defstart"/>
      </w:pPr>
      <w:r>
        <w:rPr>
          <w:b/>
        </w:rPr>
        <w:tab/>
        <w:t>“</w:t>
      </w:r>
      <w:r>
        <w:rPr>
          <w:rStyle w:val="CharDefText"/>
        </w:rPr>
        <w:t>authority</w:t>
      </w:r>
      <w:r>
        <w:rPr>
          <w:b/>
        </w:rPr>
        <w:t>”</w:t>
      </w:r>
      <w:r>
        <w:t>, in relation to the Commonwealth, has the meaning given in the Agricultural and Veterinary Chemicals Act;</w:t>
      </w:r>
    </w:p>
    <w:p w:rsidR="00602A94" w:rsidRDefault="00465DE0">
      <w:pPr>
        <w:pStyle w:val="Defstart"/>
        <w:ind w:left="1327" w:hanging="1327"/>
      </w:pPr>
      <w:r>
        <w:rPr>
          <w:b/>
        </w:rPr>
        <w:tab/>
        <w:t>“</w:t>
      </w:r>
      <w:r>
        <w:rPr>
          <w:rStyle w:val="CharDefText"/>
        </w:rPr>
        <w:t>Commonwealth administrative laws</w:t>
      </w:r>
      <w:r>
        <w:rPr>
          <w:b/>
        </w:rPr>
        <w:t>”</w:t>
      </w:r>
      <w:r>
        <w:t xml:space="preserve"> means — </w:t>
      </w:r>
    </w:p>
    <w:p w:rsidR="00602A94" w:rsidRDefault="00465DE0">
      <w:pPr>
        <w:pStyle w:val="Defpara"/>
      </w:pPr>
      <w:r>
        <w:tab/>
        <w:t>(a)</w:t>
      </w:r>
      <w:r>
        <w:tab/>
        <w:t>the following Acts — </w:t>
      </w:r>
    </w:p>
    <w:p w:rsidR="00602A94" w:rsidRDefault="00465DE0">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rsidR="00602A94" w:rsidRDefault="00465DE0">
      <w:pPr>
        <w:pStyle w:val="Ednotedefsubpara"/>
        <w:tabs>
          <w:tab w:val="clear" w:pos="2047"/>
          <w:tab w:val="clear" w:pos="2333"/>
          <w:tab w:val="right" w:pos="2324"/>
        </w:tabs>
        <w:ind w:left="2660" w:hanging="2660"/>
      </w:pPr>
      <w:r>
        <w:tab/>
        <w:t>[(ii)</w:t>
      </w:r>
      <w:r>
        <w:tab/>
        <w:t>deleted]</w:t>
      </w:r>
    </w:p>
    <w:p w:rsidR="00602A94" w:rsidRDefault="00465DE0">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rsidR="00602A94" w:rsidRDefault="00465DE0">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rsidR="00602A94" w:rsidRDefault="00465DE0">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 </w:t>
      </w:r>
    </w:p>
    <w:p w:rsidR="00602A94" w:rsidRDefault="00465DE0">
      <w:pPr>
        <w:pStyle w:val="Defpara"/>
      </w:pPr>
      <w:r>
        <w:tab/>
      </w:r>
      <w:r>
        <w:tab/>
        <w:t>and</w:t>
      </w:r>
    </w:p>
    <w:p w:rsidR="00602A94" w:rsidRDefault="00465DE0">
      <w:pPr>
        <w:pStyle w:val="Defpara"/>
      </w:pPr>
      <w:r>
        <w:tab/>
        <w:t>(b)</w:t>
      </w:r>
      <w:r>
        <w:tab/>
        <w:t>the regulations in force under those Acts;</w:t>
      </w:r>
    </w:p>
    <w:p w:rsidR="00602A94" w:rsidRDefault="00465DE0">
      <w:pPr>
        <w:pStyle w:val="Defstart"/>
      </w:pPr>
      <w:r>
        <w:rPr>
          <w:b/>
        </w:rPr>
        <w:tab/>
        <w:t>“</w:t>
      </w:r>
      <w:r>
        <w:rPr>
          <w:rStyle w:val="CharDefText"/>
        </w:rPr>
        <w:t>Commonwealth Minister</w:t>
      </w:r>
      <w:r>
        <w:rPr>
          <w:b/>
        </w:rPr>
        <w:t>”</w:t>
      </w:r>
      <w:r>
        <w:t xml:space="preserve"> means “the Minister” within the meaning of the Agvet Code of the participating Territories;</w:t>
      </w:r>
    </w:p>
    <w:p w:rsidR="00602A94" w:rsidRDefault="00465DE0">
      <w:pPr>
        <w:pStyle w:val="Defstart"/>
      </w:pPr>
      <w:r>
        <w:tab/>
      </w:r>
      <w:r>
        <w:rPr>
          <w:b/>
        </w:rPr>
        <w:t>“</w:t>
      </w:r>
      <w:r>
        <w:rPr>
          <w:rStyle w:val="CharDefText"/>
        </w:rPr>
        <w:t>confer</w:t>
      </w:r>
      <w:r>
        <w:rPr>
          <w:b/>
        </w:rPr>
        <w:t>”</w:t>
      </w:r>
      <w:r>
        <w:t xml:space="preserve"> includes impose;</w:t>
      </w:r>
    </w:p>
    <w:p w:rsidR="00602A94" w:rsidRDefault="00465DE0">
      <w:pPr>
        <w:pStyle w:val="Defstart"/>
      </w:pPr>
      <w:r>
        <w:rPr>
          <w:b/>
        </w:rPr>
        <w:tab/>
        <w:t>“</w:t>
      </w:r>
      <w:r>
        <w:rPr>
          <w:rStyle w:val="CharDefText"/>
        </w:rPr>
        <w:t>corresponding Act</w:t>
      </w:r>
      <w:r>
        <w:rPr>
          <w:b/>
        </w:rPr>
        <w:t>”</w:t>
      </w:r>
      <w:r>
        <w:t xml:space="preserve"> means an Act of another jurisdiction that corresponds to this Act;</w:t>
      </w:r>
    </w:p>
    <w:p w:rsidR="00602A94" w:rsidRDefault="00465DE0">
      <w:pPr>
        <w:pStyle w:val="Defstart"/>
      </w:pPr>
      <w:r>
        <w:rPr>
          <w:b/>
        </w:rPr>
        <w:tab/>
        <w:t>“</w:t>
      </w:r>
      <w:r>
        <w:rPr>
          <w:rStyle w:val="CharDefText"/>
        </w:rPr>
        <w:t>corresponding law</w:t>
      </w:r>
      <w:r>
        <w:rPr>
          <w:b/>
        </w:rPr>
        <w:t>”</w:t>
      </w:r>
      <w:r>
        <w:t xml:space="preserve"> means — </w:t>
      </w:r>
    </w:p>
    <w:p w:rsidR="00602A94" w:rsidRDefault="00465DE0">
      <w:pPr>
        <w:pStyle w:val="Defpara"/>
      </w:pPr>
      <w:r>
        <w:tab/>
        <w:t>(a)</w:t>
      </w:r>
      <w:r>
        <w:tab/>
        <w:t>a corresponding Act;</w:t>
      </w:r>
    </w:p>
    <w:p w:rsidR="00602A94" w:rsidRDefault="00465DE0">
      <w:pPr>
        <w:pStyle w:val="Defpara"/>
      </w:pPr>
      <w:r>
        <w:tab/>
        <w:t>(b)</w:t>
      </w:r>
      <w:r>
        <w:tab/>
        <w:t>regulations made under a corresponding Act;</w:t>
      </w:r>
    </w:p>
    <w:p w:rsidR="00602A94" w:rsidRDefault="00465DE0">
      <w:pPr>
        <w:pStyle w:val="Defpara"/>
      </w:pPr>
      <w:r>
        <w:tab/>
        <w:t>(c)</w:t>
      </w:r>
      <w:r>
        <w:tab/>
        <w:t>the Agvet Code, Agvet Regulations, or another applicable provision, of another jurisdiction; or</w:t>
      </w:r>
    </w:p>
    <w:p w:rsidR="00602A94" w:rsidRDefault="00465DE0">
      <w:pPr>
        <w:pStyle w:val="Defpara"/>
      </w:pPr>
      <w:r>
        <w:tab/>
        <w:t>(d)</w:t>
      </w:r>
      <w:r>
        <w:tab/>
        <w:t>rules of court made under a corresponding Act;</w:t>
      </w:r>
    </w:p>
    <w:p w:rsidR="00602A94" w:rsidRDefault="00465DE0">
      <w:pPr>
        <w:pStyle w:val="Defstart"/>
      </w:pPr>
      <w:r>
        <w:tab/>
      </w:r>
      <w:r>
        <w:rPr>
          <w:b/>
        </w:rPr>
        <w:t>“</w:t>
      </w:r>
      <w:r>
        <w:rPr>
          <w:rStyle w:val="CharDefText"/>
        </w:rPr>
        <w:t>function</w:t>
      </w:r>
      <w:r>
        <w:rPr>
          <w:b/>
        </w:rPr>
        <w:t>”</w:t>
      </w:r>
      <w:r>
        <w:t xml:space="preserve"> includes a duty;</w:t>
      </w:r>
    </w:p>
    <w:p w:rsidR="00602A94" w:rsidRDefault="00465DE0">
      <w:pPr>
        <w:pStyle w:val="Defstart"/>
      </w:pPr>
      <w:r>
        <w:rPr>
          <w:b/>
        </w:rPr>
        <w:tab/>
        <w:t>“</w:t>
      </w:r>
      <w:r>
        <w:rPr>
          <w:rStyle w:val="CharDefText"/>
        </w:rPr>
        <w:t>instrument</w:t>
      </w:r>
      <w:r>
        <w:rPr>
          <w:b/>
        </w:rPr>
        <w:t>”</w:t>
      </w:r>
      <w:r>
        <w:t xml:space="preserve"> means any document whatever, including — </w:t>
      </w:r>
    </w:p>
    <w:p w:rsidR="00602A94" w:rsidRDefault="00465DE0">
      <w:pPr>
        <w:pStyle w:val="Defpara"/>
      </w:pPr>
      <w:r>
        <w:tab/>
        <w:t>(a)</w:t>
      </w:r>
      <w:r>
        <w:tab/>
        <w:t>an Act or an instrument made under an Act;</w:t>
      </w:r>
    </w:p>
    <w:p w:rsidR="00602A94" w:rsidRDefault="00465DE0">
      <w:pPr>
        <w:pStyle w:val="Defpara"/>
      </w:pPr>
      <w:r>
        <w:tab/>
        <w:t>(b)</w:t>
      </w:r>
      <w:r>
        <w:tab/>
        <w:t>a law of this jurisdiction or an instrument made under such a law;</w:t>
      </w:r>
    </w:p>
    <w:p w:rsidR="00602A94" w:rsidRDefault="00465DE0">
      <w:pPr>
        <w:pStyle w:val="Defpara"/>
      </w:pPr>
      <w:r>
        <w:tab/>
        <w:t>(c)</w:t>
      </w:r>
      <w:r>
        <w:tab/>
        <w:t>an award or other industrial determination or order, or an industrial agreement;</w:t>
      </w:r>
    </w:p>
    <w:p w:rsidR="00602A94" w:rsidRDefault="00465DE0">
      <w:pPr>
        <w:pStyle w:val="Defpara"/>
      </w:pPr>
      <w:r>
        <w:tab/>
        <w:t>(d)</w:t>
      </w:r>
      <w:r>
        <w:tab/>
        <w:t>any other order (whether executive, judicial or otherwise);</w:t>
      </w:r>
    </w:p>
    <w:p w:rsidR="00602A94" w:rsidRDefault="00465DE0">
      <w:pPr>
        <w:pStyle w:val="Defpara"/>
      </w:pPr>
      <w:r>
        <w:tab/>
        <w:t>(e)</w:t>
      </w:r>
      <w:r>
        <w:tab/>
        <w:t>a notice, certificate or licence;</w:t>
      </w:r>
    </w:p>
    <w:p w:rsidR="00602A94" w:rsidRDefault="00465DE0">
      <w:pPr>
        <w:pStyle w:val="Defpara"/>
      </w:pPr>
      <w:r>
        <w:tab/>
        <w:t>(f)</w:t>
      </w:r>
      <w:r>
        <w:tab/>
        <w:t>an agreement;</w:t>
      </w:r>
    </w:p>
    <w:p w:rsidR="00602A94" w:rsidRDefault="00465DE0">
      <w:pPr>
        <w:pStyle w:val="Defpara"/>
      </w:pPr>
      <w:r>
        <w:tab/>
        <w:t>(g)</w:t>
      </w:r>
      <w:r>
        <w:tab/>
        <w:t>an application made, information or complaint laid, affidavit sworn, or warrant issued, for any purpose;</w:t>
      </w:r>
    </w:p>
    <w:p w:rsidR="00602A94" w:rsidRDefault="00465DE0">
      <w:pPr>
        <w:pStyle w:val="Defpara"/>
      </w:pPr>
      <w:r>
        <w:tab/>
        <w:t>(h)</w:t>
      </w:r>
      <w:r>
        <w:tab/>
        <w:t>an indictment, prosecution notice, presentment, summons or writ; or</w:t>
      </w:r>
    </w:p>
    <w:p w:rsidR="00602A94" w:rsidRDefault="00465DE0">
      <w:pPr>
        <w:pStyle w:val="Defpara"/>
      </w:pPr>
      <w:r>
        <w:tab/>
        <w:t>(i)</w:t>
      </w:r>
      <w:r>
        <w:tab/>
        <w:t>any other pleading in, or process issued in connection with, a legal or other proceeding;</w:t>
      </w:r>
    </w:p>
    <w:p w:rsidR="00602A94" w:rsidRDefault="00465DE0">
      <w:pPr>
        <w:pStyle w:val="Defstart"/>
      </w:pPr>
      <w:r>
        <w:rPr>
          <w:b/>
        </w:rPr>
        <w:tab/>
        <w:t>“</w:t>
      </w:r>
      <w:r>
        <w:rPr>
          <w:rStyle w:val="CharDefText"/>
        </w:rPr>
        <w:t>jurisdiction</w:t>
      </w:r>
      <w:r>
        <w:rPr>
          <w:b/>
        </w:rPr>
        <w:t>”</w:t>
      </w:r>
      <w:r>
        <w:t xml:space="preserve"> means a State or the participating Territories;</w:t>
      </w:r>
    </w:p>
    <w:p w:rsidR="00602A94" w:rsidRDefault="00465DE0">
      <w:pPr>
        <w:pStyle w:val="Defstart"/>
      </w:pPr>
      <w:r>
        <w:rPr>
          <w:b/>
        </w:rPr>
        <w:tab/>
        <w:t>“</w:t>
      </w:r>
      <w:r>
        <w:rPr>
          <w:rStyle w:val="CharDefText"/>
        </w:rPr>
        <w:t>law</w:t>
      </w:r>
      <w:r>
        <w:rPr>
          <w:b/>
        </w:rPr>
        <w:t>”</w:t>
      </w:r>
      <w:r>
        <w:t>, in relation to a participating Territory, means a law of, or in force in, that Territory;</w:t>
      </w:r>
    </w:p>
    <w:p w:rsidR="00602A94" w:rsidRDefault="00465DE0">
      <w:pPr>
        <w:pStyle w:val="Defstart"/>
      </w:pPr>
      <w:r>
        <w:rPr>
          <w:b/>
        </w:rPr>
        <w:tab/>
        <w:t>“</w:t>
      </w:r>
      <w:r>
        <w:rPr>
          <w:rStyle w:val="CharDefText"/>
        </w:rPr>
        <w:t>NRA</w:t>
      </w:r>
      <w:r>
        <w:rPr>
          <w:b/>
        </w:rPr>
        <w:t>”</w:t>
      </w:r>
      <w:r>
        <w:t xml:space="preserve"> means the National Registration Authority for Agricultural and Veterinary Chemicals established by the Agricultural and Veterinary Chemicals (Administration) Act;</w:t>
      </w:r>
    </w:p>
    <w:p w:rsidR="00602A94" w:rsidRDefault="00465DE0">
      <w:pPr>
        <w:pStyle w:val="Defstart"/>
      </w:pPr>
      <w:r>
        <w:rPr>
          <w:b/>
        </w:rPr>
        <w:tab/>
        <w:t>“</w:t>
      </w:r>
      <w:r>
        <w:rPr>
          <w:rStyle w:val="CharDefText"/>
        </w:rPr>
        <w:t>officer</w:t>
      </w:r>
      <w:r>
        <w:rPr>
          <w:b/>
        </w:rPr>
        <w:t>”</w:t>
      </w:r>
      <w:r>
        <w:t>, in relation to the Commonwealth, has the meaning given in the Agricultural and Veterinary Chemicals Act;</w:t>
      </w:r>
    </w:p>
    <w:p w:rsidR="00602A94" w:rsidRDefault="00465DE0">
      <w:pPr>
        <w:pStyle w:val="Defstart"/>
      </w:pPr>
      <w:r>
        <w:rPr>
          <w:b/>
        </w:rPr>
        <w:tab/>
        <w:t>“</w:t>
      </w:r>
      <w:r>
        <w:rPr>
          <w:rStyle w:val="CharDefText"/>
        </w:rPr>
        <w:t>participating Territory</w:t>
      </w:r>
      <w:r>
        <w:rPr>
          <w:b/>
        </w:rPr>
        <w:t>”</w:t>
      </w:r>
      <w:r>
        <w:t xml:space="preserve"> means — </w:t>
      </w:r>
    </w:p>
    <w:p w:rsidR="00602A94" w:rsidRDefault="00465DE0">
      <w:pPr>
        <w:pStyle w:val="Defpara"/>
      </w:pPr>
      <w:r>
        <w:tab/>
        <w:t>(a)</w:t>
      </w:r>
      <w:r>
        <w:tab/>
        <w:t>the Australian Capital Territory; or</w:t>
      </w:r>
    </w:p>
    <w:p w:rsidR="00602A94" w:rsidRDefault="00465DE0">
      <w:pPr>
        <w:pStyle w:val="Defpara"/>
      </w:pPr>
      <w:r>
        <w:tab/>
        <w:t>(b)</w:t>
      </w:r>
      <w:r>
        <w:tab/>
        <w:t>another Territory that is declared by regulations in force under section 25 of the Agricultural and Veterinary Chemicals Act to be a participating Territory;</w:t>
      </w:r>
    </w:p>
    <w:p w:rsidR="00602A94" w:rsidRDefault="00465DE0">
      <w:pPr>
        <w:pStyle w:val="Defstart"/>
      </w:pPr>
      <w:r>
        <w:rPr>
          <w:b/>
        </w:rPr>
        <w:tab/>
        <w:t>“</w:t>
      </w:r>
      <w:r>
        <w:rPr>
          <w:rStyle w:val="CharDefText"/>
        </w:rPr>
        <w:t>State</w:t>
      </w:r>
      <w:r>
        <w:rPr>
          <w:b/>
        </w:rPr>
        <w:t>”</w:t>
      </w:r>
      <w:r>
        <w:t xml:space="preserve"> includes the Northern Territory of Australia;</w:t>
      </w:r>
    </w:p>
    <w:p w:rsidR="00602A94" w:rsidRDefault="00465DE0">
      <w:pPr>
        <w:pStyle w:val="Defstart"/>
      </w:pPr>
      <w:r>
        <w:rPr>
          <w:b/>
        </w:rPr>
        <w:tab/>
        <w:t>“</w:t>
      </w:r>
      <w:r>
        <w:rPr>
          <w:rStyle w:val="CharDefText"/>
        </w:rPr>
        <w:t>Territory</w:t>
      </w:r>
      <w:r>
        <w:rPr>
          <w:b/>
        </w:rPr>
        <w:t>”</w:t>
      </w:r>
      <w:r>
        <w:t xml:space="preserve"> means a Territory referred to in section 122 of the Constitution of the Commonwealth, other than the Northern Territory of Australia, Norfolk Island, the Territory of Christmas Island or the Territory of Cocos (Keeling) Islands;</w:t>
      </w:r>
    </w:p>
    <w:p w:rsidR="00602A94" w:rsidRDefault="00465DE0">
      <w:pPr>
        <w:pStyle w:val="Defstart"/>
      </w:pPr>
      <w:r>
        <w:rPr>
          <w:b/>
        </w:rPr>
        <w:tab/>
        <w:t>“</w:t>
      </w:r>
      <w:r>
        <w:rPr>
          <w:rStyle w:val="CharDefText"/>
        </w:rPr>
        <w:t>this jurisdiction</w:t>
      </w:r>
      <w:r>
        <w:rPr>
          <w:b/>
        </w:rPr>
        <w:t>”</w:t>
      </w:r>
      <w:r>
        <w:t xml:space="preserve"> means Western Australia.</w:t>
      </w:r>
    </w:p>
    <w:p w:rsidR="00602A94" w:rsidRDefault="00465DE0">
      <w:pPr>
        <w:pStyle w:val="Footnotesection"/>
      </w:pPr>
      <w:r>
        <w:tab/>
        <w:t>[Section 3 amended by No. 21 of 2001 s. 4; No. 84 of 2004 s. 80.]</w:t>
      </w:r>
    </w:p>
    <w:p w:rsidR="00602A94" w:rsidRDefault="00465DE0">
      <w:pPr>
        <w:pStyle w:val="Heading5"/>
        <w:rPr>
          <w:snapToGrid w:val="0"/>
        </w:rPr>
      </w:pPr>
      <w:bookmarkStart w:id="25" w:name="_Toc515955366"/>
      <w:bookmarkStart w:id="26" w:name="_Toc531597818"/>
      <w:bookmarkStart w:id="27" w:name="_Toc536411468"/>
      <w:bookmarkStart w:id="28" w:name="_Toc1537291"/>
      <w:bookmarkStart w:id="29" w:name="_Toc102975396"/>
      <w:bookmarkStart w:id="30" w:name="_Toc137965212"/>
      <w:r>
        <w:rPr>
          <w:rStyle w:val="CharSectno"/>
        </w:rPr>
        <w:t>4</w:t>
      </w:r>
      <w:r>
        <w:rPr>
          <w:snapToGrid w:val="0"/>
        </w:rPr>
        <w:t>.</w:t>
      </w:r>
      <w:r>
        <w:rPr>
          <w:snapToGrid w:val="0"/>
        </w:rPr>
        <w:tab/>
        <w:t>Jervis Bay Territory</w:t>
      </w:r>
      <w:bookmarkEnd w:id="25"/>
      <w:bookmarkEnd w:id="26"/>
      <w:bookmarkEnd w:id="27"/>
      <w:bookmarkEnd w:id="28"/>
      <w:bookmarkEnd w:id="29"/>
      <w:bookmarkEnd w:id="30"/>
      <w:r>
        <w:rPr>
          <w:snapToGrid w:val="0"/>
        </w:rPr>
        <w:t xml:space="preserve"> </w:t>
      </w:r>
    </w:p>
    <w:p w:rsidR="00602A94" w:rsidRDefault="00465DE0">
      <w:pPr>
        <w:pStyle w:val="Subsection"/>
        <w:rPr>
          <w:snapToGrid w:val="0"/>
        </w:rPr>
      </w:pPr>
      <w:r>
        <w:rPr>
          <w:snapToGrid w:val="0"/>
        </w:rPr>
        <w:tab/>
      </w:r>
      <w:r>
        <w:rPr>
          <w:snapToGrid w:val="0"/>
        </w:rPr>
        <w:tab/>
        <w:t>For the purposes of this Act, and the Agvet Code and the Agvet Regulations of this jurisdiction, the Jervis Bay Territory is taken to be part of the Australian Capital Territory.</w:t>
      </w:r>
    </w:p>
    <w:p w:rsidR="00602A94" w:rsidRDefault="00465DE0">
      <w:pPr>
        <w:pStyle w:val="Heading2"/>
      </w:pPr>
      <w:bookmarkStart w:id="31" w:name="_Toc96225037"/>
      <w:bookmarkStart w:id="32" w:name="_Toc97095684"/>
      <w:bookmarkStart w:id="33" w:name="_Toc102975397"/>
      <w:bookmarkStart w:id="34" w:name="_Toc137964249"/>
      <w:bookmarkStart w:id="35" w:name="_Toc137965213"/>
      <w:r>
        <w:rPr>
          <w:rStyle w:val="CharPartNo"/>
        </w:rPr>
        <w:t>Part 2</w:t>
      </w:r>
      <w:r>
        <w:rPr>
          <w:rStyle w:val="CharDivNo"/>
        </w:rPr>
        <w:t> </w:t>
      </w:r>
      <w:r>
        <w:t>—</w:t>
      </w:r>
      <w:r>
        <w:rPr>
          <w:rStyle w:val="CharDivText"/>
        </w:rPr>
        <w:t> </w:t>
      </w:r>
      <w:r>
        <w:rPr>
          <w:rStyle w:val="CharPartText"/>
        </w:rPr>
        <w:t>The Agvet Code, and the Agvet Regulations, of this jurisdiction</w:t>
      </w:r>
      <w:bookmarkEnd w:id="31"/>
      <w:bookmarkEnd w:id="32"/>
      <w:bookmarkEnd w:id="33"/>
      <w:bookmarkEnd w:id="34"/>
      <w:bookmarkEnd w:id="35"/>
    </w:p>
    <w:p w:rsidR="00602A94" w:rsidRDefault="00465DE0">
      <w:pPr>
        <w:pStyle w:val="Heading5"/>
        <w:rPr>
          <w:snapToGrid w:val="0"/>
        </w:rPr>
      </w:pPr>
      <w:bookmarkStart w:id="36" w:name="_Toc515955367"/>
      <w:bookmarkStart w:id="37" w:name="_Toc531597819"/>
      <w:bookmarkStart w:id="38" w:name="_Toc536411469"/>
      <w:bookmarkStart w:id="39" w:name="_Toc1537292"/>
      <w:bookmarkStart w:id="40" w:name="_Toc102975398"/>
      <w:bookmarkStart w:id="41" w:name="_Toc137965214"/>
      <w:r>
        <w:rPr>
          <w:rStyle w:val="CharSectno"/>
        </w:rPr>
        <w:t>5</w:t>
      </w:r>
      <w:r>
        <w:rPr>
          <w:snapToGrid w:val="0"/>
        </w:rPr>
        <w:t>.</w:t>
      </w:r>
      <w:r>
        <w:rPr>
          <w:snapToGrid w:val="0"/>
        </w:rPr>
        <w:tab/>
        <w:t>Application of Agvet Code in this jurisdiction</w:t>
      </w:r>
      <w:bookmarkEnd w:id="36"/>
      <w:bookmarkEnd w:id="37"/>
      <w:bookmarkEnd w:id="38"/>
      <w:bookmarkEnd w:id="39"/>
      <w:bookmarkEnd w:id="40"/>
      <w:bookmarkEnd w:id="41"/>
      <w:r>
        <w:rPr>
          <w:snapToGrid w:val="0"/>
        </w:rPr>
        <w:t xml:space="preserve"> </w:t>
      </w:r>
    </w:p>
    <w:p w:rsidR="00602A94" w:rsidRDefault="00465DE0">
      <w:pPr>
        <w:pStyle w:val="Subsection"/>
        <w:rPr>
          <w:snapToGrid w:val="0"/>
        </w:rPr>
      </w:pPr>
      <w:r>
        <w:rPr>
          <w:snapToGrid w:val="0"/>
        </w:rPr>
        <w:tab/>
      </w:r>
      <w:r>
        <w:rPr>
          <w:snapToGrid w:val="0"/>
        </w:rPr>
        <w:tab/>
        <w:t>The Code set out in the Schedule to the Agricultural and Veterinary Chemicals Code Act as in force for the time being —</w:t>
      </w:r>
    </w:p>
    <w:p w:rsidR="00602A94" w:rsidRDefault="00465DE0">
      <w:pPr>
        <w:pStyle w:val="Indenta"/>
        <w:rPr>
          <w:snapToGrid w:val="0"/>
        </w:rPr>
      </w:pPr>
      <w:r>
        <w:rPr>
          <w:snapToGrid w:val="0"/>
        </w:rPr>
        <w:tab/>
        <w:t>(a)</w:t>
      </w:r>
      <w:r>
        <w:rPr>
          <w:snapToGrid w:val="0"/>
        </w:rPr>
        <w:tab/>
        <w:t>applies as a law of Western Australia; and</w:t>
      </w:r>
    </w:p>
    <w:p w:rsidR="00602A94" w:rsidRDefault="00465DE0">
      <w:pPr>
        <w:pStyle w:val="Indenta"/>
        <w:rPr>
          <w:snapToGrid w:val="0"/>
        </w:rPr>
      </w:pPr>
      <w:r>
        <w:rPr>
          <w:snapToGrid w:val="0"/>
        </w:rPr>
        <w:tab/>
        <w:t>(b)</w:t>
      </w:r>
      <w:r>
        <w:rPr>
          <w:snapToGrid w:val="0"/>
        </w:rPr>
        <w:tab/>
        <w:t>as so applying, may be cited as the Agvet Code of Western Australia.</w:t>
      </w:r>
    </w:p>
    <w:p w:rsidR="00602A94" w:rsidRDefault="00465DE0">
      <w:pPr>
        <w:pStyle w:val="Heading5"/>
        <w:rPr>
          <w:snapToGrid w:val="0"/>
        </w:rPr>
      </w:pPr>
      <w:bookmarkStart w:id="42" w:name="_Toc515955368"/>
      <w:bookmarkStart w:id="43" w:name="_Toc531597820"/>
      <w:bookmarkStart w:id="44" w:name="_Toc536411470"/>
      <w:bookmarkStart w:id="45" w:name="_Toc1537293"/>
      <w:bookmarkStart w:id="46" w:name="_Toc102975399"/>
      <w:bookmarkStart w:id="47" w:name="_Toc137965215"/>
      <w:r>
        <w:rPr>
          <w:rStyle w:val="CharSectno"/>
        </w:rPr>
        <w:t>6</w:t>
      </w:r>
      <w:r>
        <w:rPr>
          <w:snapToGrid w:val="0"/>
        </w:rPr>
        <w:t>.</w:t>
      </w:r>
      <w:r>
        <w:rPr>
          <w:snapToGrid w:val="0"/>
        </w:rPr>
        <w:tab/>
        <w:t>Application of Agvet Regulations in this jurisdiction</w:t>
      </w:r>
      <w:bookmarkEnd w:id="42"/>
      <w:bookmarkEnd w:id="43"/>
      <w:bookmarkEnd w:id="44"/>
      <w:bookmarkEnd w:id="45"/>
      <w:bookmarkEnd w:id="46"/>
      <w:bookmarkEnd w:id="47"/>
      <w:r>
        <w:rPr>
          <w:snapToGrid w:val="0"/>
        </w:rPr>
        <w:t xml:space="preserve"> </w:t>
      </w:r>
    </w:p>
    <w:p w:rsidR="00602A94" w:rsidRDefault="00465DE0">
      <w:pPr>
        <w:pStyle w:val="Subsection"/>
        <w:rPr>
          <w:snapToGrid w:val="0"/>
        </w:rPr>
      </w:pPr>
      <w:r>
        <w:rPr>
          <w:snapToGrid w:val="0"/>
        </w:rPr>
        <w:tab/>
      </w:r>
      <w:r>
        <w:rPr>
          <w:snapToGrid w:val="0"/>
        </w:rPr>
        <w:tab/>
        <w:t>The regulations in force for the time being under section 6 of the Agricultural and Veterinary Chemicals Code Act — </w:t>
      </w:r>
    </w:p>
    <w:p w:rsidR="00602A94" w:rsidRDefault="00465DE0">
      <w:pPr>
        <w:pStyle w:val="Indenta"/>
        <w:rPr>
          <w:snapToGrid w:val="0"/>
        </w:rPr>
      </w:pPr>
      <w:r>
        <w:rPr>
          <w:snapToGrid w:val="0"/>
        </w:rPr>
        <w:tab/>
        <w:t>(a)</w:t>
      </w:r>
      <w:r>
        <w:rPr>
          <w:snapToGrid w:val="0"/>
        </w:rPr>
        <w:tab/>
        <w:t>apply as regulations in force for the purposes of the Agvet Code of Western Australia; and</w:t>
      </w:r>
    </w:p>
    <w:p w:rsidR="00602A94" w:rsidRDefault="00465DE0">
      <w:pPr>
        <w:pStyle w:val="Indenta"/>
        <w:rPr>
          <w:snapToGrid w:val="0"/>
        </w:rPr>
      </w:pPr>
      <w:r>
        <w:rPr>
          <w:snapToGrid w:val="0"/>
        </w:rPr>
        <w:tab/>
        <w:t>(b)</w:t>
      </w:r>
      <w:r>
        <w:rPr>
          <w:snapToGrid w:val="0"/>
        </w:rPr>
        <w:tab/>
        <w:t>as so applying, may be referred to as the Agvet Regulations of Western Australia.</w:t>
      </w:r>
    </w:p>
    <w:p w:rsidR="00602A94" w:rsidRDefault="00465DE0">
      <w:pPr>
        <w:pStyle w:val="Heading5"/>
        <w:rPr>
          <w:snapToGrid w:val="0"/>
        </w:rPr>
      </w:pPr>
      <w:bookmarkStart w:id="48" w:name="_Toc515955369"/>
      <w:bookmarkStart w:id="49" w:name="_Toc531597821"/>
      <w:bookmarkStart w:id="50" w:name="_Toc536411471"/>
      <w:bookmarkStart w:id="51" w:name="_Toc1537294"/>
      <w:bookmarkStart w:id="52" w:name="_Toc102975400"/>
      <w:bookmarkStart w:id="53" w:name="_Toc137965216"/>
      <w:r>
        <w:rPr>
          <w:rStyle w:val="CharSectno"/>
        </w:rPr>
        <w:t>7</w:t>
      </w:r>
      <w:r>
        <w:rPr>
          <w:snapToGrid w:val="0"/>
        </w:rPr>
        <w:t>.</w:t>
      </w:r>
      <w:r>
        <w:rPr>
          <w:snapToGrid w:val="0"/>
        </w:rPr>
        <w:tab/>
        <w:t>Interpretation of Agvet Code and Agvet Regulations of this jurisdiction</w:t>
      </w:r>
      <w:bookmarkEnd w:id="48"/>
      <w:bookmarkEnd w:id="49"/>
      <w:bookmarkEnd w:id="50"/>
      <w:bookmarkEnd w:id="51"/>
      <w:bookmarkEnd w:id="52"/>
      <w:bookmarkEnd w:id="53"/>
      <w:r>
        <w:rPr>
          <w:snapToGrid w:val="0"/>
        </w:rPr>
        <w:t xml:space="preserve"> </w:t>
      </w:r>
    </w:p>
    <w:p w:rsidR="00602A94" w:rsidRDefault="00465DE0">
      <w:pPr>
        <w:pStyle w:val="Subsection"/>
        <w:rPr>
          <w:snapToGrid w:val="0"/>
        </w:rPr>
      </w:pPr>
      <w:r>
        <w:rPr>
          <w:snapToGrid w:val="0"/>
        </w:rPr>
        <w:tab/>
        <w:t>(1)</w:t>
      </w:r>
      <w:r>
        <w:rPr>
          <w:snapToGrid w:val="0"/>
        </w:rPr>
        <w:tab/>
        <w:t>In the Agvet Code, and the Agvet Regulations, of this jurisdiction — </w:t>
      </w:r>
    </w:p>
    <w:p w:rsidR="00602A94" w:rsidRDefault="00465DE0">
      <w:pPr>
        <w:pStyle w:val="Defstart"/>
      </w:pPr>
      <w:r>
        <w:rPr>
          <w:b/>
        </w:rPr>
        <w:tab/>
        <w:t>“</w:t>
      </w:r>
      <w:r>
        <w:rPr>
          <w:rStyle w:val="CharDefText"/>
        </w:rPr>
        <w:t>the Minister for this jurisdiction</w:t>
      </w:r>
      <w:r>
        <w:rPr>
          <w:b/>
        </w:rPr>
        <w:t>”</w:t>
      </w:r>
      <w:r>
        <w:t xml:space="preserve"> means the Minister;</w:t>
      </w:r>
    </w:p>
    <w:p w:rsidR="00602A94" w:rsidRDefault="00465DE0">
      <w:pPr>
        <w:pStyle w:val="Defstart"/>
      </w:pPr>
      <w:r>
        <w:rPr>
          <w:b/>
        </w:rPr>
        <w:tab/>
        <w:t>“</w:t>
      </w:r>
      <w:r>
        <w:rPr>
          <w:rStyle w:val="CharDefText"/>
        </w:rPr>
        <w:t>this jurisdiction</w:t>
      </w:r>
      <w:r>
        <w:rPr>
          <w:b/>
        </w:rPr>
        <w:t>”</w:t>
      </w:r>
      <w:r>
        <w:t xml:space="preserve"> means Western Australia.</w:t>
      </w:r>
    </w:p>
    <w:p w:rsidR="00602A94" w:rsidRDefault="00465DE0">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 </w:t>
      </w:r>
    </w:p>
    <w:p w:rsidR="00602A94" w:rsidRDefault="00465DE0">
      <w:pPr>
        <w:pStyle w:val="Indenta"/>
        <w:rPr>
          <w:snapToGrid w:val="0"/>
        </w:rPr>
      </w:pPr>
      <w:r>
        <w:rPr>
          <w:snapToGrid w:val="0"/>
        </w:rPr>
        <w:tab/>
        <w:t>(a)</w:t>
      </w:r>
      <w:r>
        <w:rPr>
          <w:snapToGrid w:val="0"/>
        </w:rPr>
        <w:tab/>
        <w:t>the Agvet Code, and the Agvet Regulations, of this jurisdiction; and</w:t>
      </w:r>
    </w:p>
    <w:p w:rsidR="00602A94" w:rsidRDefault="00465DE0">
      <w:pPr>
        <w:pStyle w:val="Indenta"/>
        <w:rPr>
          <w:snapToGrid w:val="0"/>
        </w:rPr>
      </w:pPr>
      <w:r>
        <w:rPr>
          <w:snapToGrid w:val="0"/>
        </w:rPr>
        <w:tab/>
        <w:t>(b)</w:t>
      </w:r>
      <w:r>
        <w:rPr>
          <w:snapToGrid w:val="0"/>
        </w:rPr>
        <w:tab/>
        <w:t>any instrument made, granted or issued under that Code or those regulations.</w:t>
      </w:r>
    </w:p>
    <w:p w:rsidR="00602A94" w:rsidRDefault="00465DE0">
      <w:pPr>
        <w:pStyle w:val="Subsection"/>
        <w:rPr>
          <w:snapToGrid w:val="0"/>
        </w:rPr>
      </w:pPr>
      <w:r>
        <w:rPr>
          <w:snapToGrid w:val="0"/>
        </w:rPr>
        <w:tab/>
        <w:t>(3)</w:t>
      </w:r>
      <w:r>
        <w:rPr>
          <w:snapToGrid w:val="0"/>
        </w:rPr>
        <w:tab/>
        <w:t>For the purposes of subsection (2), the Commonwealth Act mentioned in that subsection applies as if — </w:t>
      </w:r>
    </w:p>
    <w:p w:rsidR="00602A94" w:rsidRDefault="00465DE0">
      <w:pPr>
        <w:pStyle w:val="Indenta"/>
        <w:rPr>
          <w:snapToGrid w:val="0"/>
        </w:rPr>
      </w:pPr>
      <w:r>
        <w:rPr>
          <w:snapToGrid w:val="0"/>
        </w:rPr>
        <w:tab/>
        <w:t>(a)</w:t>
      </w:r>
      <w:r>
        <w:rPr>
          <w:snapToGrid w:val="0"/>
        </w:rPr>
        <w:tab/>
        <w:t>the Agvet Code of this jurisdiction were a Commonwealth Act; and</w:t>
      </w:r>
    </w:p>
    <w:p w:rsidR="00602A94" w:rsidRDefault="00465DE0">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rsidR="00602A94" w:rsidRDefault="00465DE0">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 </w:t>
      </w:r>
    </w:p>
    <w:p w:rsidR="00602A94" w:rsidRDefault="00465DE0">
      <w:pPr>
        <w:pStyle w:val="Indenta"/>
        <w:rPr>
          <w:snapToGrid w:val="0"/>
        </w:rPr>
      </w:pPr>
      <w:r>
        <w:rPr>
          <w:snapToGrid w:val="0"/>
        </w:rPr>
        <w:tab/>
        <w:t>(a)</w:t>
      </w:r>
      <w:r>
        <w:rPr>
          <w:snapToGrid w:val="0"/>
        </w:rPr>
        <w:tab/>
        <w:t>the Agvet Code, or the Agvet Regulations, of Western Australia; or</w:t>
      </w:r>
    </w:p>
    <w:p w:rsidR="00602A94" w:rsidRDefault="00465DE0">
      <w:pPr>
        <w:pStyle w:val="Indenta"/>
        <w:rPr>
          <w:snapToGrid w:val="0"/>
        </w:rPr>
      </w:pPr>
      <w:r>
        <w:rPr>
          <w:snapToGrid w:val="0"/>
        </w:rPr>
        <w:tab/>
        <w:t>(b)</w:t>
      </w:r>
      <w:r>
        <w:rPr>
          <w:snapToGrid w:val="0"/>
        </w:rPr>
        <w:tab/>
        <w:t>any instrument made, granted or issued under that Code or those Regulations.</w:t>
      </w:r>
    </w:p>
    <w:p w:rsidR="00602A94" w:rsidRDefault="00465DE0">
      <w:pPr>
        <w:pStyle w:val="Heading5"/>
        <w:rPr>
          <w:snapToGrid w:val="0"/>
        </w:rPr>
      </w:pPr>
      <w:bookmarkStart w:id="54" w:name="_Toc515955370"/>
      <w:bookmarkStart w:id="55" w:name="_Toc531597822"/>
      <w:bookmarkStart w:id="56" w:name="_Toc536411472"/>
      <w:bookmarkStart w:id="57" w:name="_Toc1537295"/>
      <w:bookmarkStart w:id="58" w:name="_Toc102975401"/>
      <w:bookmarkStart w:id="59" w:name="_Toc137965217"/>
      <w:r>
        <w:rPr>
          <w:rStyle w:val="CharSectno"/>
        </w:rPr>
        <w:t>8</w:t>
      </w:r>
      <w:r>
        <w:rPr>
          <w:snapToGrid w:val="0"/>
        </w:rPr>
        <w:t>.</w:t>
      </w:r>
      <w:r>
        <w:rPr>
          <w:snapToGrid w:val="0"/>
        </w:rPr>
        <w:tab/>
        <w:t>Ancillary offences (parties to offences, attempts, incitement or conspiracy)</w:t>
      </w:r>
      <w:bookmarkEnd w:id="54"/>
      <w:bookmarkEnd w:id="55"/>
      <w:bookmarkEnd w:id="56"/>
      <w:bookmarkEnd w:id="57"/>
      <w:bookmarkEnd w:id="58"/>
      <w:bookmarkEnd w:id="59"/>
      <w:r>
        <w:rPr>
          <w:snapToGrid w:val="0"/>
        </w:rPr>
        <w:t xml:space="preserve"> </w:t>
      </w:r>
    </w:p>
    <w:p w:rsidR="00602A94" w:rsidRDefault="00465DE0">
      <w:pPr>
        <w:pStyle w:val="Subsection"/>
        <w:rPr>
          <w:snapToGrid w:val="0"/>
        </w:rPr>
      </w:pPr>
      <w:r>
        <w:rPr>
          <w:snapToGrid w:val="0"/>
        </w:rPr>
        <w:tab/>
        <w:t>(1)</w:t>
      </w:r>
      <w:r>
        <w:rPr>
          <w:snapToGrid w:val="0"/>
        </w:rPr>
        <w:tab/>
        <w:t xml:space="preserve">In this section, </w:t>
      </w:r>
      <w:r>
        <w:rPr>
          <w:b/>
          <w:snapToGrid w:val="0"/>
        </w:rPr>
        <w:t>“</w:t>
      </w:r>
      <w:r>
        <w:rPr>
          <w:rStyle w:val="CharDefText"/>
        </w:rPr>
        <w:t>ancillary criminal laws</w:t>
      </w:r>
      <w:r>
        <w:rPr>
          <w:b/>
          <w:snapToGrid w:val="0"/>
        </w:rPr>
        <w:t>”</w:t>
      </w:r>
      <w:r>
        <w:rPr>
          <w:snapToGrid w:val="0"/>
        </w:rPr>
        <w:t xml:space="preserve"> means section 4, Chapters II, LVII and LVIII and section 562 of </w:t>
      </w:r>
      <w:r>
        <w:rPr>
          <w:i/>
          <w:snapToGrid w:val="0"/>
        </w:rPr>
        <w:t>The Criminal Code</w:t>
      </w:r>
      <w:r>
        <w:rPr>
          <w:snapToGrid w:val="0"/>
        </w:rPr>
        <w:t>.</w:t>
      </w:r>
    </w:p>
    <w:p w:rsidR="00602A94" w:rsidRDefault="00465DE0">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 </w:t>
      </w:r>
    </w:p>
    <w:p w:rsidR="00602A94" w:rsidRDefault="00465DE0">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rsidR="00602A94" w:rsidRDefault="00465DE0">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 </w:t>
      </w:r>
    </w:p>
    <w:p w:rsidR="00602A94" w:rsidRDefault="00465DE0">
      <w:pPr>
        <w:pStyle w:val="MiscOpen"/>
        <w:tabs>
          <w:tab w:val="clear" w:pos="893"/>
        </w:tabs>
        <w:ind w:left="1616"/>
        <w:rPr>
          <w:snapToGrid w:val="0"/>
        </w:rPr>
      </w:pPr>
      <w:r>
        <w:rPr>
          <w:snapToGrid w:val="0"/>
        </w:rPr>
        <w:t>“</w:t>
      </w:r>
    </w:p>
    <w:p w:rsidR="00602A94" w:rsidRDefault="00465DE0">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rsidR="00602A94" w:rsidRDefault="00465DE0">
      <w:pPr>
        <w:pStyle w:val="MiscClose"/>
        <w:rPr>
          <w:snapToGrid w:val="0"/>
        </w:rPr>
      </w:pPr>
      <w:r>
        <w:rPr>
          <w:snapToGrid w:val="0"/>
        </w:rPr>
        <w:t>”.</w:t>
      </w:r>
    </w:p>
    <w:p w:rsidR="00602A94" w:rsidRDefault="00465DE0">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rsidR="00602A94" w:rsidRDefault="00465DE0">
      <w:pPr>
        <w:pStyle w:val="Heading2"/>
      </w:pPr>
      <w:bookmarkStart w:id="60" w:name="_Toc96225042"/>
      <w:bookmarkStart w:id="61" w:name="_Toc97095689"/>
      <w:bookmarkStart w:id="62" w:name="_Toc102975402"/>
      <w:bookmarkStart w:id="63" w:name="_Toc137964254"/>
      <w:bookmarkStart w:id="64" w:name="_Toc137965218"/>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60"/>
      <w:bookmarkEnd w:id="61"/>
      <w:bookmarkEnd w:id="62"/>
      <w:bookmarkEnd w:id="63"/>
      <w:bookmarkEnd w:id="64"/>
    </w:p>
    <w:p w:rsidR="00602A94" w:rsidRDefault="00465DE0">
      <w:pPr>
        <w:pStyle w:val="Heading5"/>
        <w:rPr>
          <w:snapToGrid w:val="0"/>
        </w:rPr>
      </w:pPr>
      <w:bookmarkStart w:id="65" w:name="_Toc515955371"/>
      <w:bookmarkStart w:id="66" w:name="_Toc531597823"/>
      <w:bookmarkStart w:id="67" w:name="_Toc536411473"/>
      <w:bookmarkStart w:id="68" w:name="_Toc1537296"/>
      <w:bookmarkStart w:id="69" w:name="_Toc102975403"/>
      <w:bookmarkStart w:id="70" w:name="_Toc137965219"/>
      <w:r>
        <w:rPr>
          <w:rStyle w:val="CharSectno"/>
        </w:rPr>
        <w:t>9</w:t>
      </w:r>
      <w:r>
        <w:rPr>
          <w:snapToGrid w:val="0"/>
        </w:rPr>
        <w:t>.</w:t>
      </w:r>
      <w:r>
        <w:rPr>
          <w:snapToGrid w:val="0"/>
        </w:rPr>
        <w:tab/>
        <w:t>References to Agvet Codes and Agvet Regulations of other jurisdictions</w:t>
      </w:r>
      <w:bookmarkEnd w:id="65"/>
      <w:bookmarkEnd w:id="66"/>
      <w:bookmarkEnd w:id="67"/>
      <w:bookmarkEnd w:id="68"/>
      <w:bookmarkEnd w:id="69"/>
      <w:bookmarkEnd w:id="70"/>
      <w:r>
        <w:rPr>
          <w:snapToGrid w:val="0"/>
        </w:rPr>
        <w:t xml:space="preserve"> </w:t>
      </w:r>
    </w:p>
    <w:p w:rsidR="00602A94" w:rsidRDefault="00465DE0">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rsidR="00602A94" w:rsidRDefault="00465DE0">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rsidR="00602A94" w:rsidRDefault="00465DE0">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rsidR="00602A94" w:rsidRDefault="00465DE0">
      <w:pPr>
        <w:pStyle w:val="Heading5"/>
        <w:rPr>
          <w:snapToGrid w:val="0"/>
        </w:rPr>
      </w:pPr>
      <w:bookmarkStart w:id="71" w:name="_Toc515955372"/>
      <w:bookmarkStart w:id="72" w:name="_Toc531597824"/>
      <w:bookmarkStart w:id="73" w:name="_Toc536411474"/>
      <w:bookmarkStart w:id="74" w:name="_Toc1537297"/>
      <w:bookmarkStart w:id="75" w:name="_Toc102975404"/>
      <w:bookmarkStart w:id="76" w:name="_Toc137965220"/>
      <w:r>
        <w:rPr>
          <w:rStyle w:val="CharSectno"/>
        </w:rPr>
        <w:t>10</w:t>
      </w:r>
      <w:r>
        <w:rPr>
          <w:snapToGrid w:val="0"/>
        </w:rPr>
        <w:t>.</w:t>
      </w:r>
      <w:r>
        <w:rPr>
          <w:snapToGrid w:val="0"/>
        </w:rPr>
        <w:tab/>
        <w:t>References to Agvet Codes and Agvet Regulations</w:t>
      </w:r>
      <w:bookmarkEnd w:id="71"/>
      <w:bookmarkEnd w:id="72"/>
      <w:bookmarkEnd w:id="73"/>
      <w:bookmarkEnd w:id="74"/>
      <w:bookmarkEnd w:id="75"/>
      <w:bookmarkEnd w:id="76"/>
      <w:r>
        <w:rPr>
          <w:snapToGrid w:val="0"/>
        </w:rPr>
        <w:t xml:space="preserve"> </w:t>
      </w:r>
    </w:p>
    <w:p w:rsidR="00602A94" w:rsidRDefault="00465DE0">
      <w:pPr>
        <w:pStyle w:val="Subsection"/>
        <w:rPr>
          <w:snapToGrid w:val="0"/>
        </w:rPr>
      </w:pPr>
      <w:r>
        <w:rPr>
          <w:snapToGrid w:val="0"/>
        </w:rPr>
        <w:tab/>
        <w:t>(1)</w:t>
      </w:r>
      <w:r>
        <w:rPr>
          <w:snapToGrid w:val="0"/>
        </w:rPr>
        <w:tab/>
        <w:t>The object of this section is to help ensure that the Agvet Code of this jurisdiction can operate, in appropriate circumstances, as if that Code, together with the Agvet Code of each other jurisdiction, constituted a single national Agvet Code applying throughout Australia.</w:t>
      </w:r>
    </w:p>
    <w:p w:rsidR="00602A94" w:rsidRDefault="00465DE0">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 </w:t>
      </w:r>
    </w:p>
    <w:p w:rsidR="00602A94" w:rsidRDefault="00465DE0">
      <w:pPr>
        <w:pStyle w:val="Indenta"/>
        <w:rPr>
          <w:snapToGrid w:val="0"/>
        </w:rPr>
      </w:pPr>
      <w:r>
        <w:rPr>
          <w:snapToGrid w:val="0"/>
        </w:rPr>
        <w:tab/>
        <w:t>(a)</w:t>
      </w:r>
      <w:r>
        <w:rPr>
          <w:snapToGrid w:val="0"/>
        </w:rPr>
        <w:tab/>
        <w:t>to be a reference to the Agvet Code, or to the Agvet Regulations, of this jurisdiction; and</w:t>
      </w:r>
    </w:p>
    <w:p w:rsidR="00602A94" w:rsidRDefault="00465DE0">
      <w:pPr>
        <w:pStyle w:val="Indenta"/>
        <w:rPr>
          <w:snapToGrid w:val="0"/>
        </w:rPr>
      </w:pPr>
      <w:r>
        <w:rPr>
          <w:snapToGrid w:val="0"/>
        </w:rPr>
        <w:tab/>
        <w:t>(b)</w:t>
      </w:r>
      <w:r>
        <w:rPr>
          <w:snapToGrid w:val="0"/>
        </w:rPr>
        <w:tab/>
        <w:t>to include a separate reference to the Agvet Code, or to the Agvet Regulations, of each other jurisdiction.</w:t>
      </w:r>
    </w:p>
    <w:p w:rsidR="00602A94" w:rsidRDefault="00465DE0">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rsidR="00602A94" w:rsidRDefault="00465DE0">
      <w:pPr>
        <w:pStyle w:val="Heading2"/>
      </w:pPr>
      <w:bookmarkStart w:id="77" w:name="_Toc96225045"/>
      <w:bookmarkStart w:id="78" w:name="_Toc97095692"/>
      <w:bookmarkStart w:id="79" w:name="_Toc102975405"/>
      <w:bookmarkStart w:id="80" w:name="_Toc137964257"/>
      <w:bookmarkStart w:id="81" w:name="_Toc137965221"/>
      <w:r>
        <w:rPr>
          <w:rStyle w:val="CharPartNo"/>
        </w:rPr>
        <w:t>Part 4</w:t>
      </w:r>
      <w:r>
        <w:rPr>
          <w:rStyle w:val="CharDivNo"/>
        </w:rPr>
        <w:t> </w:t>
      </w:r>
      <w:r>
        <w:t>—</w:t>
      </w:r>
      <w:r>
        <w:rPr>
          <w:rStyle w:val="CharDivText"/>
        </w:rPr>
        <w:t> </w:t>
      </w:r>
      <w:r>
        <w:rPr>
          <w:rStyle w:val="CharPartText"/>
        </w:rPr>
        <w:t>Application of Agvet Codes to the Crown</w:t>
      </w:r>
      <w:bookmarkEnd w:id="77"/>
      <w:bookmarkEnd w:id="78"/>
      <w:bookmarkEnd w:id="79"/>
      <w:bookmarkEnd w:id="80"/>
      <w:bookmarkEnd w:id="81"/>
    </w:p>
    <w:p w:rsidR="00602A94" w:rsidRDefault="00465DE0">
      <w:pPr>
        <w:pStyle w:val="Heading5"/>
        <w:rPr>
          <w:snapToGrid w:val="0"/>
        </w:rPr>
      </w:pPr>
      <w:bookmarkStart w:id="82" w:name="_Toc515955373"/>
      <w:bookmarkStart w:id="83" w:name="_Toc531597825"/>
      <w:bookmarkStart w:id="84" w:name="_Toc536411475"/>
      <w:bookmarkStart w:id="85" w:name="_Toc1537298"/>
      <w:bookmarkStart w:id="86" w:name="_Toc102975406"/>
      <w:bookmarkStart w:id="87" w:name="_Toc137965222"/>
      <w:r>
        <w:rPr>
          <w:rStyle w:val="CharSectno"/>
        </w:rPr>
        <w:t>11</w:t>
      </w:r>
      <w:r>
        <w:rPr>
          <w:snapToGrid w:val="0"/>
        </w:rPr>
        <w:t>.</w:t>
      </w:r>
      <w:r>
        <w:rPr>
          <w:snapToGrid w:val="0"/>
        </w:rPr>
        <w:tab/>
        <w:t>Agvet Code of this jurisdiction binds the Crown</w:t>
      </w:r>
      <w:bookmarkEnd w:id="82"/>
      <w:bookmarkEnd w:id="83"/>
      <w:bookmarkEnd w:id="84"/>
      <w:bookmarkEnd w:id="85"/>
      <w:bookmarkEnd w:id="86"/>
      <w:bookmarkEnd w:id="87"/>
      <w:r>
        <w:rPr>
          <w:snapToGrid w:val="0"/>
        </w:rPr>
        <w:t xml:space="preserve"> </w:t>
      </w:r>
    </w:p>
    <w:p w:rsidR="00602A94" w:rsidRDefault="00465DE0">
      <w:pPr>
        <w:pStyle w:val="Subsection"/>
        <w:rPr>
          <w:snapToGrid w:val="0"/>
        </w:rPr>
      </w:pPr>
      <w:r>
        <w:rPr>
          <w:snapToGrid w:val="0"/>
        </w:rPr>
        <w:tab/>
      </w:r>
      <w:r>
        <w:rPr>
          <w:snapToGrid w:val="0"/>
        </w:rPr>
        <w:tab/>
        <w:t>The Agvet Code of this jurisdiction binds the Crown.</w:t>
      </w:r>
    </w:p>
    <w:p w:rsidR="00602A94" w:rsidRDefault="00465DE0">
      <w:pPr>
        <w:pStyle w:val="Heading5"/>
        <w:rPr>
          <w:snapToGrid w:val="0"/>
        </w:rPr>
      </w:pPr>
      <w:bookmarkStart w:id="88" w:name="_Toc515955374"/>
      <w:bookmarkStart w:id="89" w:name="_Toc531597826"/>
      <w:bookmarkStart w:id="90" w:name="_Toc536411476"/>
      <w:bookmarkStart w:id="91" w:name="_Toc1537299"/>
      <w:bookmarkStart w:id="92" w:name="_Toc102975407"/>
      <w:bookmarkStart w:id="93" w:name="_Toc137965223"/>
      <w:r>
        <w:rPr>
          <w:rStyle w:val="CharSectno"/>
        </w:rPr>
        <w:t>12</w:t>
      </w:r>
      <w:r>
        <w:rPr>
          <w:snapToGrid w:val="0"/>
        </w:rPr>
        <w:t>.</w:t>
      </w:r>
      <w:r>
        <w:rPr>
          <w:snapToGrid w:val="0"/>
        </w:rPr>
        <w:tab/>
        <w:t>Agvet Code of other jurisdictions</w:t>
      </w:r>
      <w:bookmarkEnd w:id="88"/>
      <w:bookmarkEnd w:id="89"/>
      <w:bookmarkEnd w:id="90"/>
      <w:bookmarkEnd w:id="91"/>
      <w:bookmarkEnd w:id="92"/>
      <w:bookmarkEnd w:id="93"/>
      <w:r>
        <w:rPr>
          <w:snapToGrid w:val="0"/>
        </w:rPr>
        <w:t xml:space="preserve"> </w:t>
      </w:r>
    </w:p>
    <w:p w:rsidR="00602A94" w:rsidRDefault="00465DE0">
      <w:pPr>
        <w:pStyle w:val="Subsection"/>
        <w:rPr>
          <w:snapToGrid w:val="0"/>
        </w:rPr>
      </w:pPr>
      <w:r>
        <w:rPr>
          <w:snapToGrid w:val="0"/>
        </w:rPr>
        <w:tab/>
      </w:r>
      <w:r>
        <w:rPr>
          <w:snapToGrid w:val="0"/>
        </w:rPr>
        <w:tab/>
        <w:t>The Agvet Code of each jurisdiction other than this jurisdiction binds the Crown in right of this jurisdiction.</w:t>
      </w:r>
    </w:p>
    <w:p w:rsidR="00602A94" w:rsidRDefault="00465DE0">
      <w:pPr>
        <w:pStyle w:val="Heading5"/>
        <w:rPr>
          <w:snapToGrid w:val="0"/>
        </w:rPr>
      </w:pPr>
      <w:bookmarkStart w:id="94" w:name="_Toc515955375"/>
      <w:bookmarkStart w:id="95" w:name="_Toc531597827"/>
      <w:bookmarkStart w:id="96" w:name="_Toc536411477"/>
      <w:bookmarkStart w:id="97" w:name="_Toc1537300"/>
      <w:bookmarkStart w:id="98" w:name="_Toc102975408"/>
      <w:bookmarkStart w:id="99" w:name="_Toc137965224"/>
      <w:r>
        <w:rPr>
          <w:rStyle w:val="CharSectno"/>
        </w:rPr>
        <w:t>13</w:t>
      </w:r>
      <w:r>
        <w:rPr>
          <w:snapToGrid w:val="0"/>
        </w:rPr>
        <w:t>.</w:t>
      </w:r>
      <w:r>
        <w:rPr>
          <w:snapToGrid w:val="0"/>
        </w:rPr>
        <w:tab/>
        <w:t>Crown not liable to prosecution</w:t>
      </w:r>
      <w:bookmarkEnd w:id="94"/>
      <w:bookmarkEnd w:id="95"/>
      <w:bookmarkEnd w:id="96"/>
      <w:bookmarkEnd w:id="97"/>
      <w:bookmarkEnd w:id="98"/>
      <w:bookmarkEnd w:id="99"/>
      <w:r>
        <w:rPr>
          <w:snapToGrid w:val="0"/>
        </w:rPr>
        <w:t xml:space="preserve"> </w:t>
      </w:r>
    </w:p>
    <w:p w:rsidR="00602A94" w:rsidRDefault="00465DE0">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rsidR="00602A94" w:rsidRDefault="00465DE0">
      <w:pPr>
        <w:pStyle w:val="Heading5"/>
        <w:rPr>
          <w:snapToGrid w:val="0"/>
        </w:rPr>
      </w:pPr>
      <w:bookmarkStart w:id="100" w:name="_Toc515955376"/>
      <w:bookmarkStart w:id="101" w:name="_Toc531597828"/>
      <w:bookmarkStart w:id="102" w:name="_Toc536411478"/>
      <w:bookmarkStart w:id="103" w:name="_Toc1537301"/>
      <w:bookmarkStart w:id="104" w:name="_Toc102975409"/>
      <w:bookmarkStart w:id="105" w:name="_Toc137965225"/>
      <w:r>
        <w:rPr>
          <w:rStyle w:val="CharSectno"/>
        </w:rPr>
        <w:t>14</w:t>
      </w:r>
      <w:r>
        <w:rPr>
          <w:snapToGrid w:val="0"/>
        </w:rPr>
        <w:t>.</w:t>
      </w:r>
      <w:r>
        <w:rPr>
          <w:snapToGrid w:val="0"/>
        </w:rPr>
        <w:tab/>
        <w:t>This Part overrides the prerogative</w:t>
      </w:r>
      <w:bookmarkEnd w:id="100"/>
      <w:bookmarkEnd w:id="101"/>
      <w:bookmarkEnd w:id="102"/>
      <w:bookmarkEnd w:id="103"/>
      <w:bookmarkEnd w:id="104"/>
      <w:bookmarkEnd w:id="105"/>
      <w:r>
        <w:rPr>
          <w:snapToGrid w:val="0"/>
        </w:rPr>
        <w:t xml:space="preserve"> </w:t>
      </w:r>
    </w:p>
    <w:p w:rsidR="00602A94" w:rsidRDefault="00465DE0">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rsidR="00602A94" w:rsidRDefault="00465DE0">
      <w:pPr>
        <w:pStyle w:val="Heading2"/>
      </w:pPr>
      <w:bookmarkStart w:id="106" w:name="_Toc96225050"/>
      <w:bookmarkStart w:id="107" w:name="_Toc97095697"/>
      <w:bookmarkStart w:id="108" w:name="_Toc102975410"/>
      <w:bookmarkStart w:id="109" w:name="_Toc137964262"/>
      <w:bookmarkStart w:id="110" w:name="_Toc137965226"/>
      <w:r>
        <w:rPr>
          <w:rStyle w:val="CharPartNo"/>
        </w:rPr>
        <w:t>Part 5</w:t>
      </w:r>
      <w:r>
        <w:t xml:space="preserve"> — </w:t>
      </w:r>
      <w:r>
        <w:rPr>
          <w:rStyle w:val="CharPartText"/>
        </w:rPr>
        <w:t>Application of Commonwealth administrative laws to the Agvet Code and Agvet Regulations of this jurisdiction</w:t>
      </w:r>
      <w:bookmarkEnd w:id="106"/>
      <w:bookmarkEnd w:id="107"/>
      <w:bookmarkEnd w:id="108"/>
      <w:bookmarkEnd w:id="109"/>
      <w:bookmarkEnd w:id="110"/>
    </w:p>
    <w:p w:rsidR="00602A94" w:rsidRDefault="00465DE0">
      <w:pPr>
        <w:pStyle w:val="Footnoteheading"/>
        <w:ind w:left="890"/>
      </w:pPr>
      <w:r>
        <w:tab/>
        <w:t>[Heading inserted by No. 21 of 2001 s. 5.]</w:t>
      </w:r>
    </w:p>
    <w:p w:rsidR="00602A94" w:rsidRDefault="00465DE0">
      <w:pPr>
        <w:pStyle w:val="Heading5"/>
      </w:pPr>
      <w:bookmarkStart w:id="111" w:name="_Toc81435"/>
      <w:bookmarkStart w:id="112" w:name="_Toc1537302"/>
      <w:bookmarkStart w:id="113" w:name="_Toc102975411"/>
      <w:bookmarkStart w:id="114" w:name="_Toc137965227"/>
      <w:r>
        <w:rPr>
          <w:rStyle w:val="CharSectno"/>
        </w:rPr>
        <w:t>15</w:t>
      </w:r>
      <w:r>
        <w:t>.</w:t>
      </w:r>
      <w:r>
        <w:tab/>
        <w:t>Object</w:t>
      </w:r>
      <w:bookmarkEnd w:id="111"/>
      <w:bookmarkEnd w:id="112"/>
      <w:bookmarkEnd w:id="113"/>
      <w:bookmarkEnd w:id="114"/>
    </w:p>
    <w:p w:rsidR="00602A94" w:rsidRDefault="00465DE0">
      <w:pPr>
        <w:pStyle w:val="Subsection"/>
        <w:spacing w:before="100"/>
      </w:pPr>
      <w:r>
        <w:tab/>
      </w:r>
      <w:r>
        <w:tab/>
        <w:t>The object of this Part is to help ensure that the Agvet Code of this jurisdiction and the Agvet Code of each other jurisdiction are administered on a uniform basis.</w:t>
      </w:r>
    </w:p>
    <w:p w:rsidR="00602A94" w:rsidRDefault="00465DE0">
      <w:pPr>
        <w:pStyle w:val="Footnotesection"/>
      </w:pPr>
      <w:r>
        <w:tab/>
        <w:t>[Section 15 inserted by No. 21 of 2001 s. 5.]</w:t>
      </w:r>
    </w:p>
    <w:p w:rsidR="00602A94" w:rsidRDefault="00465DE0">
      <w:pPr>
        <w:pStyle w:val="Heading5"/>
      </w:pPr>
      <w:bookmarkStart w:id="115" w:name="_Toc81436"/>
      <w:bookmarkStart w:id="116" w:name="_Toc1537303"/>
      <w:bookmarkStart w:id="117" w:name="_Toc102975412"/>
      <w:bookmarkStart w:id="118" w:name="_Toc137965228"/>
      <w:r>
        <w:rPr>
          <w:rStyle w:val="CharSectno"/>
        </w:rPr>
        <w:t>16</w:t>
      </w:r>
      <w:r>
        <w:t>.</w:t>
      </w:r>
      <w:r>
        <w:tab/>
        <w:t>Application of Commonwealth administrative laws in relation to applicable provisions</w:t>
      </w:r>
      <w:bookmarkEnd w:id="115"/>
      <w:bookmarkEnd w:id="116"/>
      <w:bookmarkEnd w:id="117"/>
      <w:bookmarkEnd w:id="118"/>
    </w:p>
    <w:p w:rsidR="00602A94" w:rsidRDefault="00465DE0">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rsidR="00602A94" w:rsidRDefault="00465DE0">
      <w:pPr>
        <w:pStyle w:val="Subsection"/>
        <w:spacing w:before="100"/>
      </w:pPr>
      <w:r>
        <w:tab/>
        <w:t>(2)</w:t>
      </w:r>
      <w:r>
        <w:tab/>
        <w:t xml:space="preserve">The provisions of the Agvet Code of this jurisdiction that require the NRA to give brief particulars of reasons for decisions do not affect the obligations of the NRA under section 28 of the </w:t>
      </w:r>
      <w:r>
        <w:rPr>
          <w:i/>
        </w:rPr>
        <w:t>Administrative Appeals Tribunal Act 1975</w:t>
      </w:r>
      <w:r>
        <w:t xml:space="preserve"> of the Commonwealth as that section applies as a law of this jurisdiction under subsection (1).</w:t>
      </w:r>
    </w:p>
    <w:p w:rsidR="00602A94" w:rsidRDefault="00465DE0">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rsidR="00602A94" w:rsidRDefault="00465DE0">
      <w:pPr>
        <w:pStyle w:val="Subsection"/>
        <w:spacing w:before="100"/>
      </w:pPr>
      <w:r>
        <w:tab/>
        <w:t>(4)</w:t>
      </w:r>
      <w:r>
        <w:tab/>
        <w:t>For the purposes of a law of this jurisdiction, a matter arising in relation to the applicable provisions of this jurisdiction —</w:t>
      </w:r>
    </w:p>
    <w:p w:rsidR="00602A94" w:rsidRDefault="00465DE0">
      <w:pPr>
        <w:pStyle w:val="Indenta"/>
      </w:pPr>
      <w:r>
        <w:tab/>
        <w:t>(a)</w:t>
      </w:r>
      <w:r>
        <w:tab/>
        <w:t>is taken to be a matter arising in relation to laws of the Commonwealth in the same way as if those provisions were laws of the Commonwealth; and</w:t>
      </w:r>
    </w:p>
    <w:p w:rsidR="00602A94" w:rsidRDefault="00465DE0">
      <w:pPr>
        <w:pStyle w:val="Indenta"/>
      </w:pPr>
      <w:r>
        <w:tab/>
        <w:t>(b)</w:t>
      </w:r>
      <w:r>
        <w:tab/>
        <w:t>is taken not to be a matter arising in relation to laws of this jurisdiction.</w:t>
      </w:r>
    </w:p>
    <w:p w:rsidR="00602A94" w:rsidRDefault="00465DE0">
      <w:pPr>
        <w:pStyle w:val="Subsection"/>
      </w:pPr>
      <w:r>
        <w:tab/>
        <w:t>(5)</w:t>
      </w:r>
      <w:r>
        <w:tab/>
        <w:t>Subsection (4) has effect for the purposes of a law of this jurisdiction except as prescribed by regulations under section 32.</w:t>
      </w:r>
    </w:p>
    <w:p w:rsidR="00602A94" w:rsidRDefault="00465DE0">
      <w:pPr>
        <w:pStyle w:val="Footnotesection"/>
      </w:pPr>
      <w:r>
        <w:tab/>
        <w:t>[Section 16 inserted by No. 21 of 2001 s. 5.]</w:t>
      </w:r>
    </w:p>
    <w:p w:rsidR="00602A94" w:rsidRDefault="00465DE0">
      <w:pPr>
        <w:pStyle w:val="Heading5"/>
      </w:pPr>
      <w:bookmarkStart w:id="119" w:name="_Toc81437"/>
      <w:bookmarkStart w:id="120" w:name="_Toc1537304"/>
      <w:bookmarkStart w:id="121" w:name="_Toc102975413"/>
      <w:bookmarkStart w:id="122" w:name="_Toc137965229"/>
      <w:r>
        <w:rPr>
          <w:rStyle w:val="CharSectno"/>
        </w:rPr>
        <w:t>17</w:t>
      </w:r>
      <w:r>
        <w:t>.</w:t>
      </w:r>
      <w:r>
        <w:tab/>
        <w:t>Duties, functions and powers conferred on Commonwealth officers and authorities</w:t>
      </w:r>
      <w:bookmarkEnd w:id="119"/>
      <w:bookmarkEnd w:id="120"/>
      <w:bookmarkEnd w:id="121"/>
      <w:bookmarkEnd w:id="122"/>
    </w:p>
    <w:p w:rsidR="00602A94" w:rsidRDefault="00465DE0">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rsidR="00602A94" w:rsidRDefault="00465DE0">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rsidR="00602A94" w:rsidRDefault="00465DE0">
      <w:pPr>
        <w:pStyle w:val="Footnotesection"/>
      </w:pPr>
      <w:r>
        <w:tab/>
        <w:t>[Section 17 inserted by No. 21 of 2001 s. 5.]</w:t>
      </w:r>
    </w:p>
    <w:p w:rsidR="00602A94" w:rsidRDefault="00465DE0">
      <w:pPr>
        <w:pStyle w:val="Heading5"/>
      </w:pPr>
      <w:bookmarkStart w:id="123" w:name="_Toc81438"/>
      <w:bookmarkStart w:id="124" w:name="_Toc1537305"/>
      <w:bookmarkStart w:id="125" w:name="_Toc102975414"/>
      <w:bookmarkStart w:id="126" w:name="_Toc137965230"/>
      <w:r>
        <w:rPr>
          <w:rStyle w:val="CharSectno"/>
        </w:rPr>
        <w:t>18</w:t>
      </w:r>
      <w:r>
        <w:t>.</w:t>
      </w:r>
      <w:r>
        <w:tab/>
        <w:t>Reference in Commonwealth administrative law to a provision of another law</w:t>
      </w:r>
      <w:bookmarkEnd w:id="123"/>
      <w:bookmarkEnd w:id="124"/>
      <w:bookmarkEnd w:id="125"/>
      <w:bookmarkEnd w:id="126"/>
    </w:p>
    <w:p w:rsidR="00602A94" w:rsidRDefault="00465DE0">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rsidR="00602A94" w:rsidRDefault="00465DE0">
      <w:pPr>
        <w:pStyle w:val="Footnotesection"/>
      </w:pPr>
      <w:r>
        <w:tab/>
        <w:t>[Section 18 inserted by No. 21 of 2001 s. 5.]</w:t>
      </w:r>
    </w:p>
    <w:p w:rsidR="00602A94" w:rsidRDefault="00465DE0">
      <w:pPr>
        <w:pStyle w:val="Heading5"/>
      </w:pPr>
      <w:bookmarkStart w:id="127" w:name="_Toc81439"/>
      <w:bookmarkStart w:id="128" w:name="_Toc1537306"/>
      <w:bookmarkStart w:id="129" w:name="_Toc102975415"/>
      <w:bookmarkStart w:id="130" w:name="_Toc137965231"/>
      <w:r>
        <w:rPr>
          <w:rStyle w:val="CharSectno"/>
        </w:rPr>
        <w:t>18A</w:t>
      </w:r>
      <w:r>
        <w:t>.</w:t>
      </w:r>
      <w:r>
        <w:tab/>
        <w:t>Construction of references to Part IVA of Commonwealth AAT Act</w:t>
      </w:r>
      <w:bookmarkEnd w:id="127"/>
      <w:bookmarkEnd w:id="128"/>
      <w:bookmarkEnd w:id="129"/>
      <w:bookmarkEnd w:id="130"/>
    </w:p>
    <w:p w:rsidR="00602A94" w:rsidRDefault="00465DE0">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rsidR="00602A94" w:rsidRDefault="00465DE0">
      <w:pPr>
        <w:pStyle w:val="Footnotesection"/>
      </w:pPr>
      <w:r>
        <w:tab/>
        <w:t>[Section 18A inserted by No. 21 of 2001 s. 5.]</w:t>
      </w:r>
    </w:p>
    <w:p w:rsidR="00602A94" w:rsidRDefault="00465DE0">
      <w:pPr>
        <w:pStyle w:val="Ednotepart"/>
        <w:rPr>
          <w:snapToGrid/>
        </w:rPr>
      </w:pPr>
      <w:r>
        <w:rPr>
          <w:snapToGrid/>
        </w:rPr>
        <w:t>[Part 6 repealed by No. 21 of 2001 s. 6.]</w:t>
      </w:r>
    </w:p>
    <w:p w:rsidR="00602A94" w:rsidRDefault="00465DE0">
      <w:pPr>
        <w:pStyle w:val="Heading2"/>
      </w:pPr>
      <w:bookmarkStart w:id="131" w:name="_Toc96225056"/>
      <w:bookmarkStart w:id="132" w:name="_Toc97095703"/>
      <w:bookmarkStart w:id="133" w:name="_Toc102975416"/>
      <w:bookmarkStart w:id="134" w:name="_Toc137964268"/>
      <w:bookmarkStart w:id="135" w:name="_Toc137965232"/>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131"/>
      <w:bookmarkEnd w:id="132"/>
      <w:bookmarkEnd w:id="133"/>
      <w:bookmarkEnd w:id="134"/>
      <w:bookmarkEnd w:id="135"/>
    </w:p>
    <w:p w:rsidR="00602A94" w:rsidRDefault="00465DE0">
      <w:pPr>
        <w:pStyle w:val="Heading5"/>
        <w:rPr>
          <w:snapToGrid w:val="0"/>
        </w:rPr>
      </w:pPr>
      <w:bookmarkStart w:id="136" w:name="_Toc515955383"/>
      <w:bookmarkStart w:id="137" w:name="_Toc531597833"/>
      <w:bookmarkStart w:id="138" w:name="_Toc536411483"/>
      <w:bookmarkStart w:id="139" w:name="_Toc1537307"/>
      <w:bookmarkStart w:id="140" w:name="_Toc102975417"/>
      <w:bookmarkStart w:id="141" w:name="_Toc137965233"/>
      <w:r>
        <w:rPr>
          <w:rStyle w:val="CharSectno"/>
        </w:rPr>
        <w:t>21</w:t>
      </w:r>
      <w:r>
        <w:rPr>
          <w:snapToGrid w:val="0"/>
        </w:rPr>
        <w:t>.</w:t>
      </w:r>
      <w:r>
        <w:rPr>
          <w:snapToGrid w:val="0"/>
        </w:rPr>
        <w:tab/>
        <w:t>Conferral of functions and powers on NRA</w:t>
      </w:r>
      <w:bookmarkEnd w:id="136"/>
      <w:bookmarkEnd w:id="137"/>
      <w:bookmarkEnd w:id="138"/>
      <w:bookmarkEnd w:id="139"/>
      <w:bookmarkEnd w:id="140"/>
      <w:bookmarkEnd w:id="141"/>
      <w:r>
        <w:rPr>
          <w:snapToGrid w:val="0"/>
        </w:rPr>
        <w:t xml:space="preserve"> </w:t>
      </w:r>
    </w:p>
    <w:p w:rsidR="00602A94" w:rsidRDefault="00465DE0">
      <w:pPr>
        <w:pStyle w:val="Subsection"/>
        <w:rPr>
          <w:snapToGrid w:val="0"/>
        </w:rPr>
      </w:pPr>
      <w:r>
        <w:rPr>
          <w:snapToGrid w:val="0"/>
        </w:rPr>
        <w:tab/>
        <w:t>(1)</w:t>
      </w:r>
      <w:r>
        <w:rPr>
          <w:snapToGrid w:val="0"/>
        </w:rPr>
        <w:tab/>
        <w:t>The NRA has the functions and powers conferred or expressed to be conferred on it under this Act or the Agvet Code of this jurisdiction.</w:t>
      </w:r>
    </w:p>
    <w:p w:rsidR="00602A94" w:rsidRDefault="00465DE0">
      <w:pPr>
        <w:pStyle w:val="Subsection"/>
        <w:rPr>
          <w:snapToGrid w:val="0"/>
        </w:rPr>
      </w:pPr>
      <w:r>
        <w:rPr>
          <w:snapToGrid w:val="0"/>
        </w:rPr>
        <w:tab/>
        <w:t>(2)</w:t>
      </w:r>
      <w:r>
        <w:rPr>
          <w:snapToGrid w:val="0"/>
        </w:rPr>
        <w:tab/>
        <w:t>In addition to the powers mentioned in subsection (1), the NRA has power to do all things necessary or convenient to be done in connection with the performance of the functions referred to in subsection (1) and, in particular may — </w:t>
      </w:r>
    </w:p>
    <w:p w:rsidR="00602A94" w:rsidRDefault="00465DE0">
      <w:pPr>
        <w:pStyle w:val="Indenta"/>
        <w:rPr>
          <w:snapToGrid w:val="0"/>
        </w:rPr>
      </w:pPr>
      <w:r>
        <w:rPr>
          <w:snapToGrid w:val="0"/>
        </w:rPr>
        <w:tab/>
        <w:t>(a)</w:t>
      </w:r>
      <w:r>
        <w:rPr>
          <w:snapToGrid w:val="0"/>
        </w:rPr>
        <w:tab/>
        <w:t>enter into contracts;</w:t>
      </w:r>
    </w:p>
    <w:p w:rsidR="00602A94" w:rsidRDefault="00465DE0">
      <w:pPr>
        <w:pStyle w:val="Indenta"/>
        <w:rPr>
          <w:snapToGrid w:val="0"/>
        </w:rPr>
      </w:pPr>
      <w:r>
        <w:rPr>
          <w:snapToGrid w:val="0"/>
        </w:rPr>
        <w:tab/>
        <w:t>(b)</w:t>
      </w:r>
      <w:r>
        <w:rPr>
          <w:snapToGrid w:val="0"/>
        </w:rPr>
        <w:tab/>
        <w:t>acquire, hold and dispose of real and personal property;</w:t>
      </w:r>
    </w:p>
    <w:p w:rsidR="00602A94" w:rsidRDefault="00465DE0">
      <w:pPr>
        <w:pStyle w:val="Indenta"/>
        <w:rPr>
          <w:snapToGrid w:val="0"/>
        </w:rPr>
      </w:pPr>
      <w:r>
        <w:rPr>
          <w:snapToGrid w:val="0"/>
        </w:rPr>
        <w:tab/>
        <w:t>(c)</w:t>
      </w:r>
      <w:r>
        <w:rPr>
          <w:snapToGrid w:val="0"/>
        </w:rPr>
        <w:tab/>
        <w:t>occupy, use and control any land or building owned or held under lease by the Commonwealth, a State or a Territory and made available for the purposes of the NRA;</w:t>
      </w:r>
    </w:p>
    <w:p w:rsidR="00602A94" w:rsidRDefault="00465DE0">
      <w:pPr>
        <w:pStyle w:val="Indenta"/>
        <w:rPr>
          <w:snapToGrid w:val="0"/>
        </w:rPr>
      </w:pPr>
      <w:r>
        <w:rPr>
          <w:snapToGrid w:val="0"/>
        </w:rPr>
        <w:tab/>
        <w:t>(d)</w:t>
      </w:r>
      <w:r>
        <w:rPr>
          <w:snapToGrid w:val="0"/>
        </w:rPr>
        <w:tab/>
        <w:t>appoint agents and attorneys, and Act as agent for other persons; and</w:t>
      </w:r>
    </w:p>
    <w:p w:rsidR="00602A94" w:rsidRDefault="00465DE0">
      <w:pPr>
        <w:pStyle w:val="Indenta"/>
        <w:rPr>
          <w:snapToGrid w:val="0"/>
        </w:rPr>
      </w:pPr>
      <w:r>
        <w:rPr>
          <w:snapToGrid w:val="0"/>
        </w:rPr>
        <w:tab/>
        <w:t>(e)</w:t>
      </w:r>
      <w:r>
        <w:rPr>
          <w:snapToGrid w:val="0"/>
        </w:rPr>
        <w:tab/>
        <w:t>do anything incidental to any of its powers.</w:t>
      </w:r>
    </w:p>
    <w:p w:rsidR="00602A94" w:rsidRDefault="00465DE0">
      <w:pPr>
        <w:pStyle w:val="Heading5"/>
        <w:rPr>
          <w:snapToGrid w:val="0"/>
        </w:rPr>
      </w:pPr>
      <w:bookmarkStart w:id="142" w:name="_Toc515955384"/>
      <w:bookmarkStart w:id="143" w:name="_Toc531597834"/>
      <w:bookmarkStart w:id="144" w:name="_Toc536411484"/>
      <w:bookmarkStart w:id="145" w:name="_Toc1537308"/>
      <w:bookmarkStart w:id="146" w:name="_Toc102975418"/>
      <w:bookmarkStart w:id="147" w:name="_Toc137965234"/>
      <w:r>
        <w:rPr>
          <w:rStyle w:val="CharSectno"/>
        </w:rPr>
        <w:t>22</w:t>
      </w:r>
      <w:r>
        <w:rPr>
          <w:snapToGrid w:val="0"/>
        </w:rPr>
        <w:t>.</w:t>
      </w:r>
      <w:r>
        <w:rPr>
          <w:snapToGrid w:val="0"/>
        </w:rPr>
        <w:tab/>
        <w:t>Agreements and arrangements</w:t>
      </w:r>
      <w:bookmarkEnd w:id="142"/>
      <w:bookmarkEnd w:id="143"/>
      <w:bookmarkEnd w:id="144"/>
      <w:bookmarkEnd w:id="145"/>
      <w:bookmarkEnd w:id="146"/>
      <w:bookmarkEnd w:id="147"/>
      <w:r>
        <w:rPr>
          <w:snapToGrid w:val="0"/>
        </w:rPr>
        <w:t xml:space="preserve"> </w:t>
      </w:r>
    </w:p>
    <w:p w:rsidR="00602A94" w:rsidRDefault="00465DE0">
      <w:pPr>
        <w:pStyle w:val="Subsection"/>
        <w:rPr>
          <w:snapToGrid w:val="0"/>
        </w:rPr>
      </w:pPr>
      <w:r>
        <w:rPr>
          <w:snapToGrid w:val="0"/>
        </w:rPr>
        <w:tab/>
        <w:t>(1)</w:t>
      </w:r>
      <w:r>
        <w:rPr>
          <w:snapToGrid w:val="0"/>
        </w:rPr>
        <w:tab/>
        <w:t>The Minister, or a person authorised in writing by the Minister, may enter into an agreement or arrangement with the Commonwealth Minister for the performance of functions or the exercise of powers by the NRA as an agent of the State.</w:t>
      </w:r>
    </w:p>
    <w:p w:rsidR="00602A94" w:rsidRDefault="00465DE0">
      <w:pPr>
        <w:pStyle w:val="Subsection"/>
        <w:rPr>
          <w:snapToGrid w:val="0"/>
        </w:rPr>
      </w:pPr>
      <w:r>
        <w:rPr>
          <w:snapToGrid w:val="0"/>
        </w:rPr>
        <w:tab/>
        <w:t>(2)</w:t>
      </w:r>
      <w:r>
        <w:rPr>
          <w:snapToGrid w:val="0"/>
        </w:rPr>
        <w:tab/>
        <w:t>The NRA has the functions and powers mentioned in the agreement or arrangement.</w:t>
      </w:r>
    </w:p>
    <w:p w:rsidR="00602A94" w:rsidRDefault="00465DE0">
      <w:pPr>
        <w:pStyle w:val="Heading5"/>
        <w:rPr>
          <w:snapToGrid w:val="0"/>
        </w:rPr>
      </w:pPr>
      <w:bookmarkStart w:id="148" w:name="_Toc515955385"/>
      <w:bookmarkStart w:id="149" w:name="_Toc531597835"/>
      <w:bookmarkStart w:id="150" w:name="_Toc536411485"/>
      <w:bookmarkStart w:id="151" w:name="_Toc1537309"/>
      <w:bookmarkStart w:id="152" w:name="_Toc102975419"/>
      <w:bookmarkStart w:id="153" w:name="_Toc137965235"/>
      <w:r>
        <w:rPr>
          <w:rStyle w:val="CharSectno"/>
        </w:rPr>
        <w:t>23</w:t>
      </w:r>
      <w:r>
        <w:rPr>
          <w:snapToGrid w:val="0"/>
        </w:rPr>
        <w:t>.</w:t>
      </w:r>
      <w:r>
        <w:rPr>
          <w:snapToGrid w:val="0"/>
        </w:rPr>
        <w:tab/>
        <w:t>Conferral of other functions and powers for purposes of law in this jurisdiction</w:t>
      </w:r>
      <w:bookmarkEnd w:id="148"/>
      <w:bookmarkEnd w:id="149"/>
      <w:bookmarkEnd w:id="150"/>
      <w:bookmarkEnd w:id="151"/>
      <w:bookmarkEnd w:id="152"/>
      <w:bookmarkEnd w:id="153"/>
      <w:r>
        <w:rPr>
          <w:snapToGrid w:val="0"/>
        </w:rPr>
        <w:t xml:space="preserve"> </w:t>
      </w:r>
    </w:p>
    <w:p w:rsidR="00602A94" w:rsidRDefault="00465DE0">
      <w:pPr>
        <w:pStyle w:val="Subsection"/>
        <w:rPr>
          <w:snapToGrid w:val="0"/>
        </w:rPr>
      </w:pPr>
      <w:r>
        <w:rPr>
          <w:snapToGrid w:val="0"/>
        </w:rPr>
        <w:tab/>
      </w:r>
      <w:r>
        <w:rPr>
          <w:snapToGrid w:val="0"/>
        </w:rPr>
        <w:tab/>
        <w:t>The NRA has power to do acts in this jurisdiction in the performance or exercise of any function or power — </w:t>
      </w:r>
    </w:p>
    <w:p w:rsidR="00602A94" w:rsidRDefault="00465DE0">
      <w:pPr>
        <w:pStyle w:val="Indenta"/>
        <w:rPr>
          <w:snapToGrid w:val="0"/>
        </w:rPr>
      </w:pPr>
      <w:r>
        <w:rPr>
          <w:snapToGrid w:val="0"/>
        </w:rPr>
        <w:tab/>
        <w:t>(a)</w:t>
      </w:r>
      <w:r>
        <w:rPr>
          <w:snapToGrid w:val="0"/>
        </w:rPr>
        <w:tab/>
        <w:t>expressed to be conferred on it by a law of a jurisdiction (other than this jurisdiction) that corresponds to this Act or the Agvet Code of this jurisdiction; or</w:t>
      </w:r>
    </w:p>
    <w:p w:rsidR="00602A94" w:rsidRDefault="00465DE0">
      <w:pPr>
        <w:pStyle w:val="Indenta"/>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rsidR="00602A94" w:rsidRDefault="00465DE0">
      <w:pPr>
        <w:pStyle w:val="Heading5"/>
        <w:rPr>
          <w:snapToGrid w:val="0"/>
        </w:rPr>
      </w:pPr>
      <w:bookmarkStart w:id="154" w:name="_Toc515955386"/>
      <w:bookmarkStart w:id="155" w:name="_Toc531597836"/>
      <w:bookmarkStart w:id="156" w:name="_Toc536411486"/>
      <w:bookmarkStart w:id="157" w:name="_Toc1537310"/>
      <w:bookmarkStart w:id="158" w:name="_Toc102975420"/>
      <w:bookmarkStart w:id="159" w:name="_Toc137965236"/>
      <w:r>
        <w:rPr>
          <w:rStyle w:val="CharSectno"/>
        </w:rPr>
        <w:t>24</w:t>
      </w:r>
      <w:r>
        <w:rPr>
          <w:snapToGrid w:val="0"/>
        </w:rPr>
        <w:t>.</w:t>
      </w:r>
      <w:r>
        <w:rPr>
          <w:snapToGrid w:val="0"/>
        </w:rPr>
        <w:tab/>
        <w:t>Commonwealth Minister may give directions in exceptional circumstances</w:t>
      </w:r>
      <w:bookmarkEnd w:id="154"/>
      <w:bookmarkEnd w:id="155"/>
      <w:bookmarkEnd w:id="156"/>
      <w:bookmarkEnd w:id="157"/>
      <w:bookmarkEnd w:id="158"/>
      <w:bookmarkEnd w:id="159"/>
      <w:r>
        <w:rPr>
          <w:snapToGrid w:val="0"/>
        </w:rPr>
        <w:t xml:space="preserve"> </w:t>
      </w:r>
    </w:p>
    <w:p w:rsidR="00602A94" w:rsidRDefault="00465DE0">
      <w:pPr>
        <w:pStyle w:val="Subsection"/>
        <w:rPr>
          <w:snapToGrid w:val="0"/>
        </w:rPr>
      </w:pPr>
      <w:r>
        <w:rPr>
          <w:snapToGrid w:val="0"/>
        </w:rPr>
        <w:tab/>
      </w:r>
      <w:r>
        <w:rPr>
          <w:snapToGrid w:val="0"/>
        </w:rPr>
        <w:tab/>
        <w:t>The power of the Commonwealth Minister to give directions to the NRA under section 10 of the Agricultural and Veterinary Chemicals (Administration) Act extends to giving directions in relation to functions and powers of the NRA conferred under the applicable provisions of this jurisdiction, and the section applies accordingly.</w:t>
      </w:r>
    </w:p>
    <w:p w:rsidR="00602A94" w:rsidRDefault="00465DE0">
      <w:pPr>
        <w:pStyle w:val="Heading2"/>
      </w:pPr>
      <w:bookmarkStart w:id="160" w:name="_Toc96225061"/>
      <w:bookmarkStart w:id="161" w:name="_Toc97095708"/>
      <w:bookmarkStart w:id="162" w:name="_Toc102975421"/>
      <w:bookmarkStart w:id="163" w:name="_Toc137964273"/>
      <w:bookmarkStart w:id="164" w:name="_Toc137965237"/>
      <w:r>
        <w:rPr>
          <w:rStyle w:val="CharPartNo"/>
        </w:rPr>
        <w:t>Part 8</w:t>
      </w:r>
      <w:r>
        <w:rPr>
          <w:rStyle w:val="CharDivNo"/>
        </w:rPr>
        <w:t> </w:t>
      </w:r>
      <w:r>
        <w:t>—</w:t>
      </w:r>
      <w:r>
        <w:rPr>
          <w:rStyle w:val="CharDivText"/>
        </w:rPr>
        <w:t> </w:t>
      </w:r>
      <w:r>
        <w:rPr>
          <w:rStyle w:val="CharPartText"/>
        </w:rPr>
        <w:t>Miscellaneous</w:t>
      </w:r>
      <w:bookmarkEnd w:id="160"/>
      <w:bookmarkEnd w:id="161"/>
      <w:bookmarkEnd w:id="162"/>
      <w:bookmarkEnd w:id="163"/>
      <w:bookmarkEnd w:id="164"/>
      <w:r>
        <w:rPr>
          <w:rStyle w:val="CharPartText"/>
        </w:rPr>
        <w:t xml:space="preserve"> </w:t>
      </w:r>
    </w:p>
    <w:p w:rsidR="00602A94" w:rsidRDefault="00465DE0">
      <w:pPr>
        <w:pStyle w:val="Heading5"/>
        <w:rPr>
          <w:snapToGrid w:val="0"/>
        </w:rPr>
      </w:pPr>
      <w:bookmarkStart w:id="165" w:name="_Toc515955387"/>
      <w:bookmarkStart w:id="166" w:name="_Toc531597837"/>
      <w:bookmarkStart w:id="167" w:name="_Toc536411487"/>
      <w:bookmarkStart w:id="168" w:name="_Toc1537311"/>
      <w:bookmarkStart w:id="169" w:name="_Toc102975422"/>
      <w:bookmarkStart w:id="170" w:name="_Toc137965238"/>
      <w:r>
        <w:rPr>
          <w:rStyle w:val="CharSectno"/>
        </w:rPr>
        <w:t>25</w:t>
      </w:r>
      <w:r>
        <w:rPr>
          <w:snapToGrid w:val="0"/>
        </w:rPr>
        <w:t>.</w:t>
      </w:r>
      <w:r>
        <w:rPr>
          <w:snapToGrid w:val="0"/>
        </w:rPr>
        <w:tab/>
        <w:t>Orders</w:t>
      </w:r>
      <w:bookmarkEnd w:id="165"/>
      <w:bookmarkEnd w:id="166"/>
      <w:bookmarkEnd w:id="167"/>
      <w:bookmarkEnd w:id="168"/>
      <w:bookmarkEnd w:id="169"/>
      <w:bookmarkEnd w:id="170"/>
      <w:r>
        <w:rPr>
          <w:snapToGrid w:val="0"/>
        </w:rPr>
        <w:t xml:space="preserve"> </w:t>
      </w:r>
    </w:p>
    <w:p w:rsidR="00602A94" w:rsidRDefault="00465DE0">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rsidR="00602A94" w:rsidRDefault="00465DE0">
      <w:pPr>
        <w:pStyle w:val="Heading5"/>
        <w:rPr>
          <w:snapToGrid w:val="0"/>
        </w:rPr>
      </w:pPr>
      <w:bookmarkStart w:id="171" w:name="_Toc515955388"/>
      <w:bookmarkStart w:id="172" w:name="_Toc531597838"/>
      <w:bookmarkStart w:id="173" w:name="_Toc536411488"/>
      <w:bookmarkStart w:id="174" w:name="_Toc1537312"/>
      <w:bookmarkStart w:id="175" w:name="_Toc102975423"/>
      <w:bookmarkStart w:id="176" w:name="_Toc137965239"/>
      <w:r>
        <w:rPr>
          <w:rStyle w:val="CharSectno"/>
        </w:rPr>
        <w:t>26</w:t>
      </w:r>
      <w:r>
        <w:rPr>
          <w:snapToGrid w:val="0"/>
        </w:rPr>
        <w:t>.</w:t>
      </w:r>
      <w:r>
        <w:rPr>
          <w:snapToGrid w:val="0"/>
        </w:rPr>
        <w:tab/>
        <w:t>Manufacturing principles</w:t>
      </w:r>
      <w:bookmarkEnd w:id="171"/>
      <w:bookmarkEnd w:id="172"/>
      <w:bookmarkEnd w:id="173"/>
      <w:bookmarkEnd w:id="174"/>
      <w:bookmarkEnd w:id="175"/>
      <w:bookmarkEnd w:id="176"/>
      <w:r>
        <w:rPr>
          <w:snapToGrid w:val="0"/>
        </w:rPr>
        <w:t xml:space="preserve"> </w:t>
      </w:r>
    </w:p>
    <w:p w:rsidR="00602A94" w:rsidRDefault="00465DE0">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rsidR="00602A94" w:rsidRDefault="00465DE0">
      <w:pPr>
        <w:pStyle w:val="Heading5"/>
        <w:rPr>
          <w:snapToGrid w:val="0"/>
        </w:rPr>
      </w:pPr>
      <w:bookmarkStart w:id="177" w:name="_Toc515955389"/>
      <w:bookmarkStart w:id="178" w:name="_Toc531597839"/>
      <w:bookmarkStart w:id="179" w:name="_Toc536411489"/>
      <w:bookmarkStart w:id="180" w:name="_Toc1537313"/>
      <w:bookmarkStart w:id="181" w:name="_Toc102975424"/>
      <w:bookmarkStart w:id="182" w:name="_Toc137965240"/>
      <w:r>
        <w:rPr>
          <w:rStyle w:val="CharSectno"/>
        </w:rPr>
        <w:t>27</w:t>
      </w:r>
      <w:r>
        <w:rPr>
          <w:snapToGrid w:val="0"/>
        </w:rPr>
        <w:t>.</w:t>
      </w:r>
      <w:r>
        <w:rPr>
          <w:snapToGrid w:val="0"/>
        </w:rPr>
        <w:tab/>
        <w:t>Delegation</w:t>
      </w:r>
      <w:bookmarkEnd w:id="177"/>
      <w:bookmarkEnd w:id="178"/>
      <w:bookmarkEnd w:id="179"/>
      <w:bookmarkEnd w:id="180"/>
      <w:bookmarkEnd w:id="181"/>
      <w:bookmarkEnd w:id="182"/>
      <w:r>
        <w:rPr>
          <w:snapToGrid w:val="0"/>
        </w:rPr>
        <w:t xml:space="preserve"> </w:t>
      </w:r>
    </w:p>
    <w:p w:rsidR="00602A94" w:rsidRDefault="00465DE0">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rsidR="00602A94" w:rsidRDefault="00465DE0">
      <w:pPr>
        <w:pStyle w:val="Heading5"/>
        <w:rPr>
          <w:snapToGrid w:val="0"/>
        </w:rPr>
      </w:pPr>
      <w:bookmarkStart w:id="183" w:name="_Toc515955390"/>
      <w:bookmarkStart w:id="184" w:name="_Toc531597840"/>
      <w:bookmarkStart w:id="185" w:name="_Toc536411490"/>
      <w:bookmarkStart w:id="186" w:name="_Toc1537314"/>
      <w:bookmarkStart w:id="187" w:name="_Toc102975425"/>
      <w:bookmarkStart w:id="188" w:name="_Toc137965241"/>
      <w:r>
        <w:rPr>
          <w:rStyle w:val="CharSectno"/>
        </w:rPr>
        <w:t>28</w:t>
      </w:r>
      <w:r>
        <w:rPr>
          <w:snapToGrid w:val="0"/>
        </w:rPr>
        <w:t>.</w:t>
      </w:r>
      <w:r>
        <w:rPr>
          <w:snapToGrid w:val="0"/>
        </w:rPr>
        <w:tab/>
        <w:t>Conferral of powers on State officers</w:t>
      </w:r>
      <w:bookmarkEnd w:id="183"/>
      <w:bookmarkEnd w:id="184"/>
      <w:bookmarkEnd w:id="185"/>
      <w:bookmarkEnd w:id="186"/>
      <w:bookmarkEnd w:id="187"/>
      <w:bookmarkEnd w:id="188"/>
      <w:r>
        <w:rPr>
          <w:snapToGrid w:val="0"/>
        </w:rPr>
        <w:t xml:space="preserve"> </w:t>
      </w:r>
    </w:p>
    <w:p w:rsidR="00602A94" w:rsidRDefault="00465DE0">
      <w:pPr>
        <w:pStyle w:val="Subsection"/>
        <w:rPr>
          <w:snapToGrid w:val="0"/>
        </w:rPr>
      </w:pPr>
      <w:r>
        <w:rPr>
          <w:snapToGrid w:val="0"/>
        </w:rPr>
        <w:tab/>
        <w:t>(1)</w:t>
      </w:r>
      <w:r>
        <w:rPr>
          <w:snapToGrid w:val="0"/>
        </w:rPr>
        <w:tab/>
        <w:t>If an officer of a Department, administrative unit or authority is authorised, under section 69F of the Agricultural and Veterinary Chemicals (Administration) Act, by the Chief Executive Officer of the NRA to exercise the powers or perform the functions of an inspector for the purposes of a particular relevant law, those powers and functions are conferred on that officer.</w:t>
      </w:r>
    </w:p>
    <w:p w:rsidR="00602A94" w:rsidRDefault="00465DE0">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rsidR="00602A94" w:rsidRDefault="00465DE0">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rsidR="00602A94" w:rsidRDefault="00465DE0">
      <w:pPr>
        <w:pStyle w:val="Heading5"/>
      </w:pPr>
      <w:bookmarkStart w:id="189" w:name="_Toc81448"/>
      <w:bookmarkStart w:id="190" w:name="_Toc1537315"/>
      <w:bookmarkStart w:id="191" w:name="_Toc102975426"/>
      <w:bookmarkStart w:id="192" w:name="_Toc137965242"/>
      <w:bookmarkStart w:id="193" w:name="_Toc515955391"/>
      <w:bookmarkStart w:id="194" w:name="_Toc531597841"/>
      <w:bookmarkStart w:id="195" w:name="_Toc536411491"/>
      <w:r>
        <w:rPr>
          <w:rStyle w:val="CharSectno"/>
        </w:rPr>
        <w:t>28A</w:t>
      </w:r>
      <w:r>
        <w:t>.</w:t>
      </w:r>
      <w:r>
        <w:tab/>
        <w:t>Inspectors and analysts</w:t>
      </w:r>
      <w:bookmarkEnd w:id="189"/>
      <w:bookmarkEnd w:id="190"/>
      <w:bookmarkEnd w:id="191"/>
      <w:bookmarkEnd w:id="192"/>
    </w:p>
    <w:p w:rsidR="00602A94" w:rsidRDefault="00465DE0">
      <w:pPr>
        <w:pStyle w:val="Subsection"/>
      </w:pPr>
      <w:r>
        <w:tab/>
        <w:t>(1)</w:t>
      </w:r>
      <w:r>
        <w:tab/>
        <w:t xml:space="preserve">In this section — </w:t>
      </w:r>
    </w:p>
    <w:p w:rsidR="00602A94" w:rsidRDefault="00465DE0">
      <w:pPr>
        <w:pStyle w:val="Defstart"/>
      </w:pPr>
      <w:r>
        <w:tab/>
      </w:r>
      <w:r>
        <w:rPr>
          <w:b/>
        </w:rPr>
        <w:t>“</w:t>
      </w:r>
      <w:r>
        <w:rPr>
          <w:rStyle w:val="CharDefText"/>
        </w:rPr>
        <w:t>officer</w:t>
      </w:r>
      <w:r>
        <w:rPr>
          <w:b/>
        </w:rPr>
        <w:t>”</w:t>
      </w:r>
      <w:r>
        <w:t xml:space="preserve"> means  — </w:t>
      </w:r>
    </w:p>
    <w:p w:rsidR="00602A94" w:rsidRDefault="00465DE0">
      <w:pPr>
        <w:pStyle w:val="Defpara"/>
      </w:pPr>
      <w:r>
        <w:tab/>
        <w:t>(a)</w:t>
      </w:r>
      <w:r>
        <w:tab/>
        <w:t>an inspector appointed under section 69F(1) of the Agricultural and Veterinary Chemicals (Administration) Act; or</w:t>
      </w:r>
    </w:p>
    <w:p w:rsidR="00602A94" w:rsidRDefault="00465DE0">
      <w:pPr>
        <w:pStyle w:val="Defpara"/>
      </w:pPr>
      <w:r>
        <w:tab/>
        <w:t>(b)</w:t>
      </w:r>
      <w:r>
        <w:tab/>
        <w:t>an analyst approved under section 69G of the Agricultural and Veterinary Chemicals (Administration) Act.</w:t>
      </w:r>
    </w:p>
    <w:p w:rsidR="00602A94" w:rsidRDefault="00465DE0">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rsidR="00602A94" w:rsidRDefault="00465DE0">
      <w:pPr>
        <w:pStyle w:val="Footnotesection"/>
      </w:pPr>
      <w:r>
        <w:tab/>
        <w:t>[Section 28A inserted by No. 21 of 2001 s. 7.]</w:t>
      </w:r>
    </w:p>
    <w:p w:rsidR="00602A94" w:rsidRDefault="00465DE0">
      <w:pPr>
        <w:pStyle w:val="Heading5"/>
      </w:pPr>
      <w:bookmarkStart w:id="196" w:name="_Toc81449"/>
      <w:bookmarkStart w:id="197" w:name="_Toc1537316"/>
      <w:bookmarkStart w:id="198" w:name="_Toc102975427"/>
      <w:bookmarkStart w:id="199" w:name="_Toc137965243"/>
      <w:r>
        <w:rPr>
          <w:rStyle w:val="CharSectno"/>
        </w:rPr>
        <w:t>28B</w:t>
      </w:r>
      <w:r>
        <w:t>.</w:t>
      </w:r>
      <w:r>
        <w:tab/>
        <w:t>Validation of actions of inspectors and analysts</w:t>
      </w:r>
      <w:bookmarkEnd w:id="196"/>
      <w:bookmarkEnd w:id="197"/>
      <w:bookmarkEnd w:id="198"/>
      <w:bookmarkEnd w:id="199"/>
    </w:p>
    <w:p w:rsidR="00602A94" w:rsidRDefault="00465DE0">
      <w:pPr>
        <w:pStyle w:val="Subsection"/>
      </w:pPr>
      <w:r>
        <w:tab/>
        <w:t>(1)</w:t>
      </w:r>
      <w:r>
        <w:tab/>
        <w:t>In this section —</w:t>
      </w:r>
    </w:p>
    <w:p w:rsidR="00602A94" w:rsidRDefault="00465DE0">
      <w:pPr>
        <w:pStyle w:val="Defstart"/>
      </w:pPr>
      <w:r>
        <w:tab/>
      </w:r>
      <w:r>
        <w:rPr>
          <w:b/>
        </w:rPr>
        <w:t>“</w:t>
      </w:r>
      <w:r>
        <w:rPr>
          <w:rStyle w:val="CharDefText"/>
        </w:rPr>
        <w:t>officer</w:t>
      </w:r>
      <w:r>
        <w:rPr>
          <w:b/>
        </w:rPr>
        <w:t>”</w:t>
      </w:r>
      <w:r>
        <w:t xml:space="preserve"> has the same meaning as in section 28A;</w:t>
      </w:r>
    </w:p>
    <w:p w:rsidR="00602A94" w:rsidRDefault="00465DE0">
      <w:pPr>
        <w:pStyle w:val="Defstart"/>
      </w:pPr>
      <w:r>
        <w:tab/>
        <w:t>“</w:t>
      </w:r>
      <w:r>
        <w:rPr>
          <w:rStyle w:val="CharDefText"/>
        </w:rPr>
        <w:t>relevant section</w:t>
      </w:r>
      <w:r>
        <w:t xml:space="preserve">” means section 7 of the </w:t>
      </w:r>
      <w:r>
        <w:rPr>
          <w:i/>
        </w:rPr>
        <w:t>Agricultural and Veterinary Chemicals (Western Australia) Amendment Act 2001</w:t>
      </w:r>
      <w:r>
        <w:t>;</w:t>
      </w:r>
    </w:p>
    <w:p w:rsidR="00602A94" w:rsidRDefault="00465DE0">
      <w:pPr>
        <w:pStyle w:val="Defstart"/>
      </w:pPr>
      <w:r>
        <w:tab/>
      </w:r>
      <w:r>
        <w:rPr>
          <w:b/>
        </w:rPr>
        <w:t>“</w:t>
      </w:r>
      <w:r>
        <w:rPr>
          <w:rStyle w:val="CharDefText"/>
        </w:rPr>
        <w:t>relevant time</w:t>
      </w:r>
      <w:r>
        <w:rPr>
          <w:b/>
        </w:rPr>
        <w:t>”</w:t>
      </w:r>
      <w:r>
        <w:t>, in relation to a thing, means the time at which the thing was done or omitted to be done or purported to have been done or omitted to be done.</w:t>
      </w:r>
    </w:p>
    <w:p w:rsidR="00602A94" w:rsidRDefault="00465DE0">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rsidR="00602A94" w:rsidRDefault="00465DE0">
      <w:pPr>
        <w:pStyle w:val="NotesPerm"/>
      </w:pPr>
      <w:r>
        <w:tab/>
        <w:t xml:space="preserve">Note: Part 2 of the </w:t>
      </w:r>
      <w:r>
        <w:rPr>
          <w:i/>
        </w:rPr>
        <w:t>Co</w:t>
      </w:r>
      <w:r>
        <w:rPr>
          <w:i/>
        </w:rPr>
        <w:noBreakHyphen/>
        <w:t>operative Schemes (Administrative Actions) Act 2001</w:t>
      </w:r>
      <w:r>
        <w:t xml:space="preserve"> applies to administrative actions taken by an officer as affected by this section.</w:t>
      </w:r>
    </w:p>
    <w:p w:rsidR="00602A94" w:rsidRDefault="00465DE0">
      <w:pPr>
        <w:pStyle w:val="Footnotesection"/>
      </w:pPr>
      <w:r>
        <w:tab/>
        <w:t>[Section 28B inserted by No. 21 of 2001 s. 7.]</w:t>
      </w:r>
    </w:p>
    <w:p w:rsidR="00602A94" w:rsidRDefault="00465DE0">
      <w:pPr>
        <w:pStyle w:val="Heading5"/>
        <w:rPr>
          <w:snapToGrid w:val="0"/>
        </w:rPr>
      </w:pPr>
      <w:bookmarkStart w:id="200" w:name="_Toc1537317"/>
      <w:bookmarkStart w:id="201" w:name="_Toc102975428"/>
      <w:bookmarkStart w:id="202" w:name="_Toc137965244"/>
      <w:r>
        <w:rPr>
          <w:rStyle w:val="CharSectno"/>
        </w:rPr>
        <w:t>29</w:t>
      </w:r>
      <w:r>
        <w:rPr>
          <w:snapToGrid w:val="0"/>
        </w:rPr>
        <w:t>.</w:t>
      </w:r>
      <w:r>
        <w:rPr>
          <w:snapToGrid w:val="0"/>
        </w:rPr>
        <w:tab/>
        <w:t>Application of fees, etc.</w:t>
      </w:r>
      <w:bookmarkEnd w:id="193"/>
      <w:bookmarkEnd w:id="194"/>
      <w:bookmarkEnd w:id="195"/>
      <w:bookmarkEnd w:id="200"/>
      <w:bookmarkEnd w:id="201"/>
      <w:bookmarkEnd w:id="202"/>
      <w:r>
        <w:rPr>
          <w:snapToGrid w:val="0"/>
        </w:rPr>
        <w:t xml:space="preserve"> </w:t>
      </w:r>
    </w:p>
    <w:p w:rsidR="00602A94" w:rsidRDefault="00465DE0">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rsidR="00602A94" w:rsidRDefault="00465DE0">
      <w:pPr>
        <w:pStyle w:val="Heading5"/>
        <w:rPr>
          <w:snapToGrid w:val="0"/>
        </w:rPr>
      </w:pPr>
      <w:bookmarkStart w:id="203" w:name="_Toc515955392"/>
      <w:bookmarkStart w:id="204" w:name="_Toc531597842"/>
      <w:bookmarkStart w:id="205" w:name="_Toc536411492"/>
      <w:bookmarkStart w:id="206" w:name="_Toc1537318"/>
      <w:bookmarkStart w:id="207" w:name="_Toc102975429"/>
      <w:bookmarkStart w:id="208" w:name="_Toc137965245"/>
      <w:r>
        <w:rPr>
          <w:rStyle w:val="CharSectno"/>
        </w:rPr>
        <w:t>30</w:t>
      </w:r>
      <w:r>
        <w:rPr>
          <w:snapToGrid w:val="0"/>
        </w:rPr>
        <w:t>.</w:t>
      </w:r>
      <w:r>
        <w:rPr>
          <w:snapToGrid w:val="0"/>
        </w:rPr>
        <w:tab/>
        <w:t>Documents or substances held by previous registering authority may be given to NRA</w:t>
      </w:r>
      <w:bookmarkEnd w:id="203"/>
      <w:bookmarkEnd w:id="204"/>
      <w:bookmarkEnd w:id="205"/>
      <w:bookmarkEnd w:id="206"/>
      <w:bookmarkEnd w:id="207"/>
      <w:bookmarkEnd w:id="208"/>
      <w:r>
        <w:rPr>
          <w:snapToGrid w:val="0"/>
        </w:rPr>
        <w:t xml:space="preserve"> </w:t>
      </w:r>
    </w:p>
    <w:p w:rsidR="00602A94" w:rsidRDefault="00465DE0">
      <w:pPr>
        <w:pStyle w:val="Subsection"/>
        <w:rPr>
          <w:snapToGrid w:val="0"/>
        </w:rPr>
      </w:pPr>
      <w:r>
        <w:rPr>
          <w:snapToGrid w:val="0"/>
        </w:rPr>
        <w:tab/>
      </w:r>
      <w:r>
        <w:rPr>
          <w:snapToGrid w:val="0"/>
        </w:rPr>
        <w:tab/>
        <w:t>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NRA any documents or substances in its possession or custody that were received by it in the performance of those functions or that otherwise relate to the performance of those functions.</w:t>
      </w:r>
    </w:p>
    <w:p w:rsidR="00602A94" w:rsidRDefault="00465DE0">
      <w:pPr>
        <w:pStyle w:val="Heading5"/>
        <w:rPr>
          <w:snapToGrid w:val="0"/>
        </w:rPr>
      </w:pPr>
      <w:bookmarkStart w:id="209" w:name="_Toc515955393"/>
      <w:bookmarkStart w:id="210" w:name="_Toc531597843"/>
      <w:bookmarkStart w:id="211" w:name="_Toc536411493"/>
      <w:bookmarkStart w:id="212" w:name="_Toc1537319"/>
      <w:bookmarkStart w:id="213" w:name="_Toc102975430"/>
      <w:bookmarkStart w:id="214" w:name="_Toc137965246"/>
      <w:r>
        <w:rPr>
          <w:rStyle w:val="CharSectno"/>
        </w:rPr>
        <w:t>31</w:t>
      </w:r>
      <w:r>
        <w:rPr>
          <w:snapToGrid w:val="0"/>
        </w:rPr>
        <w:t>.</w:t>
      </w:r>
      <w:r>
        <w:rPr>
          <w:snapToGrid w:val="0"/>
        </w:rPr>
        <w:tab/>
        <w:t>Exemptions from liability for damages</w:t>
      </w:r>
      <w:bookmarkEnd w:id="209"/>
      <w:bookmarkEnd w:id="210"/>
      <w:bookmarkEnd w:id="211"/>
      <w:bookmarkEnd w:id="212"/>
      <w:bookmarkEnd w:id="213"/>
      <w:bookmarkEnd w:id="214"/>
      <w:r>
        <w:rPr>
          <w:snapToGrid w:val="0"/>
        </w:rPr>
        <w:t xml:space="preserve"> </w:t>
      </w:r>
    </w:p>
    <w:p w:rsidR="00602A94" w:rsidRDefault="00465DE0">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 </w:t>
      </w:r>
    </w:p>
    <w:p w:rsidR="00602A94" w:rsidRDefault="00465DE0">
      <w:pPr>
        <w:pStyle w:val="Indenta"/>
        <w:rPr>
          <w:snapToGrid w:val="0"/>
        </w:rPr>
      </w:pPr>
      <w:r>
        <w:rPr>
          <w:snapToGrid w:val="0"/>
        </w:rPr>
        <w:tab/>
        <w:t>(a)</w:t>
      </w:r>
      <w:r>
        <w:rPr>
          <w:snapToGrid w:val="0"/>
        </w:rPr>
        <w:tab/>
        <w:t>the handling of an approved active constituent for a proposed or existing chemical product;</w:t>
      </w:r>
    </w:p>
    <w:p w:rsidR="00602A94" w:rsidRDefault="00465DE0">
      <w:pPr>
        <w:pStyle w:val="Indenta"/>
        <w:rPr>
          <w:snapToGrid w:val="0"/>
        </w:rPr>
      </w:pPr>
      <w:r>
        <w:rPr>
          <w:snapToGrid w:val="0"/>
        </w:rPr>
        <w:tab/>
        <w:t>(b)</w:t>
      </w:r>
      <w:r>
        <w:rPr>
          <w:snapToGrid w:val="0"/>
        </w:rPr>
        <w:tab/>
        <w:t>the handling of a registered chemical product;</w:t>
      </w:r>
    </w:p>
    <w:p w:rsidR="00602A94" w:rsidRDefault="00465DE0">
      <w:pPr>
        <w:pStyle w:val="Indenta"/>
        <w:rPr>
          <w:snapToGrid w:val="0"/>
        </w:rPr>
      </w:pPr>
      <w:r>
        <w:rPr>
          <w:snapToGrid w:val="0"/>
        </w:rPr>
        <w:tab/>
        <w:t>(c)</w:t>
      </w:r>
      <w:r>
        <w:rPr>
          <w:snapToGrid w:val="0"/>
        </w:rPr>
        <w:tab/>
        <w:t>the handling of an active constituent for a proposed or existing chemical product, or of a chemical product, in respect of which a permit or exemption has been issued or given by the NRA;</w:t>
      </w:r>
    </w:p>
    <w:p w:rsidR="00602A94" w:rsidRDefault="00465DE0">
      <w:pPr>
        <w:pStyle w:val="Indenta"/>
        <w:rPr>
          <w:snapToGrid w:val="0"/>
        </w:rPr>
      </w:pPr>
      <w:r>
        <w:rPr>
          <w:snapToGrid w:val="0"/>
        </w:rPr>
        <w:tab/>
        <w:t>(d)</w:t>
      </w:r>
      <w:r>
        <w:rPr>
          <w:snapToGrid w:val="0"/>
        </w:rPr>
        <w:tab/>
        <w:t>an inability to use, or to use in a particular manner, an active constituent for a proposed or existing chemical product — </w:t>
      </w:r>
    </w:p>
    <w:p w:rsidR="00602A94" w:rsidRDefault="00465DE0">
      <w:pPr>
        <w:pStyle w:val="Indenti"/>
        <w:rPr>
          <w:snapToGrid w:val="0"/>
        </w:rPr>
      </w:pPr>
      <w:r>
        <w:rPr>
          <w:snapToGrid w:val="0"/>
        </w:rPr>
        <w:tab/>
        <w:t>(i)</w:t>
      </w:r>
      <w:r>
        <w:rPr>
          <w:snapToGrid w:val="0"/>
        </w:rPr>
        <w:tab/>
        <w:t>because an approval, permit or exemption permitting its use, or permitting its use in that manner, has been refused by the NRA or such an approval, permit or exemption that was previously granted by the NRA has been suspended or cancelled; or</w:t>
      </w:r>
    </w:p>
    <w:p w:rsidR="00602A94" w:rsidRDefault="00465DE0">
      <w:pPr>
        <w:pStyle w:val="Indenti"/>
        <w:rPr>
          <w:snapToGrid w:val="0"/>
        </w:rPr>
      </w:pPr>
      <w:r>
        <w:rPr>
          <w:snapToGrid w:val="0"/>
        </w:rPr>
        <w:tab/>
        <w:t>(ii)</w:t>
      </w:r>
      <w:r>
        <w:rPr>
          <w:snapToGrid w:val="0"/>
        </w:rPr>
        <w:tab/>
        <w:t>because its use, or its use in that manner, is precluded by the conditions of an approval, permit or exemption;</w:t>
      </w:r>
    </w:p>
    <w:p w:rsidR="00602A94" w:rsidRDefault="00465DE0">
      <w:pPr>
        <w:pStyle w:val="Indenta"/>
        <w:rPr>
          <w:snapToGrid w:val="0"/>
        </w:rPr>
      </w:pPr>
      <w:r>
        <w:rPr>
          <w:snapToGrid w:val="0"/>
        </w:rPr>
        <w:tab/>
        <w:t>(e)</w:t>
      </w:r>
      <w:r>
        <w:rPr>
          <w:snapToGrid w:val="0"/>
        </w:rPr>
        <w:tab/>
        <w:t>an inability to use, or to use in a particular manner, a chemical product — </w:t>
      </w:r>
    </w:p>
    <w:p w:rsidR="00602A94" w:rsidRDefault="00465DE0">
      <w:pPr>
        <w:pStyle w:val="Indenti"/>
        <w:rPr>
          <w:snapToGrid w:val="0"/>
        </w:rPr>
      </w:pPr>
      <w:r>
        <w:rPr>
          <w:snapToGrid w:val="0"/>
        </w:rPr>
        <w:tab/>
        <w:t>(i)</w:t>
      </w:r>
      <w:r>
        <w:rPr>
          <w:snapToGrid w:val="0"/>
        </w:rPr>
        <w:tab/>
        <w:t>because a registration, permit or exemption permitting its use, or permitting its use in that manner, has been refused by the NRA or such a registration, permit or exemption that was previously granted by the NRA has been suspended or cancelled; or</w:t>
      </w:r>
    </w:p>
    <w:p w:rsidR="00602A94" w:rsidRDefault="00465DE0">
      <w:pPr>
        <w:pStyle w:val="Indenti"/>
        <w:rPr>
          <w:snapToGrid w:val="0"/>
        </w:rPr>
      </w:pPr>
      <w:r>
        <w:rPr>
          <w:snapToGrid w:val="0"/>
        </w:rPr>
        <w:tab/>
        <w:t>(ii)</w:t>
      </w:r>
      <w:r>
        <w:rPr>
          <w:snapToGrid w:val="0"/>
        </w:rPr>
        <w:tab/>
        <w:t>because its use, or its use in that manner, is precluded by the conditions of a registration, permit or exemption;</w:t>
      </w:r>
    </w:p>
    <w:p w:rsidR="00602A94" w:rsidRDefault="00465DE0">
      <w:pPr>
        <w:pStyle w:val="Indenta"/>
        <w:rPr>
          <w:snapToGrid w:val="0"/>
        </w:rPr>
      </w:pPr>
      <w:r>
        <w:rPr>
          <w:snapToGrid w:val="0"/>
        </w:rPr>
        <w:tab/>
        <w:t>(f)</w:t>
      </w:r>
      <w:r>
        <w:rPr>
          <w:snapToGrid w:val="0"/>
        </w:rPr>
        <w:tab/>
        <w:t>the carrying out of a step in the manufacture of a chemical product in respect of which a licence has been issued by the NRA; or</w:t>
      </w:r>
    </w:p>
    <w:p w:rsidR="00602A94" w:rsidRDefault="00465DE0">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 </w:t>
      </w:r>
    </w:p>
    <w:p w:rsidR="00602A94" w:rsidRDefault="00465DE0">
      <w:pPr>
        <w:pStyle w:val="Indenti"/>
        <w:rPr>
          <w:snapToGrid w:val="0"/>
        </w:rPr>
      </w:pPr>
      <w:r>
        <w:rPr>
          <w:snapToGrid w:val="0"/>
        </w:rPr>
        <w:tab/>
        <w:t>(i)</w:t>
      </w:r>
      <w:r>
        <w:rPr>
          <w:snapToGrid w:val="0"/>
        </w:rPr>
        <w:tab/>
        <w:t>because a licence to carry out that step, or to carry out that step in that manner or at those premises, has been refused by the NRA or such a licence that was previously granted by the NRA has been suspended or cancelled; or</w:t>
      </w:r>
    </w:p>
    <w:p w:rsidR="00602A94" w:rsidRDefault="00465DE0">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rsidR="00602A94" w:rsidRDefault="00465DE0">
      <w:pPr>
        <w:pStyle w:val="Subsection"/>
        <w:rPr>
          <w:snapToGrid w:val="0"/>
        </w:rPr>
      </w:pPr>
      <w:r>
        <w:rPr>
          <w:snapToGrid w:val="0"/>
        </w:rPr>
        <w:tab/>
        <w:t>(2)</w:t>
      </w:r>
      <w:r>
        <w:rPr>
          <w:snapToGrid w:val="0"/>
        </w:rPr>
        <w:tab/>
        <w:t>If an action, suit or other proceeding is brought against a person responsible for the importation, manufacture, supply or handling of — </w:t>
      </w:r>
    </w:p>
    <w:p w:rsidR="00602A94" w:rsidRDefault="00465DE0">
      <w:pPr>
        <w:pStyle w:val="Indenta"/>
        <w:rPr>
          <w:snapToGrid w:val="0"/>
        </w:rPr>
      </w:pPr>
      <w:r>
        <w:rPr>
          <w:snapToGrid w:val="0"/>
        </w:rPr>
        <w:tab/>
        <w:t>(a)</w:t>
      </w:r>
      <w:r>
        <w:rPr>
          <w:snapToGrid w:val="0"/>
        </w:rPr>
        <w:tab/>
        <w:t>an approved active constituent for a proposed or existing chemical product;</w:t>
      </w:r>
    </w:p>
    <w:p w:rsidR="00602A94" w:rsidRDefault="00465DE0">
      <w:pPr>
        <w:pStyle w:val="Indenta"/>
        <w:rPr>
          <w:snapToGrid w:val="0"/>
        </w:rPr>
      </w:pPr>
      <w:r>
        <w:rPr>
          <w:snapToGrid w:val="0"/>
        </w:rPr>
        <w:tab/>
        <w:t>(b)</w:t>
      </w:r>
      <w:r>
        <w:rPr>
          <w:snapToGrid w:val="0"/>
        </w:rPr>
        <w:tab/>
        <w:t>a registered chemical product;</w:t>
      </w:r>
    </w:p>
    <w:p w:rsidR="00602A94" w:rsidRDefault="00465DE0">
      <w:pPr>
        <w:pStyle w:val="Indenta"/>
        <w:rPr>
          <w:snapToGrid w:val="0"/>
        </w:rPr>
      </w:pPr>
      <w:r>
        <w:rPr>
          <w:snapToGrid w:val="0"/>
        </w:rPr>
        <w:tab/>
        <w:t>(c)</w:t>
      </w:r>
      <w:r>
        <w:rPr>
          <w:snapToGrid w:val="0"/>
        </w:rPr>
        <w:tab/>
        <w:t>an active constituent for a proposed or existing chemical product, or a chemical product, in respect of which the NRA has issued a permit or given an exemption; or</w:t>
      </w:r>
    </w:p>
    <w:p w:rsidR="00602A94" w:rsidRDefault="00465DE0">
      <w:pPr>
        <w:pStyle w:val="Indenta"/>
        <w:rPr>
          <w:snapToGrid w:val="0"/>
        </w:rPr>
      </w:pPr>
      <w:r>
        <w:rPr>
          <w:snapToGrid w:val="0"/>
        </w:rPr>
        <w:tab/>
        <w:t>(d)</w:t>
      </w:r>
      <w:r>
        <w:rPr>
          <w:snapToGrid w:val="0"/>
        </w:rPr>
        <w:tab/>
        <w:t>a chemical product in respect of a step in the manufacture of which the NRA has issued a licence,</w:t>
      </w:r>
    </w:p>
    <w:p w:rsidR="00602A94" w:rsidRDefault="00465DE0">
      <w:pPr>
        <w:pStyle w:val="Subsection"/>
        <w:rPr>
          <w:snapToGrid w:val="0"/>
        </w:rPr>
      </w:pPr>
      <w:r>
        <w:rPr>
          <w:snapToGrid w:val="0"/>
        </w:rPr>
        <w:tab/>
      </w:r>
      <w:r>
        <w:rPr>
          <w:snapToGrid w:val="0"/>
        </w:rPr>
        <w:tab/>
        <w:t>in relation to any loss or injury directly or indirectly suffered because of the importation, manufacture, supply or handling of the constituent or product, it is not a defence to that action, suit or other proceeding that the NRA has approved the constituent, registered the product, issued a permit or given an exemption in relation to the constituent or the product, or issued a licence in relation to a step in the manufacture of the product.</w:t>
      </w:r>
    </w:p>
    <w:p w:rsidR="00602A94" w:rsidRDefault="00465DE0">
      <w:pPr>
        <w:pStyle w:val="Subsection"/>
        <w:rPr>
          <w:snapToGrid w:val="0"/>
        </w:rPr>
      </w:pPr>
      <w:r>
        <w:rPr>
          <w:snapToGrid w:val="0"/>
        </w:rPr>
        <w:tab/>
        <w:t>(3)</w:t>
      </w:r>
      <w:r>
        <w:rPr>
          <w:snapToGrid w:val="0"/>
        </w:rPr>
        <w:tab/>
        <w:t>Expressions used in this section have the same meanings as they have in the Agvet Code of this jurisdiction.</w:t>
      </w:r>
    </w:p>
    <w:p w:rsidR="00602A94" w:rsidRDefault="00465DE0">
      <w:pPr>
        <w:pStyle w:val="Heading5"/>
        <w:rPr>
          <w:snapToGrid w:val="0"/>
        </w:rPr>
      </w:pPr>
      <w:bookmarkStart w:id="215" w:name="_Toc515955394"/>
      <w:bookmarkStart w:id="216" w:name="_Toc531597844"/>
      <w:bookmarkStart w:id="217" w:name="_Toc536411494"/>
      <w:bookmarkStart w:id="218" w:name="_Toc1537320"/>
      <w:bookmarkStart w:id="219" w:name="_Toc102975431"/>
      <w:bookmarkStart w:id="220" w:name="_Toc137965247"/>
      <w:r>
        <w:rPr>
          <w:rStyle w:val="CharSectno"/>
        </w:rPr>
        <w:t>32</w:t>
      </w:r>
      <w:r>
        <w:rPr>
          <w:snapToGrid w:val="0"/>
        </w:rPr>
        <w:t>.</w:t>
      </w:r>
      <w:r>
        <w:rPr>
          <w:snapToGrid w:val="0"/>
        </w:rPr>
        <w:tab/>
        <w:t>Regulations</w:t>
      </w:r>
      <w:bookmarkEnd w:id="215"/>
      <w:bookmarkEnd w:id="216"/>
      <w:bookmarkEnd w:id="217"/>
      <w:bookmarkEnd w:id="218"/>
      <w:bookmarkEnd w:id="219"/>
      <w:bookmarkEnd w:id="220"/>
      <w:r>
        <w:rPr>
          <w:snapToGrid w:val="0"/>
        </w:rPr>
        <w:t xml:space="preserve"> </w:t>
      </w:r>
    </w:p>
    <w:p w:rsidR="00602A94" w:rsidRDefault="00465DE0">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602A94" w:rsidRDefault="00465DE0">
      <w:pPr>
        <w:pStyle w:val="Heading5"/>
        <w:rPr>
          <w:snapToGrid w:val="0"/>
        </w:rPr>
      </w:pPr>
      <w:bookmarkStart w:id="221" w:name="_Toc515955395"/>
      <w:bookmarkStart w:id="222" w:name="_Toc531597845"/>
      <w:bookmarkStart w:id="223" w:name="_Toc536411495"/>
      <w:bookmarkStart w:id="224" w:name="_Toc1537321"/>
      <w:bookmarkStart w:id="225" w:name="_Toc102975432"/>
      <w:bookmarkStart w:id="226" w:name="_Toc137965248"/>
      <w:r>
        <w:rPr>
          <w:rStyle w:val="CharSectno"/>
        </w:rPr>
        <w:t>33</w:t>
      </w:r>
      <w:r>
        <w:rPr>
          <w:snapToGrid w:val="0"/>
        </w:rPr>
        <w:t>.</w:t>
      </w:r>
      <w:r>
        <w:rPr>
          <w:snapToGrid w:val="0"/>
        </w:rPr>
        <w:tab/>
        <w:t>Eligible laws</w:t>
      </w:r>
      <w:bookmarkEnd w:id="221"/>
      <w:bookmarkEnd w:id="222"/>
      <w:bookmarkEnd w:id="223"/>
      <w:bookmarkEnd w:id="224"/>
      <w:bookmarkEnd w:id="225"/>
      <w:bookmarkEnd w:id="226"/>
      <w:r>
        <w:rPr>
          <w:snapToGrid w:val="0"/>
        </w:rPr>
        <w:t xml:space="preserve"> </w:t>
      </w:r>
    </w:p>
    <w:p w:rsidR="00602A94" w:rsidRDefault="00465DE0">
      <w:pPr>
        <w:pStyle w:val="Subsection"/>
        <w:rPr>
          <w:snapToGrid w:val="0"/>
        </w:rPr>
      </w:pPr>
      <w:r>
        <w:rPr>
          <w:snapToGrid w:val="0"/>
        </w:rPr>
        <w:tab/>
      </w:r>
      <w:r>
        <w:rPr>
          <w:snapToGrid w:val="0"/>
        </w:rPr>
        <w:tab/>
        <w:t>An enactment may be declared by regulations made under section 32 to be an eligible law of this jurisdiction for the purposes of the definition of “permit” in section 109 of the Agvet Code of this jurisdiction.</w:t>
      </w:r>
    </w:p>
    <w:p w:rsidR="00602A94" w:rsidRDefault="00465DE0">
      <w:pPr>
        <w:pStyle w:val="Heading5"/>
      </w:pPr>
      <w:bookmarkStart w:id="227" w:name="_Toc81455"/>
      <w:bookmarkStart w:id="228" w:name="_Toc1537322"/>
      <w:bookmarkStart w:id="229" w:name="_Toc102975433"/>
      <w:bookmarkStart w:id="230" w:name="_Toc137965249"/>
      <w:bookmarkStart w:id="231" w:name="_Toc515955396"/>
      <w:bookmarkStart w:id="232" w:name="_Toc531597846"/>
      <w:bookmarkStart w:id="233" w:name="_Toc536411496"/>
      <w:r>
        <w:rPr>
          <w:rStyle w:val="CharSectno"/>
        </w:rPr>
        <w:t>33A</w:t>
      </w:r>
      <w:r>
        <w:t>.</w:t>
      </w:r>
      <w:r>
        <w:tab/>
        <w:t xml:space="preserve">Transitional provision — </w:t>
      </w:r>
      <w:r>
        <w:rPr>
          <w:i/>
        </w:rPr>
        <w:t>Agricultural and Veterinary Chemicals (Western Australia) Amendment Act 2001</w:t>
      </w:r>
      <w:bookmarkEnd w:id="227"/>
      <w:bookmarkEnd w:id="228"/>
      <w:bookmarkEnd w:id="229"/>
      <w:bookmarkEnd w:id="230"/>
    </w:p>
    <w:p w:rsidR="00602A94" w:rsidRDefault="00465DE0">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rsidR="00602A94" w:rsidRDefault="00465DE0">
      <w:pPr>
        <w:pStyle w:val="Footnotesection"/>
      </w:pPr>
      <w:r>
        <w:tab/>
        <w:t>[Section 33A inserted by No. 21 of 2001 s. 8.]</w:t>
      </w:r>
    </w:p>
    <w:p w:rsidR="00602A94" w:rsidRDefault="00465DE0">
      <w:pPr>
        <w:pStyle w:val="Heading5"/>
        <w:rPr>
          <w:snapToGrid w:val="0"/>
        </w:rPr>
      </w:pPr>
      <w:bookmarkStart w:id="234" w:name="_Toc1537323"/>
      <w:bookmarkStart w:id="235" w:name="_Toc102975434"/>
      <w:bookmarkStart w:id="236" w:name="_Toc137965250"/>
      <w:r>
        <w:rPr>
          <w:rStyle w:val="CharSectno"/>
        </w:rPr>
        <w:t>34</w:t>
      </w:r>
      <w:r>
        <w:rPr>
          <w:snapToGrid w:val="0"/>
        </w:rPr>
        <w:t>.</w:t>
      </w:r>
      <w:r>
        <w:rPr>
          <w:snapToGrid w:val="0"/>
        </w:rPr>
        <w:tab/>
        <w:t>Review of Act</w:t>
      </w:r>
      <w:bookmarkEnd w:id="231"/>
      <w:bookmarkEnd w:id="232"/>
      <w:bookmarkEnd w:id="233"/>
      <w:bookmarkEnd w:id="234"/>
      <w:bookmarkEnd w:id="235"/>
      <w:bookmarkEnd w:id="236"/>
      <w:r>
        <w:rPr>
          <w:snapToGrid w:val="0"/>
        </w:rPr>
        <w:t> </w:t>
      </w:r>
    </w:p>
    <w:p w:rsidR="00602A94" w:rsidRDefault="00465DE0">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rsidR="00602A94" w:rsidRDefault="00465DE0">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rsidR="00602A94" w:rsidRDefault="00465DE0">
      <w:pPr>
        <w:pStyle w:val="Heading2"/>
      </w:pPr>
      <w:bookmarkStart w:id="237" w:name="_Toc96225075"/>
      <w:bookmarkStart w:id="238" w:name="_Toc97095722"/>
      <w:bookmarkStart w:id="239" w:name="_Toc102975435"/>
      <w:bookmarkStart w:id="240" w:name="_Toc137964287"/>
      <w:bookmarkStart w:id="241" w:name="_Toc137965251"/>
      <w:r>
        <w:rPr>
          <w:rStyle w:val="CharPartNo"/>
        </w:rPr>
        <w:t>Part 9</w:t>
      </w:r>
      <w:r>
        <w:rPr>
          <w:rStyle w:val="CharDivNo"/>
        </w:rPr>
        <w:t> </w:t>
      </w:r>
      <w:r>
        <w:t>—</w:t>
      </w:r>
      <w:r>
        <w:rPr>
          <w:rStyle w:val="CharDivText"/>
        </w:rPr>
        <w:t> </w:t>
      </w:r>
      <w:r>
        <w:rPr>
          <w:rStyle w:val="CharPartText"/>
        </w:rPr>
        <w:t>Imposition of Fees</w:t>
      </w:r>
      <w:bookmarkEnd w:id="237"/>
      <w:bookmarkEnd w:id="238"/>
      <w:bookmarkEnd w:id="239"/>
      <w:bookmarkEnd w:id="240"/>
      <w:bookmarkEnd w:id="241"/>
    </w:p>
    <w:p w:rsidR="00602A94" w:rsidRDefault="00465DE0">
      <w:pPr>
        <w:pStyle w:val="Heading5"/>
        <w:rPr>
          <w:snapToGrid w:val="0"/>
        </w:rPr>
      </w:pPr>
      <w:bookmarkStart w:id="242" w:name="_Toc515955397"/>
      <w:bookmarkStart w:id="243" w:name="_Toc531597847"/>
      <w:bookmarkStart w:id="244" w:name="_Toc536411497"/>
      <w:bookmarkStart w:id="245" w:name="_Toc1537324"/>
      <w:bookmarkStart w:id="246" w:name="_Toc102975436"/>
      <w:bookmarkStart w:id="247" w:name="_Toc137965252"/>
      <w:r>
        <w:rPr>
          <w:rStyle w:val="CharSectno"/>
        </w:rPr>
        <w:t>35</w:t>
      </w:r>
      <w:r>
        <w:rPr>
          <w:snapToGrid w:val="0"/>
        </w:rPr>
        <w:t>.</w:t>
      </w:r>
      <w:r>
        <w:rPr>
          <w:snapToGrid w:val="0"/>
        </w:rPr>
        <w:tab/>
        <w:t>Fees</w:t>
      </w:r>
      <w:bookmarkEnd w:id="242"/>
      <w:bookmarkEnd w:id="243"/>
      <w:bookmarkEnd w:id="244"/>
      <w:bookmarkEnd w:id="245"/>
      <w:bookmarkEnd w:id="246"/>
      <w:bookmarkEnd w:id="247"/>
      <w:r>
        <w:rPr>
          <w:snapToGrid w:val="0"/>
        </w:rPr>
        <w:t xml:space="preserve"> </w:t>
      </w:r>
    </w:p>
    <w:p w:rsidR="00602A94" w:rsidRDefault="00465DE0">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rsidR="00602A94" w:rsidRDefault="00465DE0">
      <w:pPr>
        <w:pStyle w:val="Heading2"/>
      </w:pPr>
      <w:bookmarkStart w:id="248" w:name="_Toc96225077"/>
      <w:bookmarkStart w:id="249" w:name="_Toc97095724"/>
      <w:bookmarkStart w:id="250" w:name="_Toc102975437"/>
      <w:bookmarkStart w:id="251" w:name="_Toc137964289"/>
      <w:bookmarkStart w:id="252" w:name="_Toc137965253"/>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248"/>
      <w:bookmarkEnd w:id="249"/>
      <w:bookmarkEnd w:id="250"/>
      <w:bookmarkEnd w:id="251"/>
      <w:bookmarkEnd w:id="252"/>
    </w:p>
    <w:p w:rsidR="00602A94" w:rsidRDefault="00465DE0">
      <w:pPr>
        <w:pStyle w:val="Footnotesection"/>
      </w:pPr>
      <w:r>
        <w:tab/>
        <w:t>[Heading inserted by No. 21 of 2001 s. 9.]</w:t>
      </w:r>
    </w:p>
    <w:p w:rsidR="00602A94" w:rsidRDefault="00465DE0">
      <w:pPr>
        <w:pStyle w:val="Heading5"/>
      </w:pPr>
      <w:bookmarkStart w:id="253" w:name="_Toc531597848"/>
      <w:bookmarkStart w:id="254" w:name="_Toc536411498"/>
      <w:bookmarkStart w:id="255" w:name="_Toc1537325"/>
      <w:bookmarkStart w:id="256" w:name="_Toc102975438"/>
      <w:bookmarkStart w:id="257" w:name="_Toc137965254"/>
      <w:r>
        <w:rPr>
          <w:rStyle w:val="CharSectno"/>
        </w:rPr>
        <w:t>35A</w:t>
      </w:r>
      <w:r>
        <w:t>.</w:t>
      </w:r>
      <w:r>
        <w:tab/>
        <w:t>Conferral of functions on Commonwealth Director of Public Prosecutions</w:t>
      </w:r>
      <w:bookmarkEnd w:id="253"/>
      <w:bookmarkEnd w:id="254"/>
      <w:bookmarkEnd w:id="255"/>
      <w:bookmarkEnd w:id="256"/>
      <w:bookmarkEnd w:id="257"/>
      <w:r>
        <w:t xml:space="preserve"> </w:t>
      </w:r>
    </w:p>
    <w:p w:rsidR="00602A94" w:rsidRDefault="00465DE0">
      <w:pPr>
        <w:pStyle w:val="Subsection"/>
      </w:pPr>
      <w:r>
        <w:tab/>
      </w:r>
      <w:r>
        <w:tab/>
        <w:t xml:space="preserve">The Director of Public Prosecutions for the Commonwealth </w:t>
      </w:r>
      <w:r>
        <w:rPr>
          <w:b/>
        </w:rPr>
        <w:t>(“</w:t>
      </w:r>
      <w:r>
        <w:rPr>
          <w:rStyle w:val="CharDefText"/>
        </w:rPr>
        <w:t>the Commonwealth Director</w:t>
      </w:r>
      <w:r>
        <w:rPr>
          <w:b/>
        </w:rPr>
        <w:t>”)</w:t>
      </w:r>
      <w:r>
        <w:t xml:space="preserve"> may —</w:t>
      </w:r>
    </w:p>
    <w:p w:rsidR="00602A94" w:rsidRDefault="00465DE0">
      <w:pPr>
        <w:pStyle w:val="Indenta"/>
      </w:pPr>
      <w:r>
        <w:tab/>
        <w:t>(a)</w:t>
      </w:r>
      <w:r>
        <w:tab/>
      </w:r>
      <w:r>
        <w:rPr>
          <w:snapToGrid w:val="0"/>
        </w:rPr>
        <w:t>institute prosecutions on indictment for indictable offences against the Agvet Code, or the Agvet Regulations</w:t>
      </w:r>
      <w:r>
        <w:t>, of this jurisdiction;</w:t>
      </w:r>
    </w:p>
    <w:p w:rsidR="00602A94" w:rsidRDefault="00465DE0">
      <w:pPr>
        <w:pStyle w:val="Indenta"/>
      </w:pPr>
      <w:r>
        <w:tab/>
        <w:t>(b)</w:t>
      </w:r>
      <w:r>
        <w:tab/>
        <w:t>carry on prosecutions of the kind referred to in paragraph (a) (except prosecutions instituted by the Attorney General or the Director of Public Prosecutions of the State), whether or not instituted by the Commonwealth Director;</w:t>
      </w:r>
    </w:p>
    <w:p w:rsidR="00602A94" w:rsidRDefault="00465DE0">
      <w:pPr>
        <w:pStyle w:val="Indenta"/>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w:t>
      </w:r>
    </w:p>
    <w:p w:rsidR="00602A94" w:rsidRDefault="00465DE0">
      <w:pPr>
        <w:pStyle w:val="Indenta"/>
      </w:pPr>
      <w:r>
        <w:tab/>
        <w:t>(d)</w:t>
      </w:r>
      <w:r>
        <w:tab/>
        <w:t>institute proceedings for the commitment of persons for trial in respect of indictable offences against the Agvet Code, or the Agvet Regulations, of this jurisdiction;</w:t>
      </w:r>
    </w:p>
    <w:p w:rsidR="00602A94" w:rsidRDefault="00465DE0">
      <w:pPr>
        <w:pStyle w:val="Indenta"/>
      </w:pPr>
      <w:r>
        <w:tab/>
        <w:t>(e)</w:t>
      </w:r>
      <w:r>
        <w:tab/>
        <w:t xml:space="preserve">institute proceedings for the summary conviction of persons in respect of offences against the Agvet Code, or the Agvet Regulations, of this jurisdiction; </w:t>
      </w:r>
    </w:p>
    <w:p w:rsidR="00602A94" w:rsidRDefault="00465DE0">
      <w:pPr>
        <w:pStyle w:val="Indenta"/>
      </w:pPr>
      <w:r>
        <w:tab/>
        <w:t>(f)</w:t>
      </w:r>
      <w:r>
        <w:tab/>
        <w:t>carry on proceedings of a kind referred to in paragraph (d) or (e) (whether or not instituted by the Commonwealth Director); and</w:t>
      </w:r>
    </w:p>
    <w:p w:rsidR="00602A94" w:rsidRDefault="00465DE0">
      <w:pPr>
        <w:pStyle w:val="Indenta"/>
      </w:pPr>
      <w:r>
        <w:tab/>
        <w:t>(g)</w:t>
      </w:r>
      <w:r>
        <w:tab/>
        <w:t>do anything incidental or conducive to the performance of any of the functions referred to in paragraphs (a) to (f).</w:t>
      </w:r>
    </w:p>
    <w:p w:rsidR="00602A94" w:rsidRDefault="00465DE0">
      <w:pPr>
        <w:pStyle w:val="Footnotesection"/>
      </w:pPr>
      <w:r>
        <w:tab/>
        <w:t>[Section 35A inserted by No. 21 of 2001 s. 9.]</w:t>
      </w:r>
    </w:p>
    <w:p w:rsidR="00602A94" w:rsidRDefault="00465DE0">
      <w:pPr>
        <w:pStyle w:val="Heading2"/>
      </w:pPr>
      <w:bookmarkStart w:id="258" w:name="_Toc96225079"/>
      <w:bookmarkStart w:id="259" w:name="_Toc97095726"/>
      <w:bookmarkStart w:id="260" w:name="_Toc102975439"/>
      <w:bookmarkStart w:id="261" w:name="_Toc137964291"/>
      <w:bookmarkStart w:id="262" w:name="_Toc137965255"/>
      <w:r>
        <w:rPr>
          <w:rStyle w:val="CharPartNo"/>
        </w:rPr>
        <w:t>Part 10</w:t>
      </w:r>
      <w:r>
        <w:rPr>
          <w:rStyle w:val="CharDivNo"/>
        </w:rPr>
        <w:t> </w:t>
      </w:r>
      <w:r>
        <w:t>—</w:t>
      </w:r>
      <w:r>
        <w:rPr>
          <w:rStyle w:val="CharDivText"/>
        </w:rPr>
        <w:t> </w:t>
      </w:r>
      <w:r>
        <w:rPr>
          <w:rStyle w:val="CharPartText"/>
        </w:rPr>
        <w:t>Relationship with other State laws</w:t>
      </w:r>
      <w:bookmarkEnd w:id="258"/>
      <w:bookmarkEnd w:id="259"/>
      <w:bookmarkEnd w:id="260"/>
      <w:bookmarkEnd w:id="261"/>
      <w:bookmarkEnd w:id="262"/>
    </w:p>
    <w:p w:rsidR="00602A94" w:rsidRDefault="00465DE0">
      <w:pPr>
        <w:pStyle w:val="Heading5"/>
        <w:rPr>
          <w:snapToGrid w:val="0"/>
        </w:rPr>
      </w:pPr>
      <w:bookmarkStart w:id="263" w:name="_Toc515955398"/>
      <w:bookmarkStart w:id="264" w:name="_Toc531597849"/>
      <w:bookmarkStart w:id="265" w:name="_Toc536411499"/>
      <w:bookmarkStart w:id="266" w:name="_Toc1537326"/>
      <w:bookmarkStart w:id="267" w:name="_Toc102975440"/>
      <w:bookmarkStart w:id="268" w:name="_Toc137965256"/>
      <w:r>
        <w:rPr>
          <w:rStyle w:val="CharSectno"/>
        </w:rPr>
        <w:t>36</w:t>
      </w:r>
      <w:r>
        <w:rPr>
          <w:snapToGrid w:val="0"/>
        </w:rPr>
        <w:t>.</w:t>
      </w:r>
      <w:r>
        <w:rPr>
          <w:snapToGrid w:val="0"/>
        </w:rPr>
        <w:tab/>
        <w:t>Relationship with other State laws</w:t>
      </w:r>
      <w:bookmarkEnd w:id="263"/>
      <w:bookmarkEnd w:id="264"/>
      <w:bookmarkEnd w:id="265"/>
      <w:bookmarkEnd w:id="266"/>
      <w:bookmarkEnd w:id="267"/>
      <w:bookmarkEnd w:id="268"/>
      <w:r>
        <w:rPr>
          <w:snapToGrid w:val="0"/>
        </w:rPr>
        <w:t xml:space="preserve"> </w:t>
      </w:r>
    </w:p>
    <w:p w:rsidR="00602A94" w:rsidRDefault="00465DE0">
      <w:pPr>
        <w:pStyle w:val="Subsection"/>
        <w:rPr>
          <w:snapToGrid w:val="0"/>
        </w:rPr>
      </w:pPr>
      <w:r>
        <w:rPr>
          <w:snapToGrid w:val="0"/>
        </w:rPr>
        <w:tab/>
        <w:t>(1)</w:t>
      </w:r>
      <w:r>
        <w:rPr>
          <w:snapToGrid w:val="0"/>
        </w:rPr>
        <w:tab/>
        <w:t xml:space="preserve">In this section, </w:t>
      </w:r>
      <w:r>
        <w:rPr>
          <w:b/>
          <w:snapToGrid w:val="0"/>
        </w:rPr>
        <w:t>“</w:t>
      </w:r>
      <w:r>
        <w:rPr>
          <w:rStyle w:val="CharDefText"/>
        </w:rPr>
        <w:t>Agvet Code</w:t>
      </w:r>
      <w:r>
        <w:rPr>
          <w:b/>
          <w:snapToGrid w:val="0"/>
        </w:rPr>
        <w:t>”</w:t>
      </w:r>
      <w:r>
        <w:rPr>
          <w:snapToGrid w:val="0"/>
        </w:rPr>
        <w:t xml:space="preserve"> means the Agvet Code of this jurisdiction and includes the Agvet Regulations of this jurisdiction.</w:t>
      </w:r>
    </w:p>
    <w:p w:rsidR="00602A94" w:rsidRDefault="00465DE0">
      <w:pPr>
        <w:pStyle w:val="Ednotesubsection"/>
      </w:pPr>
      <w:r>
        <w:tab/>
        <w:t>[(2)</w:t>
      </w:r>
      <w:r>
        <w:tab/>
        <w:t>repealed]</w:t>
      </w:r>
    </w:p>
    <w:p w:rsidR="00602A94" w:rsidRDefault="00465DE0">
      <w:pPr>
        <w:pStyle w:val="Subsection"/>
        <w:rPr>
          <w:snapToGrid w:val="0"/>
        </w:rPr>
      </w:pPr>
      <w:r>
        <w:rPr>
          <w:snapToGrid w:val="0"/>
        </w:rPr>
        <w:tab/>
        <w:t>(3)</w:t>
      </w:r>
      <w:r>
        <w:rPr>
          <w:snapToGrid w:val="0"/>
        </w:rPr>
        <w:tab/>
        <w:t>Despite any other provision of this Act or the Agvet Code, regulations made under section 32 may provide — </w:t>
      </w:r>
    </w:p>
    <w:p w:rsidR="00602A94" w:rsidRDefault="00465DE0">
      <w:pPr>
        <w:pStyle w:val="Indenta"/>
        <w:rPr>
          <w:snapToGrid w:val="0"/>
        </w:rPr>
      </w:pPr>
      <w:r>
        <w:rPr>
          <w:snapToGrid w:val="0"/>
        </w:rPr>
        <w:tab/>
        <w:t>(a)</w:t>
      </w:r>
      <w:r>
        <w:rPr>
          <w:snapToGrid w:val="0"/>
        </w:rPr>
        <w:tab/>
        <w:t>that a specified enactment has effect despite the Agvet Code, or a specified provision of the Agvet Code;</w:t>
      </w:r>
    </w:p>
    <w:p w:rsidR="00602A94" w:rsidRDefault="00465DE0">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rsidR="00602A94" w:rsidRDefault="00465DE0">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rsidR="00602A94" w:rsidRDefault="00465DE0">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rsidR="00602A94" w:rsidRDefault="00465DE0">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 </w:t>
      </w:r>
    </w:p>
    <w:p w:rsidR="00602A94" w:rsidRDefault="00465DE0">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rsidR="00602A94" w:rsidRDefault="00465DE0">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rsidR="00602A94" w:rsidRDefault="00465DE0">
      <w:pPr>
        <w:pStyle w:val="Footnotesection"/>
      </w:pPr>
      <w:r>
        <w:tab/>
        <w:t>[Section 36 amended by No. 4 of 2000 s. 3.]</w:t>
      </w:r>
    </w:p>
    <w:p w:rsidR="00602A94" w:rsidRDefault="00465DE0">
      <w:pPr>
        <w:pStyle w:val="Ednotepart"/>
      </w:pPr>
      <w:r>
        <w:t>[Part 11 omitted under the Reprints Act 1984 s. 7(4)(e).]</w:t>
      </w:r>
    </w:p>
    <w:p w:rsidR="00602A94" w:rsidRDefault="00602A94">
      <w:pPr>
        <w:rPr>
          <w:rStyle w:val="CharDivText"/>
        </w:rPr>
        <w:sectPr w:rsidR="00602A9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69" w:name="_Toc96225081"/>
      <w:bookmarkStart w:id="270" w:name="_Toc97095728"/>
      <w:bookmarkStart w:id="271" w:name="_Toc102975441"/>
      <w:bookmarkStart w:id="272" w:name="_Toc137964293"/>
      <w:bookmarkStart w:id="273" w:name="_Toc137965257"/>
    </w:p>
    <w:p w:rsidR="00602A94" w:rsidRDefault="00465DE0">
      <w:pPr>
        <w:pStyle w:val="nHeading2"/>
      </w:pPr>
      <w:r>
        <w:t>Notes</w:t>
      </w:r>
      <w:bookmarkEnd w:id="269"/>
      <w:bookmarkEnd w:id="270"/>
      <w:bookmarkEnd w:id="271"/>
      <w:bookmarkEnd w:id="272"/>
      <w:bookmarkEnd w:id="273"/>
    </w:p>
    <w:p w:rsidR="00602A94" w:rsidRDefault="00465DE0">
      <w:pPr>
        <w:pStyle w:val="nSubsection"/>
      </w:pPr>
      <w:bookmarkStart w:id="274" w:name="_Toc531597871"/>
      <w:bookmarkStart w:id="275" w:name="_Toc1537348"/>
      <w:r>
        <w:rPr>
          <w:vertAlign w:val="superscript"/>
        </w:rPr>
        <w:t>1</w:t>
      </w:r>
      <w:r>
        <w:tab/>
        <w:t xml:space="preserve">This is a compilation of the </w:t>
      </w:r>
      <w:r>
        <w:rPr>
          <w:i/>
          <w:sz w:val="19"/>
        </w:rPr>
        <w:t>Agricultural and Veterinary Chemicals (Western Australia) Act 1995</w:t>
      </w:r>
      <w:r>
        <w:rPr>
          <w:i/>
        </w:rPr>
        <w:t xml:space="preserve"> </w:t>
      </w:r>
      <w:r>
        <w:t xml:space="preserve">and includes the amendments made by the other written laws referred to in the following table </w:t>
      </w:r>
      <w:r>
        <w:rPr>
          <w:vertAlign w:val="superscript"/>
        </w:rPr>
        <w:t>1a</w:t>
      </w:r>
      <w:r>
        <w:t xml:space="preserve">. The table also contains information about any reprint </w:t>
      </w:r>
      <w:r>
        <w:rPr>
          <w:vertAlign w:val="superscript"/>
        </w:rPr>
        <w:t>2</w:t>
      </w:r>
      <w:r>
        <w:t>.</w:t>
      </w:r>
    </w:p>
    <w:p w:rsidR="00602A94" w:rsidRDefault="00465DE0">
      <w:pPr>
        <w:pStyle w:val="nHeading3"/>
        <w:rPr>
          <w:snapToGrid w:val="0"/>
        </w:rPr>
      </w:pPr>
      <w:bookmarkStart w:id="276" w:name="_Toc102975442"/>
      <w:bookmarkStart w:id="277" w:name="_Toc137965258"/>
      <w:r>
        <w:rPr>
          <w:snapToGrid w:val="0"/>
        </w:rPr>
        <w:t>Compilation table</w:t>
      </w:r>
      <w:bookmarkEnd w:id="274"/>
      <w:bookmarkEnd w:id="275"/>
      <w:bookmarkEnd w:id="276"/>
      <w:bookmarkEnd w:id="27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02A94">
        <w:trPr>
          <w:cantSplit/>
          <w:tblHeader/>
        </w:trPr>
        <w:tc>
          <w:tcPr>
            <w:tcW w:w="2268" w:type="dxa"/>
            <w:tcBorders>
              <w:top w:val="single" w:sz="8" w:space="0" w:color="auto"/>
              <w:bottom w:val="single" w:sz="8" w:space="0" w:color="auto"/>
            </w:tcBorders>
          </w:tcPr>
          <w:p w:rsidR="00602A94" w:rsidRDefault="00465DE0">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602A94" w:rsidRDefault="00465DE0">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602A94" w:rsidRDefault="00465DE0">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602A94" w:rsidRDefault="00465DE0">
            <w:pPr>
              <w:pStyle w:val="nTable"/>
              <w:spacing w:before="60" w:after="60"/>
              <w:rPr>
                <w:b/>
                <w:sz w:val="19"/>
              </w:rPr>
            </w:pPr>
            <w:r>
              <w:rPr>
                <w:b/>
                <w:sz w:val="19"/>
              </w:rPr>
              <w:t>Commencement</w:t>
            </w:r>
          </w:p>
        </w:tc>
      </w:tr>
      <w:tr w:rsidR="00602A94">
        <w:trPr>
          <w:cantSplit/>
        </w:trPr>
        <w:tc>
          <w:tcPr>
            <w:tcW w:w="2268" w:type="dxa"/>
          </w:tcPr>
          <w:p w:rsidR="00602A94" w:rsidRDefault="00465DE0">
            <w:pPr>
              <w:pStyle w:val="nTable"/>
              <w:spacing w:before="120" w:after="60"/>
              <w:ind w:right="113"/>
              <w:rPr>
                <w:sz w:val="19"/>
              </w:rPr>
            </w:pPr>
            <w:r>
              <w:rPr>
                <w:i/>
                <w:sz w:val="19"/>
              </w:rPr>
              <w:t>Agricultural and Veterinary Chemicals (Western Australia) Act 1995</w:t>
            </w:r>
          </w:p>
        </w:tc>
        <w:tc>
          <w:tcPr>
            <w:tcW w:w="1134" w:type="dxa"/>
          </w:tcPr>
          <w:p w:rsidR="00602A94" w:rsidRDefault="00465DE0">
            <w:pPr>
              <w:pStyle w:val="nTable"/>
              <w:spacing w:before="120"/>
              <w:rPr>
                <w:sz w:val="19"/>
              </w:rPr>
            </w:pPr>
            <w:r>
              <w:rPr>
                <w:sz w:val="19"/>
              </w:rPr>
              <w:t>3 of 1995</w:t>
            </w:r>
          </w:p>
        </w:tc>
        <w:tc>
          <w:tcPr>
            <w:tcW w:w="1134" w:type="dxa"/>
          </w:tcPr>
          <w:p w:rsidR="00602A94" w:rsidRDefault="00465DE0">
            <w:pPr>
              <w:pStyle w:val="nTable"/>
              <w:spacing w:before="120"/>
              <w:rPr>
                <w:sz w:val="19"/>
              </w:rPr>
            </w:pPr>
            <w:r>
              <w:rPr>
                <w:sz w:val="19"/>
              </w:rPr>
              <w:t>17 May 1995</w:t>
            </w:r>
          </w:p>
        </w:tc>
        <w:tc>
          <w:tcPr>
            <w:tcW w:w="2552" w:type="dxa"/>
          </w:tcPr>
          <w:p w:rsidR="00602A94" w:rsidRDefault="00465DE0">
            <w:pPr>
              <w:pStyle w:val="nTable"/>
              <w:spacing w:before="120"/>
              <w:rPr>
                <w:sz w:val="19"/>
              </w:rPr>
            </w:pPr>
            <w:r>
              <w:rPr>
                <w:sz w:val="19"/>
              </w:rPr>
              <w:t>24 Jun 1995 (see s. 2 and </w:t>
            </w:r>
            <w:r>
              <w:rPr>
                <w:i/>
                <w:sz w:val="19"/>
              </w:rPr>
              <w:t>Gazette</w:t>
            </w:r>
            <w:r>
              <w:rPr>
                <w:sz w:val="19"/>
              </w:rPr>
              <w:t xml:space="preserve"> 23 Jun 1995 p. 2419)</w:t>
            </w:r>
          </w:p>
        </w:tc>
      </w:tr>
      <w:tr w:rsidR="00602A94">
        <w:trPr>
          <w:cantSplit/>
        </w:trPr>
        <w:tc>
          <w:tcPr>
            <w:tcW w:w="2268" w:type="dxa"/>
          </w:tcPr>
          <w:p w:rsidR="00602A94" w:rsidRDefault="00465DE0">
            <w:pPr>
              <w:pStyle w:val="nTable"/>
              <w:spacing w:before="120" w:after="60"/>
              <w:ind w:right="113"/>
              <w:rPr>
                <w:i/>
                <w:sz w:val="19"/>
              </w:rPr>
            </w:pPr>
            <w:r>
              <w:rPr>
                <w:i/>
                <w:sz w:val="19"/>
              </w:rPr>
              <w:t>Agricultural and Veterinary Chemicals (Western Australia) Amendment Act 2000</w:t>
            </w:r>
          </w:p>
        </w:tc>
        <w:tc>
          <w:tcPr>
            <w:tcW w:w="1134" w:type="dxa"/>
          </w:tcPr>
          <w:p w:rsidR="00602A94" w:rsidRDefault="00465DE0">
            <w:pPr>
              <w:pStyle w:val="nTable"/>
              <w:spacing w:before="120"/>
              <w:rPr>
                <w:sz w:val="19"/>
              </w:rPr>
            </w:pPr>
            <w:r>
              <w:rPr>
                <w:sz w:val="19"/>
              </w:rPr>
              <w:t>4 of 2000</w:t>
            </w:r>
          </w:p>
        </w:tc>
        <w:tc>
          <w:tcPr>
            <w:tcW w:w="1134" w:type="dxa"/>
          </w:tcPr>
          <w:p w:rsidR="00602A94" w:rsidRDefault="00465DE0">
            <w:pPr>
              <w:pStyle w:val="nTable"/>
              <w:spacing w:before="120"/>
              <w:rPr>
                <w:sz w:val="19"/>
              </w:rPr>
            </w:pPr>
            <w:r>
              <w:rPr>
                <w:sz w:val="19"/>
              </w:rPr>
              <w:t>10 Apr 2000</w:t>
            </w:r>
          </w:p>
        </w:tc>
        <w:tc>
          <w:tcPr>
            <w:tcW w:w="2552" w:type="dxa"/>
          </w:tcPr>
          <w:p w:rsidR="00602A94" w:rsidRDefault="00465DE0">
            <w:pPr>
              <w:pStyle w:val="nTable"/>
              <w:spacing w:before="120"/>
              <w:rPr>
                <w:sz w:val="19"/>
              </w:rPr>
            </w:pPr>
            <w:r>
              <w:rPr>
                <w:sz w:val="19"/>
              </w:rPr>
              <w:t>10 Apr 2000 (see s. 2)</w:t>
            </w:r>
          </w:p>
        </w:tc>
      </w:tr>
      <w:tr w:rsidR="00602A94">
        <w:trPr>
          <w:cantSplit/>
        </w:trPr>
        <w:tc>
          <w:tcPr>
            <w:tcW w:w="2268" w:type="dxa"/>
          </w:tcPr>
          <w:p w:rsidR="00602A94" w:rsidRDefault="00465DE0">
            <w:pPr>
              <w:pStyle w:val="nTable"/>
              <w:spacing w:before="120" w:after="60"/>
              <w:ind w:right="113"/>
              <w:rPr>
                <w:sz w:val="19"/>
              </w:rPr>
            </w:pPr>
            <w:r>
              <w:rPr>
                <w:i/>
                <w:sz w:val="19"/>
              </w:rPr>
              <w:t>Agricultural and Veterinary Chemicals (Western Australia) Amendment Act 2001</w:t>
            </w:r>
          </w:p>
        </w:tc>
        <w:tc>
          <w:tcPr>
            <w:tcW w:w="1134" w:type="dxa"/>
          </w:tcPr>
          <w:p w:rsidR="00602A94" w:rsidRDefault="00465DE0">
            <w:pPr>
              <w:pStyle w:val="nTable"/>
              <w:spacing w:before="120"/>
              <w:rPr>
                <w:sz w:val="19"/>
              </w:rPr>
            </w:pPr>
            <w:r>
              <w:rPr>
                <w:sz w:val="19"/>
              </w:rPr>
              <w:t>21 of 2001</w:t>
            </w:r>
          </w:p>
        </w:tc>
        <w:tc>
          <w:tcPr>
            <w:tcW w:w="1134" w:type="dxa"/>
          </w:tcPr>
          <w:p w:rsidR="00602A94" w:rsidRDefault="00465DE0">
            <w:pPr>
              <w:pStyle w:val="nTable"/>
              <w:spacing w:before="120"/>
              <w:rPr>
                <w:sz w:val="19"/>
              </w:rPr>
            </w:pPr>
            <w:r>
              <w:rPr>
                <w:sz w:val="19"/>
              </w:rPr>
              <w:t>26 Nov 2001</w:t>
            </w:r>
          </w:p>
        </w:tc>
        <w:tc>
          <w:tcPr>
            <w:tcW w:w="2552" w:type="dxa"/>
          </w:tcPr>
          <w:p w:rsidR="00602A94" w:rsidRDefault="00465DE0">
            <w:pPr>
              <w:pStyle w:val="nTable"/>
              <w:spacing w:before="120"/>
              <w:rPr>
                <w:sz w:val="19"/>
                <w:vertAlign w:val="superscript"/>
              </w:rPr>
            </w:pPr>
            <w:r>
              <w:rPr>
                <w:sz w:val="19"/>
              </w:rPr>
              <w:t>Act other than s. 4(b), 5, 7 &amp; 8: 26 Nov 2001 (see s. 2(1));</w:t>
            </w:r>
            <w:r>
              <w:rPr>
                <w:sz w:val="19"/>
              </w:rPr>
              <w:br/>
              <w:t xml:space="preserve">balance: 30 Jan 2002 (see s. 2(2) and </w:t>
            </w:r>
            <w:r>
              <w:rPr>
                <w:i/>
                <w:sz w:val="19"/>
              </w:rPr>
              <w:t>Gazette</w:t>
            </w:r>
            <w:r>
              <w:rPr>
                <w:sz w:val="19"/>
              </w:rPr>
              <w:t xml:space="preserve"> 29 Jan 2002 p. 475)</w:t>
            </w:r>
          </w:p>
        </w:tc>
      </w:tr>
      <w:tr w:rsidR="00602A94">
        <w:trPr>
          <w:cantSplit/>
        </w:trPr>
        <w:tc>
          <w:tcPr>
            <w:tcW w:w="7088" w:type="dxa"/>
            <w:gridSpan w:val="4"/>
          </w:tcPr>
          <w:p w:rsidR="00602A94" w:rsidRDefault="00465DE0">
            <w:pPr>
              <w:pStyle w:val="nTable"/>
              <w:spacing w:before="120"/>
              <w:rPr>
                <w:sz w:val="19"/>
              </w:rPr>
            </w:pPr>
            <w:r>
              <w:rPr>
                <w:b/>
                <w:sz w:val="19"/>
              </w:rPr>
              <w:t xml:space="preserve">Reprint of the </w:t>
            </w:r>
            <w:r>
              <w:rPr>
                <w:b/>
                <w:i/>
                <w:sz w:val="19"/>
              </w:rPr>
              <w:t xml:space="preserve">Agricultural and Veterinary Chemicals (Western Australia) Act 1995 </w:t>
            </w:r>
            <w:r>
              <w:rPr>
                <w:b/>
                <w:sz w:val="19"/>
              </w:rPr>
              <w:t xml:space="preserve">as at 1 Mar 2002 </w:t>
            </w:r>
            <w:r>
              <w:rPr>
                <w:sz w:val="19"/>
              </w:rPr>
              <w:t>(includes amendments listed above)</w:t>
            </w:r>
          </w:p>
        </w:tc>
      </w:tr>
      <w:tr w:rsidR="00602A94">
        <w:trPr>
          <w:cantSplit/>
        </w:trPr>
        <w:tc>
          <w:tcPr>
            <w:tcW w:w="2268" w:type="dxa"/>
            <w:tcBorders>
              <w:bottom w:val="single" w:sz="4" w:space="0" w:color="auto"/>
            </w:tcBorders>
          </w:tcPr>
          <w:p w:rsidR="00602A94" w:rsidRDefault="00465DE0">
            <w:pPr>
              <w:pStyle w:val="nTable"/>
              <w:spacing w:before="120" w:after="6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rsidR="00602A94" w:rsidRDefault="00465DE0">
            <w:pPr>
              <w:pStyle w:val="nTable"/>
              <w:spacing w:before="120"/>
              <w:rPr>
                <w:sz w:val="19"/>
              </w:rPr>
            </w:pPr>
            <w:r>
              <w:rPr>
                <w:snapToGrid w:val="0"/>
                <w:sz w:val="19"/>
                <w:lang w:val="en-US"/>
              </w:rPr>
              <w:t>84 of 2004</w:t>
            </w:r>
          </w:p>
        </w:tc>
        <w:tc>
          <w:tcPr>
            <w:tcW w:w="1134" w:type="dxa"/>
            <w:tcBorders>
              <w:bottom w:val="single" w:sz="4" w:space="0" w:color="auto"/>
            </w:tcBorders>
          </w:tcPr>
          <w:p w:rsidR="00602A94" w:rsidRDefault="00465DE0">
            <w:pPr>
              <w:pStyle w:val="nTable"/>
              <w:spacing w:before="120"/>
              <w:rPr>
                <w:sz w:val="19"/>
              </w:rPr>
            </w:pPr>
            <w:r>
              <w:rPr>
                <w:sz w:val="19"/>
              </w:rPr>
              <w:t>16 Dec 2004</w:t>
            </w:r>
          </w:p>
        </w:tc>
        <w:tc>
          <w:tcPr>
            <w:tcW w:w="2552" w:type="dxa"/>
            <w:tcBorders>
              <w:bottom w:val="single" w:sz="4" w:space="0" w:color="auto"/>
            </w:tcBorders>
          </w:tcPr>
          <w:p w:rsidR="00602A94" w:rsidRDefault="00465DE0">
            <w:pPr>
              <w:pStyle w:val="nTable"/>
              <w:spacing w:before="120"/>
              <w:rPr>
                <w:sz w:val="19"/>
                <w:vertAlign w:val="superscript"/>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602A94" w:rsidRDefault="00465DE0">
      <w:pPr>
        <w:pStyle w:val="nSubsection"/>
        <w:tabs>
          <w:tab w:val="clear" w:pos="454"/>
          <w:tab w:val="left" w:pos="567"/>
        </w:tabs>
        <w:spacing w:before="120"/>
        <w:ind w:left="567" w:hanging="567"/>
      </w:pPr>
      <w:r>
        <w:rPr>
          <w:vertAlign w:val="superscript"/>
        </w:rPr>
        <w:t>1a</w:t>
      </w:r>
      <w: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602A94" w:rsidRDefault="00465DE0">
      <w:pPr>
        <w:pStyle w:val="nHeading3"/>
      </w:pPr>
      <w:bookmarkStart w:id="278" w:name="_Toc128470681"/>
      <w:bookmarkStart w:id="279" w:name="_Toc137963781"/>
      <w:bookmarkStart w:id="280" w:name="_Toc137965259"/>
      <w:r>
        <w:t>Provisions that have not come into operation</w:t>
      </w:r>
      <w:bookmarkEnd w:id="278"/>
      <w:bookmarkEnd w:id="279"/>
      <w:bookmarkEnd w:id="2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02A94">
        <w:trPr>
          <w:cantSplit/>
          <w:tblHeader/>
        </w:trPr>
        <w:tc>
          <w:tcPr>
            <w:tcW w:w="2268" w:type="dxa"/>
            <w:tcBorders>
              <w:top w:val="single" w:sz="8" w:space="0" w:color="auto"/>
              <w:bottom w:val="single" w:sz="8" w:space="0" w:color="auto"/>
            </w:tcBorders>
          </w:tcPr>
          <w:p w:rsidR="00602A94" w:rsidRDefault="00465DE0">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602A94" w:rsidRDefault="00465DE0">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602A94" w:rsidRDefault="00465DE0">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602A94" w:rsidRDefault="00465DE0">
            <w:pPr>
              <w:pStyle w:val="nTable"/>
              <w:keepNext/>
              <w:spacing w:after="40"/>
              <w:rPr>
                <w:b/>
                <w:sz w:val="19"/>
              </w:rPr>
            </w:pPr>
            <w:r>
              <w:rPr>
                <w:b/>
                <w:sz w:val="19"/>
              </w:rPr>
              <w:t>Commencement</w:t>
            </w:r>
          </w:p>
        </w:tc>
      </w:tr>
      <w:tr w:rsidR="00602A94">
        <w:trPr>
          <w:cantSplit/>
        </w:trPr>
        <w:tc>
          <w:tcPr>
            <w:tcW w:w="2268" w:type="dxa"/>
            <w:tcBorders>
              <w:top w:val="single" w:sz="8" w:space="0" w:color="auto"/>
              <w:bottom w:val="single" w:sz="4" w:space="0" w:color="auto"/>
            </w:tcBorders>
          </w:tcPr>
          <w:p w:rsidR="00602A94" w:rsidRDefault="00465DE0">
            <w:pPr>
              <w:pStyle w:val="nTable"/>
              <w:spacing w:after="40"/>
              <w:ind w:right="113"/>
              <w:rPr>
                <w:iCs/>
                <w:sz w:val="19"/>
              </w:rPr>
            </w:pPr>
            <w:r>
              <w:rPr>
                <w:i/>
                <w:sz w:val="19"/>
              </w:rPr>
              <w:t>Gene Technology Act 2006</w:t>
            </w:r>
            <w:r>
              <w:rPr>
                <w:iCs/>
                <w:sz w:val="19"/>
              </w:rPr>
              <w:t xml:space="preserve"> Pt. 13 </w:t>
            </w:r>
            <w:r>
              <w:rPr>
                <w:iCs/>
                <w:sz w:val="19"/>
                <w:vertAlign w:val="superscript"/>
              </w:rPr>
              <w:t>3</w:t>
            </w:r>
          </w:p>
        </w:tc>
        <w:tc>
          <w:tcPr>
            <w:tcW w:w="1134" w:type="dxa"/>
            <w:tcBorders>
              <w:top w:val="single" w:sz="8" w:space="0" w:color="auto"/>
              <w:bottom w:val="single" w:sz="4" w:space="0" w:color="auto"/>
            </w:tcBorders>
          </w:tcPr>
          <w:p w:rsidR="00602A94" w:rsidRDefault="00465DE0">
            <w:pPr>
              <w:pStyle w:val="nTable"/>
              <w:spacing w:after="40"/>
              <w:rPr>
                <w:sz w:val="19"/>
              </w:rPr>
            </w:pPr>
            <w:r>
              <w:rPr>
                <w:sz w:val="19"/>
              </w:rPr>
              <w:t>20 of 2006</w:t>
            </w:r>
          </w:p>
        </w:tc>
        <w:tc>
          <w:tcPr>
            <w:tcW w:w="1134" w:type="dxa"/>
            <w:tcBorders>
              <w:top w:val="single" w:sz="8" w:space="0" w:color="auto"/>
              <w:bottom w:val="single" w:sz="4" w:space="0" w:color="auto"/>
            </w:tcBorders>
          </w:tcPr>
          <w:p w:rsidR="00602A94" w:rsidRDefault="00465DE0">
            <w:pPr>
              <w:pStyle w:val="nTable"/>
              <w:keepNext/>
              <w:spacing w:after="40"/>
              <w:rPr>
                <w:sz w:val="19"/>
              </w:rPr>
            </w:pPr>
            <w:r>
              <w:rPr>
                <w:sz w:val="19"/>
              </w:rPr>
              <w:t>9 Jun 2006</w:t>
            </w:r>
          </w:p>
        </w:tc>
        <w:tc>
          <w:tcPr>
            <w:tcW w:w="2552" w:type="dxa"/>
            <w:tcBorders>
              <w:top w:val="single" w:sz="8" w:space="0" w:color="auto"/>
              <w:bottom w:val="single" w:sz="4" w:space="0" w:color="auto"/>
            </w:tcBorders>
          </w:tcPr>
          <w:p w:rsidR="00602A94" w:rsidRDefault="00465DE0">
            <w:pPr>
              <w:pStyle w:val="nTable"/>
              <w:keepNext/>
              <w:spacing w:after="40"/>
              <w:rPr>
                <w:sz w:val="19"/>
              </w:rPr>
            </w:pPr>
            <w:r>
              <w:rPr>
                <w:sz w:val="19"/>
              </w:rPr>
              <w:t>To be proclaimed (see s. 2)</w:t>
            </w:r>
          </w:p>
        </w:tc>
      </w:tr>
    </w:tbl>
    <w:p w:rsidR="00602A94" w:rsidRDefault="00465DE0">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will not come into operation on commencement of Pt. 4-10 of the </w:t>
      </w:r>
      <w:r>
        <w:rPr>
          <w:i/>
          <w:snapToGrid w:val="0"/>
        </w:rPr>
        <w:t>Administrative Review Tribunal Act 2001</w:t>
      </w:r>
      <w:r>
        <w:rPr>
          <w:snapToGrid w:val="0"/>
        </w:rPr>
        <w:t xml:space="preserve"> of the Commonwealth as expressed in s. 2(3) because that Act has not been passed.</w:t>
      </w:r>
    </w:p>
    <w:p w:rsidR="00602A94" w:rsidRDefault="00465DE0">
      <w:pPr>
        <w:pStyle w:val="nSubsection"/>
        <w:rPr>
          <w:snapToGrid w:val="0"/>
        </w:rPr>
      </w:pPr>
      <w:r>
        <w:rPr>
          <w:vertAlign w:val="superscript"/>
        </w:rPr>
        <w:t>3</w:t>
      </w:r>
      <w:r>
        <w:tab/>
        <w:t xml:space="preserve">On the date as at which this compilation was prepared, </w:t>
      </w:r>
      <w:r>
        <w:rPr>
          <w:snapToGrid w:val="0"/>
        </w:rPr>
        <w:t xml:space="preserve">the </w:t>
      </w:r>
      <w:r>
        <w:rPr>
          <w:i/>
        </w:rPr>
        <w:t>Gene Technology Act 2006</w:t>
      </w:r>
      <w:r>
        <w:rPr>
          <w:iCs/>
        </w:rPr>
        <w:t xml:space="preserve"> Pt. 13</w:t>
      </w:r>
      <w:r>
        <w:rPr>
          <w:snapToGrid w:val="0"/>
        </w:rPr>
        <w:t xml:space="preserve"> had not come into operation.  It reads as follows:</w:t>
      </w:r>
    </w:p>
    <w:p w:rsidR="00602A94" w:rsidRDefault="00465DE0">
      <w:pPr>
        <w:pStyle w:val="MiscOpen"/>
        <w:rPr>
          <w:sz w:val="20"/>
        </w:rPr>
      </w:pPr>
      <w:r>
        <w:t>“</w:t>
      </w:r>
    </w:p>
    <w:p w:rsidR="00602A94" w:rsidRDefault="00465DE0">
      <w:pPr>
        <w:pStyle w:val="nzHeading2"/>
      </w:pPr>
      <w:bookmarkStart w:id="281" w:name="_Toc99356494"/>
      <w:bookmarkStart w:id="282" w:name="_Toc99428983"/>
      <w:bookmarkStart w:id="283" w:name="_Toc99429255"/>
      <w:bookmarkStart w:id="284" w:name="_Toc99440618"/>
      <w:bookmarkStart w:id="285" w:name="_Toc99853673"/>
      <w:bookmarkStart w:id="286" w:name="_Toc99859028"/>
      <w:bookmarkStart w:id="287" w:name="_Toc99868368"/>
      <w:bookmarkStart w:id="288" w:name="_Toc103152392"/>
      <w:bookmarkStart w:id="289" w:name="_Toc136938363"/>
      <w:bookmarkStart w:id="290" w:name="_Toc137013452"/>
      <w:r>
        <w:rPr>
          <w:rStyle w:val="CharPartNo"/>
        </w:rPr>
        <w:t>Part 13</w:t>
      </w:r>
      <w:r>
        <w:rPr>
          <w:rStyle w:val="CharDivNo"/>
        </w:rPr>
        <w:t> </w:t>
      </w:r>
      <w:r>
        <w:t>—</w:t>
      </w:r>
      <w:r>
        <w:rPr>
          <w:rStyle w:val="CharDivText"/>
        </w:rPr>
        <w:t> </w:t>
      </w:r>
      <w:r>
        <w:rPr>
          <w:rStyle w:val="CharPartText"/>
        </w:rPr>
        <w:t>Consequential amendments</w:t>
      </w:r>
      <w:bookmarkEnd w:id="281"/>
      <w:bookmarkEnd w:id="282"/>
      <w:bookmarkEnd w:id="283"/>
      <w:bookmarkEnd w:id="284"/>
      <w:bookmarkEnd w:id="285"/>
      <w:bookmarkEnd w:id="286"/>
      <w:bookmarkEnd w:id="287"/>
      <w:bookmarkEnd w:id="288"/>
      <w:bookmarkEnd w:id="289"/>
      <w:bookmarkEnd w:id="290"/>
    </w:p>
    <w:p w:rsidR="00602A94" w:rsidRDefault="00465DE0">
      <w:pPr>
        <w:pStyle w:val="nzHeading5"/>
        <w:ind w:right="567"/>
      </w:pPr>
      <w:bookmarkStart w:id="291" w:name="_Toc515344960"/>
      <w:bookmarkStart w:id="292" w:name="_Toc12711644"/>
      <w:bookmarkStart w:id="293" w:name="_Toc99356496"/>
      <w:bookmarkStart w:id="294" w:name="_Toc137013453"/>
      <w:r>
        <w:rPr>
          <w:rStyle w:val="CharSectno"/>
        </w:rPr>
        <w:t>195</w:t>
      </w:r>
      <w:r>
        <w:t>.</w:t>
      </w:r>
      <w:r>
        <w:tab/>
      </w:r>
      <w:r>
        <w:rPr>
          <w:i/>
          <w:iCs/>
        </w:rPr>
        <w:t>Agricultural and Veterinary Chemicals (Western Australia) Act 1995</w:t>
      </w:r>
      <w:r>
        <w:t xml:space="preserve"> amended</w:t>
      </w:r>
      <w:bookmarkEnd w:id="291"/>
      <w:bookmarkEnd w:id="292"/>
      <w:bookmarkEnd w:id="293"/>
      <w:bookmarkEnd w:id="294"/>
    </w:p>
    <w:p w:rsidR="00602A94" w:rsidRDefault="00465DE0">
      <w:pPr>
        <w:pStyle w:val="nzSubsection"/>
        <w:ind w:right="567"/>
      </w:pPr>
      <w:r>
        <w:tab/>
        <w:t>(1)</w:t>
      </w:r>
      <w:r>
        <w:tab/>
        <w:t xml:space="preserve">The amendment in this section is to the </w:t>
      </w:r>
      <w:r>
        <w:rPr>
          <w:i/>
          <w:iCs/>
        </w:rPr>
        <w:t>Agricultural and Veterinary Chemicals (Western Australia) Act 1995</w:t>
      </w:r>
      <w:r>
        <w:rPr>
          <w:iCs/>
        </w:rPr>
        <w:t>.</w:t>
      </w:r>
    </w:p>
    <w:p w:rsidR="00602A94" w:rsidRDefault="00465DE0">
      <w:pPr>
        <w:pStyle w:val="nzSubsection"/>
        <w:ind w:right="567"/>
      </w:pPr>
      <w:r>
        <w:tab/>
        <w:t>(2)</w:t>
      </w:r>
      <w:r>
        <w:tab/>
        <w:t xml:space="preserve">After section 23 the following section is inserted — </w:t>
      </w:r>
    </w:p>
    <w:p w:rsidR="00602A94" w:rsidRDefault="00465DE0">
      <w:pPr>
        <w:pStyle w:val="MiscOpen"/>
        <w:ind w:right="567"/>
      </w:pPr>
      <w:r>
        <w:t xml:space="preserve">“    </w:t>
      </w:r>
    </w:p>
    <w:p w:rsidR="00602A94" w:rsidRDefault="00465DE0">
      <w:pPr>
        <w:pStyle w:val="nzHeading5"/>
        <w:ind w:right="567"/>
      </w:pPr>
      <w:bookmarkStart w:id="295" w:name="_Toc137959096"/>
      <w:bookmarkStart w:id="296" w:name="_Toc137959155"/>
      <w:r>
        <w:t>23A.</w:t>
      </w:r>
      <w:r>
        <w:tab/>
        <w:t>Consultation with Gene Technology Regulator</w:t>
      </w:r>
      <w:bookmarkEnd w:id="295"/>
      <w:bookmarkEnd w:id="296"/>
    </w:p>
    <w:p w:rsidR="00602A94" w:rsidRDefault="00465DE0">
      <w:pPr>
        <w:pStyle w:val="nzSubsection"/>
        <w:ind w:right="567"/>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rsidR="00602A94" w:rsidRDefault="00465DE0">
      <w:pPr>
        <w:pStyle w:val="nzSubsection"/>
        <w:ind w:right="567"/>
      </w:pPr>
      <w:r>
        <w:tab/>
        <w:t>(2)</w:t>
      </w:r>
      <w:r>
        <w:tab/>
        <w:t xml:space="preserve">If the APVMA gives the Regulator within the meaning of the </w:t>
      </w:r>
      <w:r>
        <w:rPr>
          <w:i/>
          <w:iCs/>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rsidR="00602A94" w:rsidRDefault="00465DE0">
      <w:pPr>
        <w:pStyle w:val="nzSubsection"/>
        <w:ind w:right="567"/>
      </w:pPr>
      <w:r>
        <w:tab/>
        <w:t>(3)</w:t>
      </w:r>
      <w:r>
        <w:tab/>
        <w:t>The advice is to be given within the period specified in the notice.</w:t>
      </w:r>
    </w:p>
    <w:p w:rsidR="00602A94" w:rsidRDefault="00465DE0">
      <w:pPr>
        <w:pStyle w:val="nzSubsection"/>
        <w:ind w:right="567"/>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rsidR="00602A94" w:rsidRDefault="00465DE0">
      <w:pPr>
        <w:pStyle w:val="MiscClose"/>
        <w:ind w:right="284"/>
      </w:pPr>
      <w:r>
        <w:t xml:space="preserve">    ”.</w:t>
      </w:r>
    </w:p>
    <w:p w:rsidR="00602A94" w:rsidRDefault="00465DE0">
      <w:pPr>
        <w:pStyle w:val="MiscClose"/>
      </w:pPr>
      <w:r>
        <w:t>”.</w:t>
      </w:r>
    </w:p>
    <w:p w:rsidR="00602A94" w:rsidRDefault="00602A94"/>
    <w:p w:rsidR="00602A94" w:rsidRDefault="00602A94">
      <w:pPr>
        <w:sectPr w:rsidR="00602A9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602A94" w:rsidRDefault="00602A94"/>
    <w:sectPr w:rsidR="00602A94">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94" w:rsidRDefault="00465DE0">
      <w:r>
        <w:separator/>
      </w:r>
    </w:p>
  </w:endnote>
  <w:endnote w:type="continuationSeparator" w:id="0">
    <w:p w:rsidR="00602A94" w:rsidRDefault="0046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p>
  <w:p w:rsidR="00602A94" w:rsidRDefault="00465D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602A94" w:rsidRDefault="00465D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602A94" w:rsidRDefault="00465D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73C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p>
  <w:p w:rsidR="00602A94" w:rsidRDefault="00465D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73C0">
      <w:rPr>
        <w:rStyle w:val="PageNumber"/>
        <w:rFonts w:ascii="Arial" w:hAnsi="Arial" w:cs="Arial"/>
        <w:noProof/>
      </w:rPr>
      <w:t>iii</w:t>
    </w:r>
    <w:r>
      <w:rPr>
        <w:rStyle w:val="PageNumber"/>
        <w:rFonts w:ascii="Arial" w:hAnsi="Arial" w:cs="Arial"/>
      </w:rPr>
      <w:fldChar w:fldCharType="end"/>
    </w:r>
  </w:p>
  <w:p w:rsidR="00602A94" w:rsidRDefault="00465DE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73C0">
      <w:rPr>
        <w:rStyle w:val="PageNumber"/>
        <w:rFonts w:ascii="Arial" w:hAnsi="Arial" w:cs="Arial"/>
        <w:noProof/>
      </w:rPr>
      <w:t>i</w:t>
    </w:r>
    <w:r>
      <w:rPr>
        <w:rStyle w:val="PageNumber"/>
        <w:rFonts w:ascii="Arial" w:hAnsi="Arial" w:cs="Arial"/>
      </w:rPr>
      <w:fldChar w:fldCharType="end"/>
    </w:r>
  </w:p>
  <w:p w:rsidR="00602A94" w:rsidRDefault="00465DE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73C0">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rsidR="00602A94" w:rsidRDefault="00465D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73C0">
      <w:rPr>
        <w:rStyle w:val="CharPageNo"/>
        <w:rFonts w:ascii="Arial" w:hAnsi="Arial"/>
        <w:noProof/>
      </w:rPr>
      <w:t>31</w:t>
    </w:r>
    <w:r>
      <w:rPr>
        <w:rStyle w:val="CharPageNo"/>
        <w:rFonts w:ascii="Arial" w:hAnsi="Arial"/>
      </w:rPr>
      <w:fldChar w:fldCharType="end"/>
    </w:r>
  </w:p>
  <w:p w:rsidR="00602A94" w:rsidRDefault="00465DE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Footer"/>
      <w:tabs>
        <w:tab w:val="clear" w:pos="4153"/>
        <w:tab w:val="right" w:pos="7088"/>
      </w:tabs>
      <w:rPr>
        <w:rStyle w:val="PageNumber"/>
      </w:rPr>
    </w:pPr>
  </w:p>
  <w:p w:rsidR="00602A94" w:rsidRDefault="00465D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73C0">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73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73C0">
      <w:rPr>
        <w:rStyle w:val="CharPageNo"/>
        <w:rFonts w:ascii="Arial" w:hAnsi="Arial"/>
        <w:noProof/>
      </w:rPr>
      <w:t>1</w:t>
    </w:r>
    <w:r>
      <w:rPr>
        <w:rStyle w:val="CharPageNo"/>
        <w:rFonts w:ascii="Arial" w:hAnsi="Arial"/>
      </w:rPr>
      <w:fldChar w:fldCharType="end"/>
    </w:r>
  </w:p>
  <w:p w:rsidR="00602A94" w:rsidRDefault="00465DE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94" w:rsidRDefault="00465DE0">
      <w:r>
        <w:separator/>
      </w:r>
    </w:p>
  </w:footnote>
  <w:footnote w:type="continuationSeparator" w:id="0">
    <w:p w:rsidR="00602A94" w:rsidRDefault="0046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02A94">
      <w:trPr>
        <w:cantSplit/>
      </w:trPr>
      <w:tc>
        <w:tcPr>
          <w:tcW w:w="7160" w:type="dxa"/>
          <w:gridSpan w:val="2"/>
        </w:tcPr>
        <w:p w:rsidR="00602A94" w:rsidRDefault="00465DE0">
          <w:pPr>
            <w:pStyle w:val="HeaderActNameRight"/>
          </w:pPr>
          <w:fldSimple w:instr=" Styleref &quot;Name of Act/Reg&quot; ">
            <w:r w:rsidR="003373C0">
              <w:rPr>
                <w:noProof/>
              </w:rPr>
              <w:t>Agricultural and Veterinary Chemicals (Western Australia) Act 1995</w:t>
            </w:r>
          </w:fldSimple>
        </w:p>
      </w:tc>
    </w:tr>
    <w:tr w:rsidR="00602A94">
      <w:tc>
        <w:tcPr>
          <w:tcW w:w="5760" w:type="dxa"/>
        </w:tcPr>
        <w:p w:rsidR="00602A94" w:rsidRDefault="00602A94">
          <w:pPr>
            <w:pStyle w:val="HeaderTextRight"/>
          </w:pPr>
        </w:p>
      </w:tc>
      <w:tc>
        <w:tcPr>
          <w:tcW w:w="1400" w:type="dxa"/>
        </w:tcPr>
        <w:p w:rsidR="00602A94" w:rsidRDefault="00602A94">
          <w:pPr>
            <w:pStyle w:val="HeaderNumberRight"/>
          </w:pPr>
        </w:p>
      </w:tc>
    </w:tr>
    <w:tr w:rsidR="00602A94">
      <w:tc>
        <w:tcPr>
          <w:tcW w:w="5760" w:type="dxa"/>
        </w:tcPr>
        <w:p w:rsidR="00602A94" w:rsidRDefault="00602A94">
          <w:pPr>
            <w:pStyle w:val="HeaderTextRight"/>
          </w:pPr>
        </w:p>
      </w:tc>
      <w:tc>
        <w:tcPr>
          <w:tcW w:w="1400" w:type="dxa"/>
        </w:tcPr>
        <w:p w:rsidR="00602A94" w:rsidRDefault="00602A94">
          <w:pPr>
            <w:pStyle w:val="HeaderNumberRight"/>
          </w:pPr>
        </w:p>
      </w:tc>
    </w:tr>
    <w:tr w:rsidR="00602A94">
      <w:trPr>
        <w:cantSplit/>
      </w:trPr>
      <w:tc>
        <w:tcPr>
          <w:tcW w:w="7160" w:type="dxa"/>
          <w:gridSpan w:val="2"/>
        </w:tcPr>
        <w:p w:rsidR="00602A94" w:rsidRDefault="00602A94">
          <w:pPr>
            <w:pStyle w:val="HeaderSectionRight"/>
          </w:pPr>
        </w:p>
      </w:tc>
    </w:tr>
  </w:tbl>
  <w:p w:rsidR="00602A94" w:rsidRDefault="00602A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465DE0">
    <w:pPr>
      <w:pStyle w:val="headerpartodd"/>
      <w:ind w:left="0" w:firstLine="0"/>
      <w:rPr>
        <w:i/>
      </w:rPr>
    </w:pPr>
    <w:r>
      <w:rPr>
        <w:i/>
      </w:rPr>
      <w:fldChar w:fldCharType="begin"/>
    </w:r>
    <w:r>
      <w:rPr>
        <w:i/>
      </w:rPr>
      <w:instrText xml:space="preserve"> Styleref "Name of Act/Reg" </w:instrText>
    </w:r>
    <w:r>
      <w:rPr>
        <w:i/>
      </w:rPr>
      <w:fldChar w:fldCharType="separate"/>
    </w:r>
    <w:r w:rsidR="003373C0">
      <w:rPr>
        <w:i/>
        <w:noProof/>
      </w:rPr>
      <w:t>Agricultural and Veterinary Chemicals (Western Australia) Act 1995</w:t>
    </w:r>
    <w:r>
      <w:rPr>
        <w:i/>
      </w:rPr>
      <w:fldChar w:fldCharType="end"/>
    </w:r>
  </w:p>
  <w:p w:rsidR="00602A94" w:rsidRDefault="00602A94">
    <w:pPr>
      <w:pStyle w:val="headerpartodd"/>
      <w:ind w:left="0" w:firstLine="0"/>
      <w:rPr>
        <w:b w:val="0"/>
        <w:i/>
      </w:rPr>
    </w:pPr>
  </w:p>
  <w:p w:rsidR="00602A94" w:rsidRDefault="00602A94">
    <w:pPr>
      <w:pStyle w:val="headerpart"/>
    </w:pPr>
  </w:p>
  <w:p w:rsidR="00602A94" w:rsidRDefault="00602A94">
    <w:pPr>
      <w:pStyle w:val="headerpart"/>
    </w:pPr>
  </w:p>
  <w:p w:rsidR="00602A94" w:rsidRDefault="00602A94">
    <w:pPr>
      <w:pBdr>
        <w:bottom w:val="single" w:sz="6" w:space="1" w:color="auto"/>
      </w:pBdr>
      <w:rPr>
        <w:b/>
      </w:rPr>
    </w:pPr>
  </w:p>
  <w:p w:rsidR="00602A94" w:rsidRDefault="00602A9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465DE0">
    <w:pPr>
      <w:pStyle w:val="headerpartodd"/>
      <w:ind w:left="0" w:firstLine="0"/>
      <w:jc w:val="right"/>
      <w:rPr>
        <w:i/>
      </w:rPr>
    </w:pPr>
    <w:r>
      <w:rPr>
        <w:i/>
      </w:rPr>
      <w:fldChar w:fldCharType="begin"/>
    </w:r>
    <w:r>
      <w:rPr>
        <w:i/>
      </w:rPr>
      <w:instrText xml:space="preserve"> Styleref "Name of Act/Reg" </w:instrText>
    </w:r>
    <w:r>
      <w:rPr>
        <w:i/>
      </w:rPr>
      <w:fldChar w:fldCharType="separate"/>
    </w:r>
    <w:r w:rsidR="003373C0">
      <w:rPr>
        <w:i/>
        <w:noProof/>
      </w:rPr>
      <w:t>Agricultural and Veterinary Chemicals (Western Australia) Act 1995</w:t>
    </w:r>
    <w:r>
      <w:rPr>
        <w:i/>
      </w:rPr>
      <w:fldChar w:fldCharType="end"/>
    </w:r>
  </w:p>
  <w:p w:rsidR="00602A94" w:rsidRDefault="00602A94">
    <w:pPr>
      <w:pStyle w:val="headerpartodd"/>
      <w:ind w:left="0" w:firstLine="0"/>
      <w:jc w:val="right"/>
      <w:rPr>
        <w:b w:val="0"/>
        <w:i/>
      </w:rPr>
    </w:pPr>
  </w:p>
  <w:p w:rsidR="00602A94" w:rsidRDefault="00602A94">
    <w:pPr>
      <w:pStyle w:val="headerpart"/>
      <w:jc w:val="right"/>
    </w:pPr>
  </w:p>
  <w:p w:rsidR="00602A94" w:rsidRDefault="00602A94">
    <w:pPr>
      <w:pStyle w:val="headerpart"/>
      <w:jc w:val="right"/>
    </w:pPr>
  </w:p>
  <w:p w:rsidR="00602A94" w:rsidRDefault="00602A94">
    <w:pPr>
      <w:pBdr>
        <w:bottom w:val="single" w:sz="6" w:space="1" w:color="auto"/>
      </w:pBdr>
      <w:jc w:val="right"/>
      <w:rPr>
        <w:b/>
      </w:rPr>
    </w:pPr>
  </w:p>
  <w:p w:rsidR="00602A94" w:rsidRDefault="00602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2A94">
      <w:trPr>
        <w:cantSplit/>
      </w:trPr>
      <w:tc>
        <w:tcPr>
          <w:tcW w:w="7258" w:type="dxa"/>
          <w:gridSpan w:val="2"/>
        </w:tcPr>
        <w:p w:rsidR="00602A94" w:rsidRDefault="00465DE0">
          <w:pPr>
            <w:pStyle w:val="HeaderActNameLeft"/>
          </w:pPr>
          <w:fldSimple w:instr=" Styleref &quot;Name of Act/Reg&quot; ">
            <w:r w:rsidR="003373C0">
              <w:rPr>
                <w:noProof/>
              </w:rPr>
              <w:t>Agricultural and Veterinary Chemicals (Western Australia) Act 1995</w:t>
            </w:r>
          </w:fldSimple>
        </w:p>
      </w:tc>
    </w:tr>
    <w:tr w:rsidR="00602A94">
      <w:tc>
        <w:tcPr>
          <w:tcW w:w="1548" w:type="dxa"/>
        </w:tcPr>
        <w:p w:rsidR="00602A94" w:rsidRDefault="00602A94">
          <w:pPr>
            <w:pStyle w:val="HeaderNumberLeft"/>
          </w:pPr>
        </w:p>
      </w:tc>
      <w:tc>
        <w:tcPr>
          <w:tcW w:w="5715" w:type="dxa"/>
        </w:tcPr>
        <w:p w:rsidR="00602A94" w:rsidRDefault="00602A94">
          <w:pPr>
            <w:pStyle w:val="HeaderTextLeft"/>
          </w:pPr>
        </w:p>
      </w:tc>
    </w:tr>
    <w:tr w:rsidR="00602A94">
      <w:tc>
        <w:tcPr>
          <w:tcW w:w="1548" w:type="dxa"/>
        </w:tcPr>
        <w:p w:rsidR="00602A94" w:rsidRDefault="00602A94">
          <w:pPr>
            <w:pStyle w:val="HeaderNumberLeft"/>
          </w:pPr>
        </w:p>
      </w:tc>
      <w:tc>
        <w:tcPr>
          <w:tcW w:w="5715" w:type="dxa"/>
        </w:tcPr>
        <w:p w:rsidR="00602A94" w:rsidRDefault="00602A94">
          <w:pPr>
            <w:pStyle w:val="HeaderTextLeft"/>
          </w:pPr>
        </w:p>
      </w:tc>
    </w:tr>
    <w:tr w:rsidR="00602A94">
      <w:trPr>
        <w:cantSplit/>
      </w:trPr>
      <w:tc>
        <w:tcPr>
          <w:tcW w:w="7258" w:type="dxa"/>
          <w:gridSpan w:val="2"/>
        </w:tcPr>
        <w:p w:rsidR="00602A94" w:rsidRDefault="00465DE0">
          <w:pPr>
            <w:pStyle w:val="HeaderSectionLeft"/>
            <w:rPr>
              <w:b w:val="0"/>
            </w:rPr>
          </w:pPr>
          <w:r>
            <w:rPr>
              <w:b w:val="0"/>
            </w:rPr>
            <w:t>Contents</w:t>
          </w:r>
        </w:p>
      </w:tc>
    </w:tr>
  </w:tbl>
  <w:p w:rsidR="00602A94" w:rsidRDefault="00602A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2A94">
      <w:trPr>
        <w:cantSplit/>
      </w:trPr>
      <w:tc>
        <w:tcPr>
          <w:tcW w:w="7258" w:type="dxa"/>
          <w:gridSpan w:val="2"/>
        </w:tcPr>
        <w:p w:rsidR="00602A94" w:rsidRDefault="00465DE0">
          <w:pPr>
            <w:pStyle w:val="HeaderActNameRight"/>
            <w:ind w:right="17"/>
          </w:pPr>
          <w:fldSimple w:instr=" Styleref &quot;Name of Act/Reg&quot; ">
            <w:r w:rsidR="003373C0">
              <w:rPr>
                <w:noProof/>
              </w:rPr>
              <w:t>Agricultural and Veterinary Chemicals (Western Australia) Act 1995</w:t>
            </w:r>
          </w:fldSimple>
        </w:p>
      </w:tc>
    </w:tr>
    <w:tr w:rsidR="00602A94">
      <w:tc>
        <w:tcPr>
          <w:tcW w:w="5715" w:type="dxa"/>
        </w:tcPr>
        <w:p w:rsidR="00602A94" w:rsidRDefault="00602A94">
          <w:pPr>
            <w:pStyle w:val="HeaderTextRight"/>
          </w:pPr>
        </w:p>
      </w:tc>
      <w:tc>
        <w:tcPr>
          <w:tcW w:w="1548" w:type="dxa"/>
        </w:tcPr>
        <w:p w:rsidR="00602A94" w:rsidRDefault="00602A94">
          <w:pPr>
            <w:pStyle w:val="HeaderNumberRight"/>
            <w:ind w:right="17"/>
          </w:pPr>
        </w:p>
      </w:tc>
    </w:tr>
    <w:tr w:rsidR="00602A94">
      <w:tc>
        <w:tcPr>
          <w:tcW w:w="5715" w:type="dxa"/>
        </w:tcPr>
        <w:p w:rsidR="00602A94" w:rsidRDefault="00602A94">
          <w:pPr>
            <w:pStyle w:val="HeaderTextRight"/>
          </w:pPr>
        </w:p>
      </w:tc>
      <w:tc>
        <w:tcPr>
          <w:tcW w:w="1548" w:type="dxa"/>
        </w:tcPr>
        <w:p w:rsidR="00602A94" w:rsidRDefault="00602A94">
          <w:pPr>
            <w:pStyle w:val="HeaderNumberRight"/>
            <w:ind w:right="17"/>
          </w:pPr>
        </w:p>
      </w:tc>
    </w:tr>
    <w:tr w:rsidR="00602A94">
      <w:trPr>
        <w:cantSplit/>
      </w:trPr>
      <w:tc>
        <w:tcPr>
          <w:tcW w:w="7258" w:type="dxa"/>
          <w:gridSpan w:val="2"/>
        </w:tcPr>
        <w:p w:rsidR="00602A94" w:rsidRDefault="00465DE0">
          <w:pPr>
            <w:pStyle w:val="HeaderSectionRight"/>
            <w:ind w:right="17"/>
            <w:rPr>
              <w:b w:val="0"/>
            </w:rPr>
          </w:pPr>
          <w:r>
            <w:rPr>
              <w:b w:val="0"/>
            </w:rPr>
            <w:t>Contents</w:t>
          </w:r>
        </w:p>
      </w:tc>
    </w:tr>
  </w:tbl>
  <w:p w:rsidR="00602A94" w:rsidRDefault="00602A9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2A94">
      <w:trPr>
        <w:cantSplit/>
      </w:trPr>
      <w:tc>
        <w:tcPr>
          <w:tcW w:w="7258" w:type="dxa"/>
          <w:gridSpan w:val="2"/>
        </w:tcPr>
        <w:p w:rsidR="00602A94" w:rsidRDefault="00465DE0">
          <w:pPr>
            <w:pStyle w:val="HeaderActNameLeft"/>
          </w:pPr>
          <w:fldSimple w:instr=" Styleref &quot;Name of Act/Reg&quot; ">
            <w:r w:rsidR="003373C0">
              <w:rPr>
                <w:noProof/>
              </w:rPr>
              <w:t>Agricultural and Veterinary Chemicals (Western Australia) Act 1995</w:t>
            </w:r>
          </w:fldSimple>
        </w:p>
      </w:tc>
    </w:tr>
    <w:tr w:rsidR="00602A94">
      <w:tc>
        <w:tcPr>
          <w:tcW w:w="1548" w:type="dxa"/>
        </w:tcPr>
        <w:p w:rsidR="00602A94" w:rsidRDefault="00465DE0">
          <w:pPr>
            <w:pStyle w:val="HeaderNumberLeft"/>
          </w:pPr>
          <w:r>
            <w:fldChar w:fldCharType="begin"/>
          </w:r>
          <w:r>
            <w:instrText xml:space="preserve"> styleref CharPartNo </w:instrText>
          </w:r>
          <w:r>
            <w:fldChar w:fldCharType="end"/>
          </w:r>
        </w:p>
      </w:tc>
      <w:tc>
        <w:tcPr>
          <w:tcW w:w="5715" w:type="dxa"/>
          <w:vAlign w:val="bottom"/>
        </w:tcPr>
        <w:p w:rsidR="00602A94" w:rsidRDefault="00465DE0">
          <w:pPr>
            <w:pStyle w:val="HeaderTextLeft"/>
          </w:pPr>
          <w:r>
            <w:fldChar w:fldCharType="begin"/>
          </w:r>
          <w:r>
            <w:instrText xml:space="preserve"> styleref CharPartText </w:instrText>
          </w:r>
          <w:r>
            <w:fldChar w:fldCharType="end"/>
          </w:r>
        </w:p>
      </w:tc>
    </w:tr>
    <w:tr w:rsidR="00602A94">
      <w:tc>
        <w:tcPr>
          <w:tcW w:w="1548" w:type="dxa"/>
        </w:tcPr>
        <w:p w:rsidR="00602A94" w:rsidRDefault="00465DE0">
          <w:pPr>
            <w:pStyle w:val="HeaderNumberLeft"/>
          </w:pPr>
          <w:r>
            <w:fldChar w:fldCharType="begin"/>
          </w:r>
          <w:r>
            <w:instrText xml:space="preserve"> styleref CharDivNo </w:instrText>
          </w:r>
          <w:r>
            <w:fldChar w:fldCharType="end"/>
          </w:r>
        </w:p>
      </w:tc>
      <w:tc>
        <w:tcPr>
          <w:tcW w:w="5715" w:type="dxa"/>
        </w:tcPr>
        <w:p w:rsidR="00602A94" w:rsidRDefault="00465DE0">
          <w:pPr>
            <w:pStyle w:val="HeaderTextLeft"/>
          </w:pPr>
          <w:r>
            <w:fldChar w:fldCharType="begin"/>
          </w:r>
          <w:r>
            <w:instrText xml:space="preserve"> styleref CharDivText </w:instrText>
          </w:r>
          <w:r>
            <w:fldChar w:fldCharType="end"/>
          </w:r>
        </w:p>
      </w:tc>
    </w:tr>
    <w:tr w:rsidR="00602A94">
      <w:trPr>
        <w:cantSplit/>
      </w:trPr>
      <w:tc>
        <w:tcPr>
          <w:tcW w:w="7258" w:type="dxa"/>
          <w:gridSpan w:val="2"/>
        </w:tcPr>
        <w:p w:rsidR="00602A94" w:rsidRDefault="00465DE0">
          <w:pPr>
            <w:pStyle w:val="HeaderSectionLeft"/>
          </w:pPr>
          <w:r>
            <w:t xml:space="preserve">s. </w:t>
          </w:r>
          <w:fldSimple w:instr=" styleref CharSectno ">
            <w:r w:rsidR="003373C0">
              <w:rPr>
                <w:noProof/>
              </w:rPr>
              <w:t>1</w:t>
            </w:r>
          </w:fldSimple>
        </w:p>
      </w:tc>
    </w:tr>
  </w:tbl>
  <w:p w:rsidR="00602A94" w:rsidRDefault="00602A9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2A94">
      <w:trPr>
        <w:cantSplit/>
      </w:trPr>
      <w:tc>
        <w:tcPr>
          <w:tcW w:w="7258" w:type="dxa"/>
          <w:gridSpan w:val="2"/>
        </w:tcPr>
        <w:p w:rsidR="00602A94" w:rsidRDefault="00465DE0">
          <w:pPr>
            <w:pStyle w:val="HeaderActNameRight"/>
            <w:ind w:right="17"/>
          </w:pPr>
          <w:fldSimple w:instr=" Styleref &quot;Name of Act/Reg&quot; ">
            <w:r w:rsidR="003373C0">
              <w:rPr>
                <w:noProof/>
              </w:rPr>
              <w:t>Agricultural and Veterinary Chemicals (Western Australia) Act 1995</w:t>
            </w:r>
          </w:fldSimple>
        </w:p>
      </w:tc>
    </w:tr>
    <w:tr w:rsidR="00602A94">
      <w:tc>
        <w:tcPr>
          <w:tcW w:w="5715" w:type="dxa"/>
          <w:vAlign w:val="bottom"/>
        </w:tcPr>
        <w:p w:rsidR="00602A94" w:rsidRDefault="00465DE0">
          <w:pPr>
            <w:pStyle w:val="HeaderTextRight"/>
          </w:pPr>
          <w:r>
            <w:fldChar w:fldCharType="begin"/>
          </w:r>
          <w:r>
            <w:instrText xml:space="preserve"> styleref CharPartText </w:instrText>
          </w:r>
          <w:r>
            <w:fldChar w:fldCharType="end"/>
          </w:r>
        </w:p>
      </w:tc>
      <w:tc>
        <w:tcPr>
          <w:tcW w:w="1548" w:type="dxa"/>
        </w:tcPr>
        <w:p w:rsidR="00602A94" w:rsidRDefault="00465DE0">
          <w:pPr>
            <w:pStyle w:val="HeaderNumberRight"/>
            <w:ind w:right="17"/>
          </w:pPr>
          <w:r>
            <w:fldChar w:fldCharType="begin"/>
          </w:r>
          <w:r>
            <w:instrText xml:space="preserve"> styleref CharPartNo </w:instrText>
          </w:r>
          <w:r>
            <w:fldChar w:fldCharType="end"/>
          </w:r>
        </w:p>
      </w:tc>
    </w:tr>
    <w:tr w:rsidR="00602A94">
      <w:tc>
        <w:tcPr>
          <w:tcW w:w="5715" w:type="dxa"/>
        </w:tcPr>
        <w:p w:rsidR="00602A94" w:rsidRDefault="00465DE0">
          <w:pPr>
            <w:pStyle w:val="HeaderTextRight"/>
          </w:pPr>
          <w:r>
            <w:fldChar w:fldCharType="begin"/>
          </w:r>
          <w:r>
            <w:instrText xml:space="preserve"> styleref CharDivText </w:instrText>
          </w:r>
          <w:r>
            <w:fldChar w:fldCharType="end"/>
          </w:r>
        </w:p>
      </w:tc>
      <w:tc>
        <w:tcPr>
          <w:tcW w:w="1548" w:type="dxa"/>
        </w:tcPr>
        <w:p w:rsidR="00602A94" w:rsidRDefault="00465DE0">
          <w:pPr>
            <w:pStyle w:val="HeaderNumberRight"/>
            <w:ind w:right="17"/>
          </w:pPr>
          <w:r>
            <w:fldChar w:fldCharType="begin"/>
          </w:r>
          <w:r>
            <w:instrText xml:space="preserve"> styleref CharDivNo </w:instrText>
          </w:r>
          <w:r>
            <w:fldChar w:fldCharType="end"/>
          </w:r>
        </w:p>
      </w:tc>
    </w:tr>
    <w:tr w:rsidR="00602A94">
      <w:trPr>
        <w:cantSplit/>
      </w:trPr>
      <w:tc>
        <w:tcPr>
          <w:tcW w:w="7258" w:type="dxa"/>
          <w:gridSpan w:val="2"/>
        </w:tcPr>
        <w:p w:rsidR="00602A94" w:rsidRDefault="00465DE0">
          <w:pPr>
            <w:pStyle w:val="HeaderSectionRight"/>
            <w:ind w:right="17"/>
          </w:pPr>
          <w:r>
            <w:t xml:space="preserve">s. </w:t>
          </w:r>
          <w:fldSimple w:instr=" styleref CharSectno ">
            <w:r w:rsidR="003373C0">
              <w:rPr>
                <w:noProof/>
              </w:rPr>
              <w:t>1</w:t>
            </w:r>
          </w:fldSimple>
        </w:p>
      </w:tc>
    </w:tr>
  </w:tbl>
  <w:p w:rsidR="00602A94" w:rsidRDefault="00602A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4" w:rsidRDefault="00602A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02A94">
      <w:trPr>
        <w:cantSplit/>
      </w:trPr>
      <w:tc>
        <w:tcPr>
          <w:tcW w:w="7160" w:type="dxa"/>
          <w:gridSpan w:val="2"/>
        </w:tcPr>
        <w:p w:rsidR="00602A94" w:rsidRDefault="00465DE0">
          <w:pPr>
            <w:pStyle w:val="HeaderActNameLeft"/>
          </w:pPr>
          <w:fldSimple w:instr=" Styleref &quot;Name of Act/Reg&quot; ">
            <w:r w:rsidR="003373C0">
              <w:rPr>
                <w:noProof/>
              </w:rPr>
              <w:t>Agricultural and Veterinary Chemicals (Western Australia) Act 1995</w:t>
            </w:r>
          </w:fldSimple>
        </w:p>
      </w:tc>
    </w:tr>
    <w:tr w:rsidR="00602A94">
      <w:tc>
        <w:tcPr>
          <w:tcW w:w="1548" w:type="dxa"/>
        </w:tcPr>
        <w:p w:rsidR="00602A94" w:rsidRDefault="00602A94">
          <w:pPr>
            <w:pStyle w:val="HeaderNumberLeft"/>
          </w:pPr>
        </w:p>
      </w:tc>
      <w:tc>
        <w:tcPr>
          <w:tcW w:w="5612" w:type="dxa"/>
        </w:tcPr>
        <w:p w:rsidR="00602A94" w:rsidRDefault="00602A94">
          <w:pPr>
            <w:pStyle w:val="HeaderTextLeft"/>
          </w:pPr>
        </w:p>
      </w:tc>
    </w:tr>
    <w:tr w:rsidR="00602A94">
      <w:tc>
        <w:tcPr>
          <w:tcW w:w="1548" w:type="dxa"/>
        </w:tcPr>
        <w:p w:rsidR="00602A94" w:rsidRDefault="00602A94">
          <w:pPr>
            <w:pStyle w:val="HeaderNumberLeft"/>
          </w:pPr>
        </w:p>
      </w:tc>
      <w:tc>
        <w:tcPr>
          <w:tcW w:w="5612" w:type="dxa"/>
        </w:tcPr>
        <w:p w:rsidR="00602A94" w:rsidRDefault="00602A94">
          <w:pPr>
            <w:pStyle w:val="HeaderTextLeft"/>
          </w:pPr>
        </w:p>
      </w:tc>
    </w:tr>
    <w:tr w:rsidR="00602A94">
      <w:trPr>
        <w:cantSplit/>
      </w:trPr>
      <w:tc>
        <w:tcPr>
          <w:tcW w:w="7160" w:type="dxa"/>
          <w:gridSpan w:val="2"/>
        </w:tcPr>
        <w:p w:rsidR="00602A94" w:rsidRDefault="00602A94">
          <w:pPr>
            <w:pStyle w:val="HeaderSectionLeft"/>
          </w:pPr>
        </w:p>
      </w:tc>
    </w:tr>
  </w:tbl>
  <w:p w:rsidR="00602A94" w:rsidRDefault="00602A9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093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F01A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2424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9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64B3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D662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2CCF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BC50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36861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848D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60F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0CD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E0"/>
    <w:rsid w:val="003373C0"/>
    <w:rsid w:val="00465DE0"/>
    <w:rsid w:val="00602A94"/>
    <w:rsid w:val="0070098C"/>
    <w:rsid w:val="00F51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6181</Words>
  <Characters>31278</Characters>
  <Application>Microsoft Office Word</Application>
  <DocSecurity>0</DocSecurity>
  <Lines>868</Lines>
  <Paragraphs>451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1995 - 01-c0-02</dc:title>
  <dc:subject/>
  <dc:creator>svcMRProcess</dc:creator>
  <cp:keywords/>
  <cp:lastModifiedBy>svcMRProcess</cp:lastModifiedBy>
  <cp:revision>4</cp:revision>
  <cp:lastPrinted>2002-03-13T04:45:00Z</cp:lastPrinted>
  <dcterms:created xsi:type="dcterms:W3CDTF">2013-02-13T05:10:00Z</dcterms:created>
  <dcterms:modified xsi:type="dcterms:W3CDTF">2013-02-13T05:10:00Z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12</vt:i4>
  </property>
  <property fmtid="{D5CDD505-2E9C-101B-9397-08002B2CF9AE}" pid="6" name="AsAtDate">
    <vt:lpwstr>09 Jun 2006</vt:lpwstr>
  </property>
  <property fmtid="{D5CDD505-2E9C-101B-9397-08002B2CF9AE}" pid="7" name="Suffix">
    <vt:lpwstr>01-c0-02</vt:lpwstr>
  </property>
</Properties>
</file>