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(Notification of Lead Poisoning)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April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(Notification of Lead Poisoning)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_Toc419459668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_Toc419459669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_Toc419459670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Lead poisoning a prescribed condition of health</w:t>
      </w:r>
      <w:r>
        <w:tab/>
      </w:r>
      <w:r>
        <w:fldChar w:fldCharType="begin"/>
      </w:r>
      <w:r>
        <w:instrText xml:space="preserve"> PAGEREF _Toc419459671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Notification by medical practitioner</w:t>
      </w:r>
      <w:r>
        <w:tab/>
      </w:r>
      <w:r>
        <w:fldChar w:fldCharType="begin"/>
      </w:r>
      <w:r>
        <w:instrText xml:space="preserve"> PAGEREF _Toc419459672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for notification</w:t>
      </w:r>
      <w:r>
        <w:tab/>
      </w:r>
      <w:r>
        <w:fldChar w:fldCharType="begin"/>
      </w:r>
      <w:r>
        <w:instrText xml:space="preserve"> PAGEREF _Toc419459673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_Toc419459675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April 2004</w:t>
            </w:r>
          </w:p>
        </w:tc>
      </w:tr>
    </w:tbl>
    <w:p>
      <w:pPr>
        <w:pStyle w:val="WA"/>
        <w:spacing w:before="12"/>
      </w:pPr>
      <w:r>
        <w:t>Western Australia</w:t>
      </w:r>
    </w:p>
    <w:p>
      <w:pPr>
        <w:pStyle w:val="PrincipalActReg"/>
      </w:pPr>
      <w:r>
        <w:t>Health Act 1911</w:t>
      </w:r>
    </w:p>
    <w:p>
      <w:pPr>
        <w:pStyle w:val="NameofActReg"/>
      </w:pPr>
      <w:r>
        <w:t>Health (Notification of Lead Poisoning) Regulations 1985</w:t>
      </w:r>
    </w:p>
    <w:p>
      <w:pPr>
        <w:pStyle w:val="Heading5"/>
        <w:rPr>
          <w:snapToGrid w:val="0"/>
        </w:rPr>
      </w:pPr>
      <w:bookmarkStart w:id="3" w:name="_Toc378671057"/>
      <w:bookmarkStart w:id="4" w:name="_Toc41945966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(Notification of Lead Poisoning) Regulations 1985</w:t>
      </w:r>
      <w:r>
        <w:rPr>
          <w:snapToGrid w:val="0"/>
          <w:vertAlign w:val="superscript"/>
        </w:rPr>
        <w:t> 1</w:t>
      </w:r>
      <w:r>
        <w:rPr>
          <w:snapToGrid w:val="0"/>
        </w:rPr>
        <w:t>.</w:t>
      </w:r>
    </w:p>
    <w:p>
      <w:pPr>
        <w:pStyle w:val="Heading5"/>
        <w:rPr>
          <w:snapToGrid w:val="0"/>
        </w:rPr>
      </w:pPr>
      <w:bookmarkStart w:id="5" w:name="_Toc378671058"/>
      <w:bookmarkStart w:id="6" w:name="_Toc41945966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of publication of the </w:t>
      </w:r>
      <w:r>
        <w:rPr>
          <w:i/>
          <w:snapToGrid w:val="0"/>
        </w:rPr>
        <w:t>Health — Infectious Diseases Order (No. 2) 1985</w:t>
      </w:r>
      <w:r>
        <w:rPr>
          <w:snapToGrid w:val="0"/>
          <w:vertAlign w:val="superscript"/>
        </w:rPr>
        <w:t> 1</w:t>
      </w:r>
      <w:r>
        <w:rPr>
          <w:snapToGrid w:val="0"/>
        </w:rPr>
        <w:t>.</w:t>
      </w:r>
    </w:p>
    <w:p>
      <w:pPr>
        <w:pStyle w:val="Heading5"/>
        <w:rPr>
          <w:snapToGrid w:val="0"/>
        </w:rPr>
      </w:pPr>
      <w:bookmarkStart w:id="7" w:name="_Toc378671059"/>
      <w:bookmarkStart w:id="8" w:name="_Toc419459670"/>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snapToGrid/>
        </w:rPr>
        <w:t>lead poisoning</w:t>
      </w:r>
      <w:r>
        <w:t xml:space="preserve"> means acute or chronic poisoning by taking of lead into the body.</w:t>
      </w:r>
    </w:p>
    <w:p>
      <w:pPr>
        <w:pStyle w:val="Heading5"/>
        <w:rPr>
          <w:snapToGrid w:val="0"/>
        </w:rPr>
      </w:pPr>
      <w:bookmarkStart w:id="9" w:name="_Toc378671060"/>
      <w:bookmarkStart w:id="10" w:name="_Toc419459671"/>
      <w:r>
        <w:rPr>
          <w:rStyle w:val="CharSectno"/>
        </w:rPr>
        <w:t>4</w:t>
      </w:r>
      <w:r>
        <w:rPr>
          <w:snapToGrid w:val="0"/>
        </w:rPr>
        <w:t>.</w:t>
      </w:r>
      <w:r>
        <w:rPr>
          <w:snapToGrid w:val="0"/>
        </w:rPr>
        <w:tab/>
        <w:t>Lead poisoning a prescribed condition of health</w:t>
      </w:r>
      <w:bookmarkEnd w:id="9"/>
      <w:bookmarkEnd w:id="10"/>
      <w:r>
        <w:rPr>
          <w:snapToGrid w:val="0"/>
        </w:rPr>
        <w:t xml:space="preserve"> </w:t>
      </w:r>
    </w:p>
    <w:p>
      <w:pPr>
        <w:pStyle w:val="Subsection"/>
        <w:rPr>
          <w:snapToGrid w:val="0"/>
        </w:rPr>
      </w:pPr>
      <w:r>
        <w:rPr>
          <w:snapToGrid w:val="0"/>
        </w:rPr>
        <w:tab/>
      </w:r>
      <w:r>
        <w:rPr>
          <w:snapToGrid w:val="0"/>
        </w:rPr>
        <w:tab/>
        <w:t>Lead poisoning is prescribed as a condition of health to which Part IXA applies.</w:t>
      </w:r>
    </w:p>
    <w:p>
      <w:pPr>
        <w:pStyle w:val="Heading5"/>
        <w:rPr>
          <w:snapToGrid w:val="0"/>
        </w:rPr>
      </w:pPr>
      <w:bookmarkStart w:id="11" w:name="_Toc378671061"/>
      <w:bookmarkStart w:id="12" w:name="_Toc419459672"/>
      <w:r>
        <w:rPr>
          <w:rStyle w:val="CharSectno"/>
        </w:rPr>
        <w:t>5</w:t>
      </w:r>
      <w:r>
        <w:rPr>
          <w:snapToGrid w:val="0"/>
        </w:rPr>
        <w:t>.</w:t>
      </w:r>
      <w:r>
        <w:rPr>
          <w:snapToGrid w:val="0"/>
        </w:rPr>
        <w:tab/>
        <w:t>Notification by medical practitioner</w:t>
      </w:r>
      <w:bookmarkEnd w:id="11"/>
      <w:bookmarkEnd w:id="12"/>
      <w:r>
        <w:rPr>
          <w:snapToGrid w:val="0"/>
        </w:rPr>
        <w:t xml:space="preserve"> </w:t>
      </w:r>
    </w:p>
    <w:p>
      <w:pPr>
        <w:pStyle w:val="Subsection"/>
        <w:spacing w:before="140"/>
        <w:rPr>
          <w:snapToGrid w:val="0"/>
        </w:rPr>
      </w:pPr>
      <w:r>
        <w:rPr>
          <w:snapToGrid w:val="0"/>
        </w:rPr>
        <w:tab/>
        <w:t>(1)</w:t>
      </w:r>
      <w:r>
        <w:rPr>
          <w:snapToGrid w:val="0"/>
        </w:rPr>
        <w:tab/>
        <w:t>Where a medical practitioner attends a person who is or may be suffering from lead poisoning the medical practitioner shall notify the Executive Director, Public Health upon the day on which he becomes aware of the person’s condition.</w:t>
      </w:r>
    </w:p>
    <w:p>
      <w:pPr>
        <w:pStyle w:val="Subsection"/>
        <w:spacing w:before="140"/>
        <w:rPr>
          <w:snapToGrid w:val="0"/>
        </w:rPr>
      </w:pPr>
      <w:r>
        <w:rPr>
          <w:snapToGrid w:val="0"/>
        </w:rPr>
        <w:tab/>
        <w:t>(2)</w:t>
      </w:r>
      <w:r>
        <w:rPr>
          <w:snapToGrid w:val="0"/>
        </w:rPr>
        <w:tab/>
        <w:t>Notice given under subregulation (1) in respect of any person shall be in writing and include — </w:t>
      </w:r>
    </w:p>
    <w:p>
      <w:pPr>
        <w:pStyle w:val="Indenta"/>
        <w:rPr>
          <w:snapToGrid w:val="0"/>
        </w:rPr>
      </w:pPr>
      <w:r>
        <w:rPr>
          <w:snapToGrid w:val="0"/>
        </w:rPr>
        <w:tab/>
        <w:t>(a)</w:t>
      </w:r>
      <w:r>
        <w:rPr>
          <w:snapToGrid w:val="0"/>
        </w:rPr>
        <w:tab/>
        <w:t>the full name, address and occupation of the person;</w:t>
      </w:r>
    </w:p>
    <w:p>
      <w:pPr>
        <w:pStyle w:val="Indenta"/>
        <w:rPr>
          <w:snapToGrid w:val="0"/>
        </w:rPr>
      </w:pPr>
      <w:r>
        <w:rPr>
          <w:snapToGrid w:val="0"/>
        </w:rPr>
        <w:tab/>
        <w:t>(b)</w:t>
      </w:r>
      <w:r>
        <w:rPr>
          <w:snapToGrid w:val="0"/>
        </w:rPr>
        <w:tab/>
        <w:t>sex and date of birth of the person;</w:t>
      </w:r>
    </w:p>
    <w:p>
      <w:pPr>
        <w:pStyle w:val="Indenta"/>
        <w:rPr>
          <w:snapToGrid w:val="0"/>
        </w:rPr>
      </w:pPr>
      <w:r>
        <w:rPr>
          <w:snapToGrid w:val="0"/>
        </w:rPr>
        <w:tab/>
        <w:t>(c)</w:t>
      </w:r>
      <w:r>
        <w:rPr>
          <w:snapToGrid w:val="0"/>
        </w:rPr>
        <w:tab/>
        <w:t>the date of presentation of the person and the grounds for diagnosis of lead poisoning or diagnosis of suspected lead poisoning; and</w:t>
      </w:r>
    </w:p>
    <w:p>
      <w:pPr>
        <w:pStyle w:val="Indenta"/>
        <w:rPr>
          <w:snapToGrid w:val="0"/>
        </w:rPr>
      </w:pPr>
      <w:r>
        <w:rPr>
          <w:snapToGrid w:val="0"/>
        </w:rPr>
        <w:tab/>
        <w:t>(d)</w:t>
      </w:r>
      <w:r>
        <w:rPr>
          <w:snapToGrid w:val="0"/>
        </w:rPr>
        <w:tab/>
        <w:t>the known or suspected source of the lead poisoning.</w:t>
      </w:r>
    </w:p>
    <w:p>
      <w:pPr>
        <w:pStyle w:val="Subsection"/>
        <w:spacing w:before="140"/>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5 amended in Gazette 23 Dec 1988 p. 4972.] </w:t>
      </w:r>
    </w:p>
    <w:p>
      <w:pPr>
        <w:pStyle w:val="Heading5"/>
        <w:rPr>
          <w:snapToGrid w:val="0"/>
        </w:rPr>
      </w:pPr>
      <w:bookmarkStart w:id="13" w:name="_Toc378671062"/>
      <w:bookmarkStart w:id="14" w:name="_Toc419459673"/>
      <w:r>
        <w:rPr>
          <w:rStyle w:val="CharSectno"/>
        </w:rPr>
        <w:t>6</w:t>
      </w:r>
      <w:r>
        <w:rPr>
          <w:snapToGrid w:val="0"/>
        </w:rPr>
        <w:t>.</w:t>
      </w:r>
      <w:r>
        <w:rPr>
          <w:snapToGrid w:val="0"/>
        </w:rPr>
        <w:tab/>
        <w:t>Fee for notification</w:t>
      </w:r>
      <w:bookmarkEnd w:id="13"/>
      <w:bookmarkEnd w:id="14"/>
      <w:r>
        <w:rPr>
          <w:snapToGrid w:val="0"/>
        </w:rPr>
        <w:t xml:space="preserve"> </w:t>
      </w:r>
    </w:p>
    <w:p>
      <w:pPr>
        <w:pStyle w:val="Subsection"/>
        <w:rPr>
          <w:snapToGrid w:val="0"/>
        </w:rPr>
      </w:pPr>
      <w:r>
        <w:rPr>
          <w:snapToGrid w:val="0"/>
        </w:rPr>
        <w:tab/>
      </w:r>
      <w:r>
        <w:rPr>
          <w:snapToGrid w:val="0"/>
        </w:rPr>
        <w:tab/>
        <w:t>A fee of $2 is payable by the Minister to the medical practitioner in respect of each notice received by the Executive Director, Public Health under regulation 4 except that no fee shall be payable where a medical practitioner is a salaried employee of a government or public institution.</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5" w:name="_Toc378671063"/>
      <w:bookmarkStart w:id="16" w:name="_Toc419459674"/>
      <w:r>
        <w:t>Notes</w:t>
      </w:r>
      <w:bookmarkEnd w:id="15"/>
      <w:bookmarkEnd w:id="16"/>
    </w:p>
    <w:p>
      <w:pPr>
        <w:pStyle w:val="nSubsection"/>
        <w:rPr>
          <w:snapToGrid w:val="0"/>
        </w:rPr>
      </w:pPr>
      <w:r>
        <w:rPr>
          <w:snapToGrid w:val="0"/>
          <w:vertAlign w:val="superscript"/>
        </w:rPr>
        <w:t>1</w:t>
      </w:r>
      <w:r>
        <w:rPr>
          <w:snapToGrid w:val="0"/>
        </w:rPr>
        <w:tab/>
        <w:t xml:space="preserve">This reprint is a compilation as at 2 April 2004 of the </w:t>
      </w:r>
      <w:r>
        <w:rPr>
          <w:i/>
          <w:noProof/>
          <w:snapToGrid w:val="0"/>
        </w:rPr>
        <w:t>Health (Notification of Lead Poisoning)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 w:name="_Toc378671064"/>
      <w:bookmarkStart w:id="18" w:name="_Toc419459675"/>
      <w:r>
        <w:rPr>
          <w:snapToGrid w:val="0"/>
        </w:rPr>
        <w:t>Compilation table</w:t>
      </w:r>
      <w:bookmarkEnd w:id="17"/>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(Notification of Lead Poisoning) Regulations 1985</w:t>
            </w:r>
          </w:p>
        </w:tc>
        <w:tc>
          <w:tcPr>
            <w:tcW w:w="1276" w:type="dxa"/>
          </w:tcPr>
          <w:p>
            <w:pPr>
              <w:pStyle w:val="nTable"/>
              <w:spacing w:after="40"/>
            </w:pPr>
            <w:r>
              <w:t>24 May 1985 p. 1760</w:t>
            </w:r>
          </w:p>
        </w:tc>
        <w:tc>
          <w:tcPr>
            <w:tcW w:w="2693" w:type="dxa"/>
          </w:tcPr>
          <w:p>
            <w:pPr>
              <w:pStyle w:val="nTable"/>
              <w:spacing w:after="40"/>
            </w:pPr>
            <w:r>
              <w:t xml:space="preserve">24 May 1985 (see r. 2 and </w:t>
            </w:r>
            <w:r>
              <w:rPr>
                <w:i/>
              </w:rPr>
              <w:t>Gazette</w:t>
            </w:r>
            <w:r>
              <w:t xml:space="preserve"> 24 May 1985 p. 1759)</w:t>
            </w:r>
          </w:p>
        </w:tc>
      </w:tr>
      <w:tr>
        <w:tc>
          <w:tcPr>
            <w:tcW w:w="3118" w:type="dxa"/>
          </w:tcPr>
          <w:p>
            <w:pPr>
              <w:pStyle w:val="nTable"/>
              <w:spacing w:after="40"/>
              <w:rPr>
                <w:i/>
              </w:rPr>
            </w:pPr>
            <w:r>
              <w:rPr>
                <w:i/>
              </w:rPr>
              <w:t xml:space="preserve">Health (Offences and Penalties) Amendment Regulations (No. 2) 1988 </w:t>
            </w:r>
            <w:r>
              <w:t>Pt. 8</w:t>
            </w:r>
          </w:p>
        </w:tc>
        <w:tc>
          <w:tcPr>
            <w:tcW w:w="1276" w:type="dxa"/>
          </w:tcPr>
          <w:p>
            <w:pPr>
              <w:pStyle w:val="nTable"/>
              <w:spacing w:after="40"/>
            </w:pPr>
            <w:r>
              <w:t>23 Dec 1988 p. 4970-5</w:t>
            </w:r>
          </w:p>
        </w:tc>
        <w:tc>
          <w:tcPr>
            <w:tcW w:w="2693" w:type="dxa"/>
          </w:tcPr>
          <w:p>
            <w:pPr>
              <w:pStyle w:val="nTable"/>
              <w:spacing w:after="40"/>
            </w:pPr>
            <w:r>
              <w:t>23 Dec 1988</w:t>
            </w:r>
          </w:p>
        </w:tc>
      </w:tr>
      <w:tr>
        <w:trPr>
          <w:cantSplit/>
        </w:trPr>
        <w:tc>
          <w:tcPr>
            <w:tcW w:w="7087" w:type="dxa"/>
            <w:gridSpan w:val="3"/>
            <w:tcBorders>
              <w:bottom w:val="single" w:sz="4" w:space="0" w:color="auto"/>
            </w:tcBorders>
          </w:tcPr>
          <w:p>
            <w:pPr>
              <w:pStyle w:val="nTable"/>
              <w:spacing w:after="40"/>
            </w:pPr>
            <w:r>
              <w:rPr>
                <w:b/>
              </w:rPr>
              <w:t xml:space="preserve">Reprint 1: The </w:t>
            </w:r>
            <w:r>
              <w:rPr>
                <w:b/>
                <w:i/>
              </w:rPr>
              <w:t xml:space="preserve">Health (Notification of Lead Poisoning) Regulations 1985 </w:t>
            </w:r>
            <w:r>
              <w:rPr>
                <w:b/>
              </w:rPr>
              <w:t>as at 2 Apr 2004</w:t>
            </w:r>
            <w:r>
              <w:t xml:space="preserve"> (includes amendments listed above)</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lead poisoning</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Lead Poisoning)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(Notification of Lead Poisoning)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Lead Poisoning)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Lead Poisoning)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DE9036"/>
    <w:lvl w:ilvl="0">
      <w:start w:val="1"/>
      <w:numFmt w:val="decimal"/>
      <w:lvlText w:val="%1."/>
      <w:lvlJc w:val="left"/>
      <w:pPr>
        <w:tabs>
          <w:tab w:val="num" w:pos="1492"/>
        </w:tabs>
        <w:ind w:left="1492" w:hanging="360"/>
      </w:pPr>
    </w:lvl>
  </w:abstractNum>
  <w:abstractNum w:abstractNumId="1">
    <w:nsid w:val="FFFFFF7D"/>
    <w:multiLevelType w:val="singleLevel"/>
    <w:tmpl w:val="54E66D8C"/>
    <w:lvl w:ilvl="0">
      <w:start w:val="1"/>
      <w:numFmt w:val="decimal"/>
      <w:lvlText w:val="%1."/>
      <w:lvlJc w:val="left"/>
      <w:pPr>
        <w:tabs>
          <w:tab w:val="num" w:pos="1209"/>
        </w:tabs>
        <w:ind w:left="1209" w:hanging="360"/>
      </w:pPr>
    </w:lvl>
  </w:abstractNum>
  <w:abstractNum w:abstractNumId="2">
    <w:nsid w:val="FFFFFF7E"/>
    <w:multiLevelType w:val="singleLevel"/>
    <w:tmpl w:val="86085522"/>
    <w:lvl w:ilvl="0">
      <w:start w:val="1"/>
      <w:numFmt w:val="decimal"/>
      <w:lvlText w:val="%1."/>
      <w:lvlJc w:val="left"/>
      <w:pPr>
        <w:tabs>
          <w:tab w:val="num" w:pos="926"/>
        </w:tabs>
        <w:ind w:left="926" w:hanging="360"/>
      </w:pPr>
    </w:lvl>
  </w:abstractNum>
  <w:abstractNum w:abstractNumId="3">
    <w:nsid w:val="FFFFFF7F"/>
    <w:multiLevelType w:val="singleLevel"/>
    <w:tmpl w:val="F272C67E"/>
    <w:lvl w:ilvl="0">
      <w:start w:val="1"/>
      <w:numFmt w:val="decimal"/>
      <w:lvlText w:val="%1."/>
      <w:lvlJc w:val="left"/>
      <w:pPr>
        <w:tabs>
          <w:tab w:val="num" w:pos="643"/>
        </w:tabs>
        <w:ind w:left="643" w:hanging="360"/>
      </w:pPr>
    </w:lvl>
  </w:abstractNum>
  <w:abstractNum w:abstractNumId="4">
    <w:nsid w:val="FFFFFF80"/>
    <w:multiLevelType w:val="singleLevel"/>
    <w:tmpl w:val="617E8C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BC8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CA5B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2A36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EA9E3C"/>
    <w:lvl w:ilvl="0">
      <w:start w:val="1"/>
      <w:numFmt w:val="decimal"/>
      <w:lvlText w:val="%1."/>
      <w:lvlJc w:val="left"/>
      <w:pPr>
        <w:tabs>
          <w:tab w:val="num" w:pos="360"/>
        </w:tabs>
        <w:ind w:left="360" w:hanging="360"/>
      </w:pPr>
    </w:lvl>
  </w:abstractNum>
  <w:abstractNum w:abstractNumId="9">
    <w:nsid w:val="FFFFFF89"/>
    <w:multiLevelType w:val="singleLevel"/>
    <w:tmpl w:val="7DCA351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E8B35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422"/>
    <w:docVar w:name="WAFER_20140128105831" w:val="RemoveTocBookmarks,RemoveUnusedBookmarks,RemoveLanguageTags,UsedStyles,ResetPageSize,UpdateArrangement"/>
    <w:docVar w:name="WAFER_20140128105831_GUID" w:val="17d73652-296d-4ce5-80fb-85bee45a0e21"/>
    <w:docVar w:name="WAFER_20140128105858" w:val="RemoveTocBookmarks,RunningHeaders"/>
    <w:docVar w:name="WAFER_20140128105858_GUID" w:val="64be70d5-0ddc-475b-9d1d-976f5798a75c"/>
    <w:docVar w:name="WAFER_20150515103721" w:val="ResetPageSize,UpdateArrangement,UpdateNTable"/>
    <w:docVar w:name="WAFER_20150515103721_GUID" w:val="74a1076e-37e5-47fa-bc54-2cac4b9a63b0"/>
    <w:docVar w:name="WAFER_20151105145422" w:val="UpdateStyles,UsedStyles"/>
    <w:docVar w:name="WAFER_20151105145422_GUID" w:val="9ea6c496-bb71-4340-b5ec-54717f5699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ReprintNo">
    <w:name w:val="ReprintNo"/>
    <w:rPr>
      <w:b/>
      <w:noProof/>
      <w:sz w:val="2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ReprintNo">
    <w:name w:val="ReprintNo"/>
    <w:rPr>
      <w:b/>
      <w:noProof/>
      <w:sz w:val="2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667</Words>
  <Characters>3338</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3918</CharactersWithSpaces>
  <SharedDoc>false</SharedDoc>
  <HLinks>
    <vt:vector size="12" baseType="variant">
      <vt:variant>
        <vt:i4>65542</vt:i4>
      </vt:variant>
      <vt:variant>
        <vt:i4>2056</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Lead Poisoning) Regulations 1985 - 01-a0-09</dc:title>
  <dc:subject/>
  <dc:creator/>
  <cp:keywords/>
  <dc:description/>
  <cp:lastModifiedBy>svcMRProcess</cp:lastModifiedBy>
  <cp:revision>4</cp:revision>
  <cp:lastPrinted>2004-04-15T02:45:00Z</cp:lastPrinted>
  <dcterms:created xsi:type="dcterms:W3CDTF">2015-11-05T08:11:00Z</dcterms:created>
  <dcterms:modified xsi:type="dcterms:W3CDTF">2015-11-05T08:11:00Z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May 1985 p.1760</vt:lpwstr>
  </property>
  <property fmtid="{D5CDD505-2E9C-101B-9397-08002B2CF9AE}" pid="3" name="CommencementDate">
    <vt:lpwstr>20040402</vt:lpwstr>
  </property>
  <property fmtid="{D5CDD505-2E9C-101B-9397-08002B2CF9AE}" pid="4" name="DocumentType">
    <vt:lpwstr>Reg</vt:lpwstr>
  </property>
  <property fmtid="{D5CDD505-2E9C-101B-9397-08002B2CF9AE}" pid="5" name="OwlsUID">
    <vt:i4>4486</vt:i4>
  </property>
  <property fmtid="{D5CDD505-2E9C-101B-9397-08002B2CF9AE}" pid="6" name="ReprintedAsAt">
    <vt:filetime>2004-04-01T16:00:00Z</vt:filetime>
  </property>
  <property fmtid="{D5CDD505-2E9C-101B-9397-08002B2CF9AE}" pid="7" name="ReprintNo">
    <vt:lpwstr>1</vt:lpwstr>
  </property>
  <property fmtid="{D5CDD505-2E9C-101B-9397-08002B2CF9AE}" pid="8" name="AsAtDate">
    <vt:lpwstr>02 Apr 2004</vt:lpwstr>
  </property>
  <property fmtid="{D5CDD505-2E9C-101B-9397-08002B2CF9AE}" pid="9" name="Suffix">
    <vt:lpwstr>01-a0-09</vt:lpwstr>
  </property>
</Properties>
</file>